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sdt>
      <w:sdtPr>
        <w:id w:val="-191923907"/>
        <w:docPartObj>
          <w:docPartGallery w:val="Cover Pages"/>
          <w:docPartUnique/>
        </w:docPartObj>
      </w:sdtPr>
      <w:sdtEndPr/>
      <w:sdtContent>
        <w:p w:rsidR="00ED3EE7" w:rsidP="00ED3EE7" w:rsidRDefault="00CF7EFB" w14:paraId="003B9133" w14:textId="77777777">
          <w:r>
            <w:rPr>
              <w:noProof/>
            </w:rPr>
            <w:drawing>
              <wp:inline distT="0" distB="0" distL="0" distR="0" wp14:anchorId="6A69FAD8" wp14:editId="7EC92E92">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rsidR="00ED3EE7" w:rsidP="1C348070" w:rsidRDefault="00ED3EE7" w14:paraId="083E0DDA" w14:textId="2FB83F63">
          <w:pPr>
            <w:pStyle w:val="Heading1"/>
            <w:rPr>
              <w:sz w:val="32"/>
              <w:szCs w:val="32"/>
            </w:rPr>
          </w:pPr>
          <w:r w:rsidRPr="1C348070" w:rsidR="0C280D02">
            <w:rPr>
              <w:sz w:val="32"/>
              <w:szCs w:val="32"/>
            </w:rPr>
            <w:t>WAS-G-EASR-002</w:t>
          </w:r>
        </w:p>
        <w:p w:rsidRPr="00E245AC" w:rsidR="00ED3EE7" w:rsidP="00760F9A" w:rsidRDefault="002A002A" w14:paraId="4FA60826" w14:textId="374B23AD">
          <w:pPr>
            <w:pStyle w:val="Reportheader"/>
            <w:rPr>
              <w:rFonts w:ascii="Arial" w:hAnsi="Arial" w:cs="Arial"/>
            </w:rPr>
          </w:pPr>
          <w:r w:rsidRPr="1C348070" w:rsidR="6B93E904">
            <w:rPr>
              <w:rFonts w:ascii="Arial" w:hAnsi="Arial" w:cs="Arial"/>
            </w:rPr>
            <w:t xml:space="preserve">Financial Provision for Waste Management </w:t>
          </w:r>
          <w:r w:rsidRPr="1C348070" w:rsidR="672A741C">
            <w:rPr>
              <w:rFonts w:ascii="Arial" w:hAnsi="Arial" w:cs="Arial"/>
            </w:rPr>
            <w:t>Activities</w:t>
          </w:r>
        </w:p>
        <w:p w:rsidR="00ED3EE7" w:rsidP="1C348070" w:rsidRDefault="00246E18" w14:paraId="2F937533" w14:textId="53C85AB0">
          <w:pPr>
            <w:pStyle w:val="Heading2"/>
            <w:suppressLineNumbers w:val="0"/>
            <w:bidi w:val="0"/>
            <w:spacing w:before="0" w:beforeAutospacing="off" w:after="240" w:afterAutospacing="off" w:line="276" w:lineRule="auto"/>
            <w:ind w:left="0" w:right="0"/>
            <w:jc w:val="left"/>
          </w:pPr>
          <w:r w:rsidR="17DD23CC">
            <w:rPr/>
            <w:t>June</w:t>
          </w:r>
          <w:r w:rsidR="672A741C">
            <w:rPr/>
            <w:t xml:space="preserve"> 2025</w:t>
          </w:r>
        </w:p>
        <w:p w:rsidR="00ED3EE7" w:rsidP="00ED3EE7" w:rsidRDefault="00ED3EE7" w14:paraId="4703F7F3" w14:textId="77777777">
          <w:pPr>
            <w:pStyle w:val="Footer"/>
            <w:ind w:right="360"/>
          </w:pPr>
          <w:r>
            <w:rPr>
              <w:noProof/>
            </w:rPr>
            <mc:AlternateContent>
              <mc:Choice Requires="wps">
                <w:drawing>
                  <wp:anchor distT="0" distB="0" distL="114300" distR="114300" simplePos="0" relativeHeight="251658241" behindDoc="0" locked="0" layoutInCell="1" allowOverlap="1" wp14:anchorId="070C8BC8" wp14:editId="075B2B23">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12" style="position:absolute;z-index:25166848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7D35DC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p w:rsidRPr="00105F31" w:rsidR="00ED3EE7" w:rsidP="00ED3EE7" w:rsidRDefault="002A002A" w14:paraId="43678081" w14:textId="12BF4C3A">
          <w:pPr>
            <w:pStyle w:val="Heading2"/>
          </w:pPr>
          <w:r>
            <w:t>Purpose</w:t>
          </w:r>
        </w:p>
        <w:p w:rsidR="00041A0D" w:rsidP="00041A0D" w:rsidRDefault="00041A0D" w14:paraId="5097F1A8" w14:textId="3BF31DBE">
          <w:pPr>
            <w:rPr>
              <w:rFonts w:ascii="Arial" w:hAnsi="Arial" w:cs="Arial"/>
            </w:rPr>
          </w:pPr>
          <w:r w:rsidRPr="0006272F">
            <w:rPr>
              <w:rFonts w:ascii="Arial" w:hAnsi="Arial" w:cs="Arial"/>
            </w:rPr>
            <w:t xml:space="preserve">This guidance </w:t>
          </w:r>
          <w:r>
            <w:rPr>
              <w:rFonts w:ascii="Arial" w:hAnsi="Arial" w:cs="Arial"/>
            </w:rPr>
            <w:t>describes</w:t>
          </w:r>
          <w:r w:rsidRPr="0006272F">
            <w:rPr>
              <w:rFonts w:ascii="Arial" w:hAnsi="Arial" w:cs="Arial"/>
            </w:rPr>
            <w:t xml:space="preserve"> the assessment of </w:t>
          </w:r>
          <w:r>
            <w:rPr>
              <w:rFonts w:ascii="Arial" w:hAnsi="Arial" w:cs="Arial"/>
            </w:rPr>
            <w:t>financial provision</w:t>
          </w:r>
          <w:r w:rsidRPr="0006272F">
            <w:rPr>
              <w:rFonts w:ascii="Arial" w:hAnsi="Arial" w:cs="Arial"/>
            </w:rPr>
            <w:t xml:space="preserve"> when a person applies for, or holds, a </w:t>
          </w:r>
          <w:r>
            <w:rPr>
              <w:rFonts w:ascii="Arial" w:hAnsi="Arial" w:cs="Arial"/>
            </w:rPr>
            <w:t>P</w:t>
          </w:r>
          <w:r w:rsidRPr="0006272F">
            <w:rPr>
              <w:rFonts w:ascii="Arial" w:hAnsi="Arial" w:cs="Arial"/>
            </w:rPr>
            <w:t>ermit for a waste management activity</w:t>
          </w:r>
          <w:r>
            <w:rPr>
              <w:rFonts w:ascii="Arial" w:hAnsi="Arial" w:cs="Arial"/>
            </w:rPr>
            <w:t xml:space="preserve"> under the Environmental Authorisations (Scotland) Regulations 2018</w:t>
          </w:r>
          <w:r w:rsidRPr="0D2DA96B">
            <w:rPr>
              <w:rFonts w:ascii="Arial" w:hAnsi="Arial" w:cs="Arial"/>
            </w:rPr>
            <w:t>.</w:t>
          </w:r>
          <w:r w:rsidRPr="0006272F">
            <w:rPr>
              <w:rFonts w:ascii="Arial" w:hAnsi="Arial" w:cs="Arial"/>
            </w:rPr>
            <w:t xml:space="preserve"> </w:t>
          </w:r>
        </w:p>
        <w:p w:rsidRPr="0006272F" w:rsidR="00041A0D" w:rsidP="00041A0D" w:rsidRDefault="00041A0D" w14:paraId="701E90A5" w14:textId="491EC457">
          <w:pPr>
            <w:rPr>
              <w:rFonts w:ascii="Arial" w:hAnsi="Arial" w:cs="Arial"/>
            </w:rPr>
          </w:pPr>
          <w:r w:rsidRPr="003B0443">
            <w:rPr>
              <w:rFonts w:ascii="Arial" w:hAnsi="Arial" w:cs="Arial"/>
            </w:rPr>
            <w:t xml:space="preserve">The requirement to provide </w:t>
          </w:r>
          <w:r>
            <w:rPr>
              <w:rFonts w:ascii="Arial" w:hAnsi="Arial" w:cs="Arial"/>
            </w:rPr>
            <w:t xml:space="preserve">financial provision </w:t>
          </w:r>
          <w:r w:rsidRPr="003B0443">
            <w:rPr>
              <w:rFonts w:ascii="Arial" w:hAnsi="Arial" w:cs="Arial"/>
            </w:rPr>
            <w:t xml:space="preserve">is part of the </w:t>
          </w:r>
          <w:r>
            <w:rPr>
              <w:rFonts w:ascii="Arial" w:hAnsi="Arial" w:cs="Arial"/>
            </w:rPr>
            <w:t>F</w:t>
          </w:r>
          <w:r w:rsidRPr="003B0443">
            <w:rPr>
              <w:rFonts w:ascii="Arial" w:hAnsi="Arial" w:cs="Arial"/>
            </w:rPr>
            <w:t xml:space="preserve">it and </w:t>
          </w:r>
          <w:r>
            <w:rPr>
              <w:rFonts w:ascii="Arial" w:hAnsi="Arial" w:cs="Arial"/>
            </w:rPr>
            <w:t>P</w:t>
          </w:r>
          <w:r w:rsidRPr="003B0443">
            <w:rPr>
              <w:rFonts w:ascii="Arial" w:hAnsi="Arial" w:cs="Arial"/>
            </w:rPr>
            <w:t xml:space="preserve">roper </w:t>
          </w:r>
          <w:r>
            <w:rPr>
              <w:rFonts w:ascii="Arial" w:hAnsi="Arial" w:cs="Arial"/>
            </w:rPr>
            <w:t>P</w:t>
          </w:r>
          <w:r w:rsidRPr="003B0443">
            <w:rPr>
              <w:rFonts w:ascii="Arial" w:hAnsi="Arial" w:cs="Arial"/>
            </w:rPr>
            <w:t>erson</w:t>
          </w:r>
          <w:r>
            <w:rPr>
              <w:rFonts w:ascii="Arial" w:hAnsi="Arial" w:cs="Arial"/>
            </w:rPr>
            <w:t xml:space="preserve"> test</w:t>
          </w:r>
          <w:r w:rsidRPr="003B0443">
            <w:rPr>
              <w:rFonts w:ascii="Arial" w:hAnsi="Arial" w:cs="Arial"/>
            </w:rPr>
            <w:t>.</w:t>
          </w:r>
        </w:p>
        <w:p w:rsidR="00246E18" w:rsidP="005759EF" w:rsidRDefault="00246E18" w14:paraId="1191AB3E" w14:textId="1EA967ED" w14:noSpellErr="1">
          <w:r w:rsidR="672A741C">
            <w:rPr/>
            <w:t xml:space="preserve">This guidance </w:t>
          </w:r>
          <w:r w:rsidR="672A741C">
            <w:rPr/>
            <w:t>is applicable</w:t>
          </w:r>
          <w:r w:rsidR="672A741C">
            <w:rPr/>
            <w:t xml:space="preserve"> to </w:t>
          </w:r>
          <w:r w:rsidR="67BCBD93">
            <w:rPr/>
            <w:t>permits</w:t>
          </w:r>
          <w:r w:rsidR="672A741C">
            <w:rPr/>
            <w:t xml:space="preserve"> for non-landfill activities</w:t>
          </w:r>
          <w:r w:rsidR="05C624D0">
            <w:rPr/>
            <w:t xml:space="preserve"> only</w:t>
          </w:r>
          <w:r w:rsidR="672A741C">
            <w:rPr/>
            <w:t xml:space="preserve"> and should be read alongside our “</w:t>
          </w:r>
          <w:hyperlink r:id="Rcd8d0fea74294c2a">
            <w:r w:rsidRPr="1C348070" w:rsidR="672A741C">
              <w:rPr>
                <w:rStyle w:val="Hyperlink"/>
              </w:rPr>
              <w:t>Guidance on who can hold an authorisation</w:t>
            </w:r>
          </w:hyperlink>
          <w:r w:rsidR="672A741C">
            <w:rPr/>
            <w:t xml:space="preserve">”. </w:t>
          </w:r>
        </w:p>
        <w:p w:rsidR="7D2DA3F4" w:rsidP="1C348070" w:rsidRDefault="7D2DA3F4" w14:paraId="6E7FD784" w14:textId="2B044791">
          <w:pPr>
            <w:rPr>
              <w:rFonts w:ascii="Arial" w:hAnsi="Arial" w:eastAsia="Arial" w:cs="Arial"/>
              <w:i w:val="0"/>
              <w:iCs w:val="0"/>
              <w:noProof w:val="0"/>
              <w:sz w:val="24"/>
              <w:szCs w:val="24"/>
              <w:lang w:val="en-GB"/>
            </w:rPr>
          </w:pPr>
          <w:r w:rsidRPr="1C348070" w:rsidR="7D2DA3F4">
            <w:rPr>
              <w:rFonts w:ascii="Arial" w:hAnsi="Arial" w:eastAsia="Arial" w:cs="Arial"/>
              <w:i w:val="0"/>
              <w:iCs w:val="0"/>
              <w:noProof w:val="0"/>
              <w:sz w:val="24"/>
              <w:szCs w:val="24"/>
              <w:lang w:val="en-GB"/>
            </w:rPr>
            <w:t xml:space="preserve">Our financial provision requirements are subject to review as and when </w:t>
          </w:r>
          <w:r w:rsidRPr="1C348070" w:rsidR="7D2DA3F4">
            <w:rPr>
              <w:rFonts w:ascii="Arial" w:hAnsi="Arial" w:eastAsia="Arial" w:cs="Arial"/>
              <w:i w:val="0"/>
              <w:iCs w:val="0"/>
              <w:noProof w:val="0"/>
              <w:sz w:val="24"/>
              <w:szCs w:val="24"/>
              <w:lang w:val="en-GB"/>
            </w:rPr>
            <w:t>required</w:t>
          </w:r>
          <w:r w:rsidRPr="1C348070" w:rsidR="7D2DA3F4">
            <w:rPr>
              <w:rFonts w:ascii="Arial" w:hAnsi="Arial" w:eastAsia="Arial" w:cs="Arial"/>
              <w:i w:val="0"/>
              <w:iCs w:val="0"/>
              <w:noProof w:val="0"/>
              <w:sz w:val="24"/>
              <w:szCs w:val="24"/>
              <w:lang w:val="en-GB"/>
            </w:rPr>
            <w:t xml:space="preserve"> and any related guidance will be updated from time to time as </w:t>
          </w:r>
          <w:r w:rsidRPr="1C348070" w:rsidR="7D2DA3F4">
            <w:rPr>
              <w:rFonts w:ascii="Arial" w:hAnsi="Arial" w:eastAsia="Arial" w:cs="Arial"/>
              <w:i w:val="0"/>
              <w:iCs w:val="0"/>
              <w:noProof w:val="0"/>
              <w:sz w:val="24"/>
              <w:szCs w:val="24"/>
              <w:lang w:val="en-GB"/>
            </w:rPr>
            <w:t>appropriate</w:t>
          </w:r>
          <w:r w:rsidRPr="1C348070" w:rsidR="7D2DA3F4">
            <w:rPr>
              <w:rFonts w:ascii="Arial" w:hAnsi="Arial" w:eastAsia="Arial" w:cs="Arial"/>
              <w:i w:val="0"/>
              <w:iCs w:val="0"/>
              <w:noProof w:val="0"/>
              <w:sz w:val="24"/>
              <w:szCs w:val="24"/>
              <w:lang w:val="en-GB"/>
            </w:rPr>
            <w:t>.</w:t>
          </w:r>
        </w:p>
        <w:p w:rsidRPr="00105F31" w:rsidR="00352424" w:rsidP="00352424" w:rsidRDefault="00352424" w14:paraId="173DEBA9" w14:textId="51A42E7C">
          <w:pPr>
            <w:pStyle w:val="Heading2"/>
          </w:pPr>
          <w:r>
            <w:t>Relevant waste activities</w:t>
          </w:r>
        </w:p>
        <w:p w:rsidR="00E25A59" w:rsidP="005759EF" w:rsidRDefault="00E25A59" w14:paraId="3158E54E" w14:textId="53EA9050">
          <w:r w:rsidRPr="002A002A">
            <w:t>The financial provision test is relevant for applications for</w:t>
          </w:r>
          <w:r w:rsidR="00C7126E">
            <w:t>:</w:t>
          </w:r>
        </w:p>
        <w:p w:rsidR="00E25A59" w:rsidP="00E25A59" w:rsidRDefault="00E25A59" w14:paraId="44C910CF" w14:textId="41AC235C">
          <w:pPr>
            <w:pStyle w:val="ListParagraph"/>
            <w:numPr>
              <w:ilvl w:val="0"/>
              <w:numId w:val="14"/>
            </w:numPr>
            <w:rPr/>
          </w:pPr>
          <w:r w:rsidR="1C71B852">
            <w:rPr/>
            <w:t>N</w:t>
          </w:r>
          <w:r w:rsidR="3F70EE66">
            <w:rPr/>
            <w:t xml:space="preserve">ew </w:t>
          </w:r>
          <w:r w:rsidR="3F70EE66">
            <w:rPr/>
            <w:t>permits</w:t>
          </w:r>
          <w:r w:rsidR="07559DFC">
            <w:rPr/>
            <w:t>,</w:t>
          </w:r>
          <w:r w:rsidR="3F70EE66">
            <w:rPr/>
            <w:t xml:space="preserve"> </w:t>
          </w:r>
        </w:p>
        <w:p w:rsidR="00E25A59" w:rsidP="00E25A59" w:rsidRDefault="00E25A59" w14:paraId="5DB21C3A" w14:textId="1256DC03">
          <w:pPr>
            <w:pStyle w:val="ListParagraph"/>
            <w:numPr>
              <w:ilvl w:val="0"/>
              <w:numId w:val="14"/>
            </w:numPr>
            <w:rPr/>
          </w:pPr>
          <w:r w:rsidR="70CB65E6">
            <w:rPr/>
            <w:t>P</w:t>
          </w:r>
          <w:r w:rsidR="3F70EE66">
            <w:rPr/>
            <w:t>ermit</w:t>
          </w:r>
          <w:r w:rsidR="3F70EE66">
            <w:rPr/>
            <w:t xml:space="preserve"> variation</w:t>
          </w:r>
          <w:r w:rsidR="3F70EE66">
            <w:rPr/>
            <w:t xml:space="preserve"> where the obligations have increased (e.g. changing waste types, or increasing </w:t>
          </w:r>
          <w:r w:rsidR="3F70EE66">
            <w:rPr/>
            <w:t>quantity of waste</w:t>
          </w:r>
          <w:r w:rsidR="3F70EE66">
            <w:rPr/>
            <w:t>)</w:t>
          </w:r>
          <w:r w:rsidR="3F70EE66">
            <w:rPr/>
            <w:t>,</w:t>
          </w:r>
          <w:r w:rsidR="3F70EE66">
            <w:rPr/>
            <w:t xml:space="preserve"> and</w:t>
          </w:r>
        </w:p>
        <w:p w:rsidR="008C7F6F" w:rsidP="008C7F6F" w:rsidRDefault="00E25A59" w14:paraId="7C1B7CEA" w14:textId="714C0B15">
          <w:pPr>
            <w:pStyle w:val="ListParagraph"/>
            <w:numPr>
              <w:ilvl w:val="0"/>
              <w:numId w:val="14"/>
            </w:numPr>
            <w:rPr/>
          </w:pPr>
          <w:r w:rsidR="44E8C91D">
            <w:rPr/>
            <w:t>P</w:t>
          </w:r>
          <w:r w:rsidR="3F70EE66">
            <w:rPr/>
            <w:t>ermit</w:t>
          </w:r>
          <w:r w:rsidR="3F70EE66">
            <w:rPr/>
            <w:t xml:space="preserve"> transfer</w:t>
          </w:r>
          <w:r w:rsidR="3F70EE66">
            <w:rPr/>
            <w:t>s</w:t>
          </w:r>
          <w:r w:rsidR="3EE7DD10">
            <w:rPr/>
            <w:t>.</w:t>
          </w:r>
        </w:p>
        <w:p w:rsidRPr="00105F31" w:rsidR="00EE7DF8" w:rsidP="00EE7DF8" w:rsidRDefault="00EE7DF8" w14:paraId="6009BB46" w14:textId="22F78E2C">
          <w:pPr>
            <w:pStyle w:val="Heading2"/>
          </w:pPr>
          <w:r>
            <w:t xml:space="preserve">How to demonstrate financial provision </w:t>
          </w:r>
        </w:p>
        <w:p w:rsidR="00EE7DF8" w:rsidP="005759EF" w:rsidRDefault="002A002A" w14:paraId="12AD8480" w14:textId="0A051AEE">
          <w:r w:rsidRPr="002A002A">
            <w:t xml:space="preserve">SEPA </w:t>
          </w:r>
          <w:r w:rsidR="00352424">
            <w:t>requires</w:t>
          </w:r>
          <w:r w:rsidRPr="002A002A">
            <w:t xml:space="preserve"> a demonstration of </w:t>
          </w:r>
          <w:r w:rsidR="00352424">
            <w:t>financial provision as part of the permit application</w:t>
          </w:r>
          <w:r w:rsidRPr="002A002A">
            <w:t xml:space="preserve">. </w:t>
          </w:r>
          <w:r w:rsidR="00352424">
            <w:t>Financial provision</w:t>
          </w:r>
          <w:r w:rsidRPr="002A002A">
            <w:t xml:space="preserve"> may be demonstrated in either of the following ways: </w:t>
          </w:r>
        </w:p>
        <w:p w:rsidR="00EE7DF8" w:rsidP="1C348070" w:rsidRDefault="002A002A" w14:paraId="705F5AB1" w14:textId="15271CB5" w14:noSpellErr="1">
          <w:pPr>
            <w:pStyle w:val="ListParagraph"/>
            <w:numPr>
              <w:ilvl w:val="0"/>
              <w:numId w:val="15"/>
            </w:numPr>
            <w:rPr>
              <w:sz w:val="24"/>
              <w:szCs w:val="24"/>
            </w:rPr>
          </w:pPr>
          <w:r w:rsidR="6B93E904">
            <w:rPr/>
            <w:t xml:space="preserve">Credit Reference Check </w:t>
          </w:r>
        </w:p>
        <w:p w:rsidR="00EE7DF8" w:rsidP="00352424" w:rsidRDefault="002A002A" w14:paraId="65C1C5F8" w14:textId="55D4A5A4">
          <w:r w:rsidRPr="002A002A">
            <w:t xml:space="preserve">SEPA will carry out a credit reference check to assess whether an applicant is of sufficient financial standing. There may be occasions where the applicant may have to grant SEPA written authorisation to carry out such checks. </w:t>
          </w:r>
        </w:p>
        <w:p w:rsidR="00EE7DF8" w:rsidP="1C348070" w:rsidRDefault="002A002A" w14:paraId="04592D26" w14:textId="6C25B97C" w14:noSpellErr="1">
          <w:pPr>
            <w:pStyle w:val="ListParagraph"/>
            <w:numPr>
              <w:ilvl w:val="0"/>
              <w:numId w:val="16"/>
            </w:numPr>
            <w:rPr>
              <w:sz w:val="24"/>
              <w:szCs w:val="24"/>
            </w:rPr>
          </w:pPr>
          <w:r w:rsidR="6B93E904">
            <w:rPr/>
            <w:t xml:space="preserve">Provision of Alternative Evidence </w:t>
          </w:r>
        </w:p>
        <w:p w:rsidR="00352424" w:rsidP="00352424" w:rsidRDefault="002A002A" w14:paraId="6459F25E" w14:textId="77777777">
          <w:r w:rsidRPr="002A002A">
            <w:t xml:space="preserve">Where a Credit Reference Check has failed (or SEPA considers it is not appropriate, for example where the applicant is a relatively new company) an applicant may provide recent evidence (not more than 3 months old) from a third party as to its financial standing. It must be credible evidence stating that the applicant is </w:t>
          </w:r>
          <w:proofErr w:type="gramStart"/>
          <w:r w:rsidRPr="002A002A">
            <w:t>in a position</w:t>
          </w:r>
          <w:proofErr w:type="gramEnd"/>
          <w:r w:rsidRPr="002A002A">
            <w:t xml:space="preserve"> to access adequate funds. This could include: </w:t>
          </w:r>
        </w:p>
        <w:p w:rsidR="00EE7DF8" w:rsidP="00352424" w:rsidRDefault="002A002A" w14:paraId="4E5EF898" w14:textId="193D6BB6">
          <w:pPr>
            <w:pStyle w:val="ListParagraph"/>
            <w:numPr>
              <w:ilvl w:val="0"/>
              <w:numId w:val="13"/>
            </w:numPr>
          </w:pPr>
          <w:r w:rsidRPr="002A002A">
            <w:t xml:space="preserve">A Statement of Account addressed to the applicant from a Financial </w:t>
          </w:r>
          <w:proofErr w:type="gramStart"/>
          <w:r w:rsidRPr="002A002A">
            <w:t>Institution;</w:t>
          </w:r>
          <w:proofErr w:type="gramEnd"/>
          <w:r w:rsidRPr="002A002A">
            <w:t xml:space="preserve"> </w:t>
          </w:r>
        </w:p>
        <w:p w:rsidR="00EE7DF8" w:rsidP="00EE7DF8" w:rsidRDefault="002A002A" w14:paraId="716C4524" w14:textId="77777777">
          <w:pPr>
            <w:pStyle w:val="ListParagraph"/>
            <w:numPr>
              <w:ilvl w:val="0"/>
              <w:numId w:val="13"/>
            </w:numPr>
          </w:pPr>
          <w:r w:rsidRPr="002A002A">
            <w:t xml:space="preserve">A letter to the Applicant from a Financial Institution showing that the applicant has sufficient overdraft or loan facilities. </w:t>
          </w:r>
        </w:p>
        <w:p w:rsidR="00EE7DF8" w:rsidP="00EE7DF8" w:rsidRDefault="002A002A" w14:paraId="3920495C" w14:textId="0125EAAF">
          <w:r w:rsidRPr="002A002A">
            <w:t xml:space="preserve">SEPA </w:t>
          </w:r>
          <w:r w:rsidR="00E25A59">
            <w:t xml:space="preserve">may </w:t>
          </w:r>
          <w:r w:rsidRPr="002A002A">
            <w:t xml:space="preserve">consider additional </w:t>
          </w:r>
          <w:r w:rsidRPr="002A002A" w:rsidR="00E25A59">
            <w:t>evidence,</w:t>
          </w:r>
          <w:r w:rsidRPr="002A002A">
            <w:t xml:space="preserve"> or an alternative means of financial provision is required: this may be where the evidence submitted by the applicant is not satisfactory or it may be for specific reasons related to the site, the type of activity or the applicant. It will be for the applicant to propose alternative means of financial provision (for example a guarantee from a parent company, bank or other third party or ring-fenced funds) and for SEPA to then consider whether that proposal is acceptable. </w:t>
          </w:r>
        </w:p>
        <w:p w:rsidR="0D2DA96B" w:rsidRDefault="002A002A" w14:paraId="12021022" w14:textId="20B8EF37">
          <w:r w:rsidRPr="002A002A">
            <w:t xml:space="preserve">It should always be remembered that ultimately the responsibility and onus </w:t>
          </w:r>
          <w:proofErr w:type="gramStart"/>
          <w:r w:rsidRPr="002A002A">
            <w:t>lies</w:t>
          </w:r>
          <w:proofErr w:type="gramEnd"/>
          <w:r w:rsidRPr="002A002A">
            <w:t xml:space="preserve"> with the applicant to satisfy SEPA as to their financial standing. </w:t>
          </w:r>
        </w:p>
        <w:p w:rsidR="00EE7DF8" w:rsidP="00EE7DF8" w:rsidRDefault="00EE7DF8" w14:paraId="2D09123F" w14:textId="6814AD2E">
          <w:pPr>
            <w:pStyle w:val="Heading2"/>
          </w:pPr>
          <w:r>
            <w:t>How much financial provision</w:t>
          </w:r>
        </w:p>
        <w:p w:rsidR="00EE7DF8" w:rsidP="00EE7DF8" w:rsidRDefault="002A002A" w14:paraId="19E8039D" w14:textId="44745471">
          <w:r w:rsidR="6B93E904">
            <w:rPr/>
            <w:t xml:space="preserve">For </w:t>
          </w:r>
          <w:r w:rsidR="0A6851D8">
            <w:rPr/>
            <w:t xml:space="preserve">most </w:t>
          </w:r>
          <w:r w:rsidR="6B93E904">
            <w:rPr/>
            <w:t xml:space="preserve">non-landfill sites, </w:t>
          </w:r>
          <w:r w:rsidR="65617882">
            <w:rPr/>
            <w:t>the following</w:t>
          </w:r>
          <w:r w:rsidR="6B93E904">
            <w:rPr/>
            <w:t xml:space="preserve"> formula </w:t>
          </w:r>
          <w:r w:rsidR="46EBAEA9">
            <w:rPr/>
            <w:t xml:space="preserve">in Table 1 </w:t>
          </w:r>
          <w:r w:rsidR="65617882">
            <w:rPr/>
            <w:t>can</w:t>
          </w:r>
          <w:r w:rsidR="6B93E904">
            <w:rPr/>
            <w:t xml:space="preserve"> </w:t>
          </w:r>
          <w:r w:rsidR="6B93E904">
            <w:rPr/>
            <w:t>assist</w:t>
          </w:r>
          <w:r w:rsidR="6B93E904">
            <w:rPr/>
            <w:t xml:space="preserve"> the applicant in calculating the amount of any potential financial obligation concerned. </w:t>
          </w:r>
        </w:p>
        <w:p w:rsidR="00EE7DF8" w:rsidP="00EE7DF8" w:rsidRDefault="002A002A" w14:paraId="395A7CD4" w14:textId="37146A9B">
          <w:r w:rsidRPr="002A002A">
            <w:t xml:space="preserve">This is based on the maximum quantity of wastes </w:t>
          </w:r>
          <w:r w:rsidR="00FC7051">
            <w:t>managed at the</w:t>
          </w:r>
          <w:r w:rsidRPr="002A002A">
            <w:t xml:space="preserve"> site, and the haulage costs associated with their removal, as shown in the table below. </w:t>
          </w:r>
        </w:p>
        <w:p w:rsidR="00EE7DF8" w:rsidP="00EE7DF8" w:rsidRDefault="002A002A" w14:paraId="70DF02B7" w14:textId="7F2A9323">
          <w:r w:rsidRPr="002A002A">
            <w:t xml:space="preserve">SEPA has also produced a spreadsheet by EWC code which can be used to calculate a total financial provision using the multipliers below (available from </w:t>
          </w:r>
          <w:hyperlink w:history="1" r:id="rId13">
            <w:r w:rsidRPr="00D93D00" w:rsidR="00EE7DF8">
              <w:rPr>
                <w:rStyle w:val="Hyperlink"/>
              </w:rPr>
              <w:t>wastepermitting@sepa.org.uk</w:t>
            </w:r>
          </w:hyperlink>
          <w:r w:rsidRPr="002A002A">
            <w:t xml:space="preserve">). </w:t>
          </w:r>
        </w:p>
        <w:p w:rsidRPr="00FA6533" w:rsidR="00FA6533" w:rsidP="00EE7DF8" w:rsidRDefault="00FA6533" w14:paraId="318D60A5" w14:textId="3583A99B">
          <w:pPr>
            <w:rPr>
              <w:b w:val="1"/>
              <w:bCs w:val="1"/>
            </w:rPr>
          </w:pPr>
          <w:commentRangeStart w:id="0"/>
          <w:r w:rsidRPr="1C348070" w:rsidR="4C63556C">
            <w:rPr>
              <w:b w:val="1"/>
              <w:bCs w:val="1"/>
            </w:rPr>
            <w:t xml:space="preserve">Table 1: </w:t>
          </w:r>
          <w:r w:rsidRPr="1C348070" w:rsidR="783B200C">
            <w:rPr>
              <w:b w:val="1"/>
              <w:bCs w:val="1"/>
            </w:rPr>
            <w:t>I</w:t>
          </w:r>
          <w:r w:rsidRPr="1C348070" w:rsidR="783B200C">
            <w:rPr>
              <w:b w:val="1"/>
              <w:bCs w:val="1"/>
            </w:rPr>
            <w:t>ndicative costs for site clearance (figures include transport costs)</w:t>
          </w:r>
          <w:commentRangeEnd w:id="0"/>
          <w:r>
            <w:rPr>
              <w:rStyle w:val="CommentReference"/>
            </w:rPr>
            <w:commentReference w:id="0"/>
          </w:r>
        </w:p>
        <w:tbl>
          <w:tblPr>
            <w:tblStyle w:val="TableGrid"/>
            <w:tblW w:w="10266" w:type="dxa"/>
            <w:tblLook w:val="04A0" w:firstRow="1" w:lastRow="0" w:firstColumn="1" w:lastColumn="0" w:noHBand="0" w:noVBand="1"/>
          </w:tblPr>
          <w:tblGrid>
            <w:gridCol w:w="5106"/>
            <w:gridCol w:w="5160"/>
          </w:tblGrid>
          <w:tr w:rsidR="00FA6533" w:rsidTr="1C348070" w14:paraId="1280801F" w14:textId="77777777">
            <w:tc>
              <w:tcPr>
                <w:tcW w:w="5106" w:type="dxa"/>
                <w:shd w:val="clear" w:color="auto" w:fill="016574" w:themeFill="accent6"/>
                <w:tcMar/>
              </w:tcPr>
              <w:p w:rsidRPr="00FA6533" w:rsidR="00FA6533" w:rsidP="00EE7DF8" w:rsidRDefault="00FA6533" w14:paraId="716B3890" w14:textId="3D78F005" w14:noSpellErr="1">
                <w:pPr>
                  <w:rPr>
                    <w:b w:val="1"/>
                    <w:bCs w:val="1"/>
                  </w:rPr>
                </w:pPr>
                <w:r w:rsidRPr="1C348070" w:rsidR="783B200C">
                  <w:rPr>
                    <w:b w:val="1"/>
                    <w:bCs w:val="1"/>
                  </w:rPr>
                  <w:t>Waste storage</w:t>
                </w:r>
                <w:r w:rsidRPr="1C348070" w:rsidR="5D6003D8">
                  <w:rPr>
                    <w:b w:val="1"/>
                    <w:bCs w:val="1"/>
                  </w:rPr>
                  <w:t xml:space="preserve"> and </w:t>
                </w:r>
                <w:r w:rsidRPr="1C348070" w:rsidR="783B200C">
                  <w:rPr>
                    <w:b w:val="1"/>
                    <w:bCs w:val="1"/>
                  </w:rPr>
                  <w:t>treatment activity</w:t>
                </w:r>
              </w:p>
            </w:tc>
            <w:tc>
              <w:tcPr>
                <w:tcW w:w="5160" w:type="dxa"/>
                <w:shd w:val="clear" w:color="auto" w:fill="016574" w:themeFill="accent6"/>
                <w:tcMar/>
              </w:tcPr>
              <w:p w:rsidRPr="00FA6533" w:rsidR="00FA6533" w:rsidP="1C348070" w:rsidRDefault="00FA6533" w14:paraId="3965D3F0" w14:textId="1F86AA82" w14:noSpellErr="1">
                <w:pPr>
                  <w:rPr>
                    <w:b w:val="1"/>
                    <w:bCs w:val="1"/>
                    <w:color w:val="FFFFFF" w:themeColor="background1" w:themeTint="FF" w:themeShade="FF"/>
                  </w:rPr>
                </w:pPr>
                <w:r w:rsidRPr="1C348070" w:rsidR="783B200C">
                  <w:rPr>
                    <w:b w:val="1"/>
                    <w:bCs w:val="1"/>
                  </w:rPr>
                  <w:t>Multiplier per tonne -</w:t>
                </w:r>
                <w:r w:rsidRPr="1C348070" w:rsidR="5D6003D8">
                  <w:rPr>
                    <w:b w:val="1"/>
                    <w:bCs w:val="1"/>
                  </w:rPr>
                  <w:t xml:space="preserve"> </w:t>
                </w:r>
                <w:r w:rsidRPr="1C348070" w:rsidR="783B200C">
                  <w:rPr>
                    <w:b w:val="1"/>
                    <w:bCs w:val="1"/>
                  </w:rPr>
                  <w:t>including transport (£’s)</w:t>
                </w:r>
              </w:p>
            </w:tc>
          </w:tr>
          <w:tr w:rsidR="00FA6533" w:rsidTr="1C348070" w14:paraId="5B645B70" w14:textId="77777777">
            <w:tc>
              <w:tcPr>
                <w:tcW w:w="5106" w:type="dxa"/>
                <w:tcMar/>
              </w:tcPr>
              <w:p w:rsidR="00FA6533" w:rsidP="00EE7DF8" w:rsidRDefault="00FA6533" w14:paraId="50A122AD" w14:textId="4BB36A69">
                <w:r w:rsidRPr="002A002A">
                  <w:t>Tyres - baled</w:t>
                </w:r>
              </w:p>
            </w:tc>
            <w:tc>
              <w:tcPr>
                <w:tcW w:w="5160" w:type="dxa"/>
                <w:tcMar/>
              </w:tcPr>
              <w:p w:rsidR="00FA6533" w:rsidP="00EE7DF8" w:rsidRDefault="00FA6533" w14:paraId="50BC1AFE" w14:textId="0D9ED4B2">
                <w:r w:rsidRPr="002A002A">
                  <w:t>£105</w:t>
                </w:r>
              </w:p>
            </w:tc>
          </w:tr>
          <w:tr w:rsidR="00FA6533" w:rsidTr="1C348070" w14:paraId="3151DE58" w14:textId="77777777">
            <w:tc>
              <w:tcPr>
                <w:tcW w:w="5106" w:type="dxa"/>
                <w:tcMar/>
              </w:tcPr>
              <w:p w:rsidR="00FA6533" w:rsidP="00EE7DF8" w:rsidRDefault="00FA6533" w14:paraId="3414B75F" w14:textId="04EA45BC">
                <w:r w:rsidRPr="002A002A">
                  <w:t>Tyres - loose</w:t>
                </w:r>
              </w:p>
            </w:tc>
            <w:tc>
              <w:tcPr>
                <w:tcW w:w="5160" w:type="dxa"/>
                <w:tcMar/>
              </w:tcPr>
              <w:p w:rsidR="00FA6533" w:rsidP="00EE7DF8" w:rsidRDefault="00FA6533" w14:paraId="19CB8FA1" w14:textId="15393D2D">
                <w:r w:rsidRPr="002A002A">
                  <w:t>£215</w:t>
                </w:r>
              </w:p>
            </w:tc>
          </w:tr>
          <w:tr w:rsidR="00FA6533" w:rsidTr="1C348070" w14:paraId="46CDD5B0" w14:textId="77777777">
            <w:tc>
              <w:tcPr>
                <w:tcW w:w="5106" w:type="dxa"/>
                <w:tcMar/>
              </w:tcPr>
              <w:p w:rsidR="00FA6533" w:rsidP="00EE7DF8" w:rsidRDefault="00FA6533" w14:paraId="2CCB9B0E" w14:textId="6D0C9C9F">
                <w:r w:rsidRPr="002A002A">
                  <w:t>Green waste</w:t>
                </w:r>
              </w:p>
            </w:tc>
            <w:tc>
              <w:tcPr>
                <w:tcW w:w="5160" w:type="dxa"/>
                <w:tcMar/>
              </w:tcPr>
              <w:p w:rsidR="00FA6533" w:rsidP="00EE7DF8" w:rsidRDefault="00FA6533" w14:paraId="1A082DB2" w14:textId="7ABCE65E">
                <w:r>
                  <w:t>£45</w:t>
                </w:r>
              </w:p>
            </w:tc>
          </w:tr>
          <w:tr w:rsidR="00FA6533" w:rsidTr="1C348070" w14:paraId="2215568F" w14:textId="77777777">
            <w:tc>
              <w:tcPr>
                <w:tcW w:w="5106" w:type="dxa"/>
                <w:tcMar/>
              </w:tcPr>
              <w:p w:rsidR="00FA6533" w:rsidP="00EE7DF8" w:rsidRDefault="00FA6533" w14:paraId="618B9A7A" w14:textId="0AFA039A">
                <w:r w:rsidRPr="002A002A">
                  <w:t>Non-hazardous liquids</w:t>
                </w:r>
              </w:p>
            </w:tc>
            <w:tc>
              <w:tcPr>
                <w:tcW w:w="5160" w:type="dxa"/>
                <w:tcMar/>
              </w:tcPr>
              <w:p w:rsidR="00FA6533" w:rsidP="00EE7DF8" w:rsidRDefault="00FA6533" w14:paraId="43B2167B" w14:textId="7298F6D2">
                <w:r w:rsidRPr="002A002A">
                  <w:t>£150</w:t>
                </w:r>
              </w:p>
            </w:tc>
          </w:tr>
          <w:tr w:rsidR="00FA6533" w:rsidTr="1C348070" w14:paraId="49ED579C" w14:textId="77777777">
            <w:tc>
              <w:tcPr>
                <w:tcW w:w="5106" w:type="dxa"/>
                <w:tcMar/>
              </w:tcPr>
              <w:p w:rsidR="00FA6533" w:rsidP="00EE7DF8" w:rsidRDefault="00FA6533" w14:paraId="27A678AD" w14:textId="4D16DAE9">
                <w:r w:rsidRPr="002A002A">
                  <w:t>Hazardous soils</w:t>
                </w:r>
              </w:p>
            </w:tc>
            <w:tc>
              <w:tcPr>
                <w:tcW w:w="5160" w:type="dxa"/>
                <w:tcMar/>
              </w:tcPr>
              <w:p w:rsidR="00FA6533" w:rsidP="00EE7DF8" w:rsidRDefault="00FA6533" w14:paraId="38705EB0" w14:textId="00325BAB">
                <w:r w:rsidRPr="002A002A">
                  <w:t>£160</w:t>
                </w:r>
              </w:p>
            </w:tc>
          </w:tr>
          <w:tr w:rsidR="00FA6533" w:rsidTr="1C348070" w14:paraId="2578C9EB" w14:textId="77777777">
            <w:tc>
              <w:tcPr>
                <w:tcW w:w="5106" w:type="dxa"/>
                <w:tcMar/>
              </w:tcPr>
              <w:p w:rsidRPr="002A002A" w:rsidR="00FA6533" w:rsidP="00EE7DF8" w:rsidRDefault="00FA6533" w14:paraId="0EA1F99B" w14:textId="13089BF0">
                <w:r w:rsidRPr="002A002A">
                  <w:t>WEEE</w:t>
                </w:r>
              </w:p>
            </w:tc>
            <w:tc>
              <w:tcPr>
                <w:tcW w:w="5160" w:type="dxa"/>
                <w:tcMar/>
              </w:tcPr>
              <w:p w:rsidRPr="002A002A" w:rsidR="00FA6533" w:rsidP="00EE7DF8" w:rsidRDefault="00FA6533" w14:paraId="76F1633B" w14:textId="3B8BD888">
                <w:r w:rsidRPr="002A002A">
                  <w:t>£250</w:t>
                </w:r>
              </w:p>
            </w:tc>
          </w:tr>
          <w:tr w:rsidR="00FA6533" w:rsidTr="1C348070" w14:paraId="7D152FB3" w14:textId="77777777">
            <w:tc>
              <w:tcPr>
                <w:tcW w:w="5106" w:type="dxa"/>
                <w:tcMar/>
              </w:tcPr>
              <w:p w:rsidRPr="002A002A" w:rsidR="00FA6533" w:rsidP="00EE7DF8" w:rsidRDefault="00FA6533" w14:paraId="6E55558A" w14:textId="622F456B">
                <w:r w:rsidRPr="002A002A">
                  <w:t>Asbestos</w:t>
                </w:r>
              </w:p>
            </w:tc>
            <w:tc>
              <w:tcPr>
                <w:tcW w:w="5160" w:type="dxa"/>
                <w:tcMar/>
              </w:tcPr>
              <w:p w:rsidRPr="002A002A" w:rsidR="00FA6533" w:rsidP="00EE7DF8" w:rsidRDefault="00FA6533" w14:paraId="5ABF6F14" w14:textId="6484192D">
                <w:r w:rsidRPr="002A002A">
                  <w:t>£180</w:t>
                </w:r>
              </w:p>
            </w:tc>
          </w:tr>
          <w:tr w:rsidR="154F339D" w:rsidTr="1C348070" w14:paraId="57DDE19E" w14:textId="77777777">
            <w:trPr>
              <w:trHeight w:val="300"/>
            </w:trPr>
            <w:tc>
              <w:tcPr>
                <w:tcW w:w="5106" w:type="dxa"/>
                <w:tcMar/>
              </w:tcPr>
              <w:p w:rsidRPr="005A1590" w:rsidR="0A59DDF6" w:rsidP="1C348070" w:rsidRDefault="0A59DDF6" w14:paraId="55681CF1" w14:textId="0B99B534" w14:noSpellErr="1">
                <w:pPr/>
                <w:r w:rsidR="4C2D31A5">
                  <w:rPr/>
                  <w:t>Non-hazardous</w:t>
                </w:r>
                <w:r w:rsidR="4EDA1790">
                  <w:rPr/>
                  <w:t xml:space="preserve"> batteries (except lithium</w:t>
                </w:r>
                <w:r w:rsidR="7A970E68">
                  <w:rPr/>
                  <w:t>-</w:t>
                </w:r>
                <w:r w:rsidR="4EDA1790">
                  <w:rPr/>
                  <w:t>ion)</w:t>
                </w:r>
              </w:p>
            </w:tc>
            <w:tc>
              <w:tcPr>
                <w:tcW w:w="5160" w:type="dxa"/>
                <w:tcMar/>
              </w:tcPr>
              <w:p w:rsidR="40EE64DA" w:rsidP="154F339D" w:rsidRDefault="40EE64DA" w14:paraId="1B9FE630" w14:textId="0D304E2D">
                <w:r>
                  <w:t>£80</w:t>
                </w:r>
              </w:p>
            </w:tc>
          </w:tr>
          <w:tr w:rsidR="00FA6533" w:rsidTr="1C348070" w14:paraId="1E722C3C" w14:textId="77777777">
            <w:tc>
              <w:tcPr>
                <w:tcW w:w="5106" w:type="dxa"/>
                <w:tcMar/>
              </w:tcPr>
              <w:p w:rsidRPr="005A1590" w:rsidR="00FA6533" w:rsidP="1C348070" w:rsidRDefault="00FA6533" w14:paraId="7534ADA8" w14:textId="003043F3" w14:noSpellErr="1">
                <w:pPr/>
                <w:r w:rsidRPr="1C348070" w:rsidR="783B200C">
                  <w:rPr/>
                  <w:t xml:space="preserve">Other solid hazardous </w:t>
                </w:r>
                <w:r w:rsidRPr="1C348070" w:rsidR="4D704131">
                  <w:rPr/>
                  <w:t xml:space="preserve">waste </w:t>
                </w:r>
                <w:r w:rsidRPr="1C348070" w:rsidR="2EE8B035">
                  <w:rPr/>
                  <w:t>not included in the descriptions above</w:t>
                </w:r>
                <w:r w:rsidRPr="1C348070" w:rsidR="4D704131">
                  <w:rPr/>
                  <w:t xml:space="preserve"> and Lithium-ion batteries</w:t>
                </w:r>
                <w:r w:rsidRPr="1C348070" w:rsidR="0079480D">
                  <w:rPr>
                    <w:rStyle w:val="FootnoteReference"/>
                  </w:rPr>
                  <w:footnoteReference w:id="2"/>
                </w:r>
              </w:p>
            </w:tc>
            <w:tc>
              <w:tcPr>
                <w:tcW w:w="5160" w:type="dxa"/>
                <w:tcMar/>
              </w:tcPr>
              <w:p w:rsidRPr="002A002A" w:rsidR="00FA6533" w:rsidP="00EE7DF8" w:rsidRDefault="00FA6533" w14:paraId="00F6FDC5" w14:textId="52E4C45D">
                <w:r w:rsidRPr="002A002A">
                  <w:t>£550</w:t>
                </w:r>
              </w:p>
            </w:tc>
          </w:tr>
          <w:tr w:rsidR="00F075CE" w:rsidTr="1C348070" w14:paraId="03C59324" w14:textId="77777777">
            <w:tc>
              <w:tcPr>
                <w:tcW w:w="5106" w:type="dxa"/>
                <w:tcMar/>
              </w:tcPr>
              <w:p w:rsidRPr="002A002A" w:rsidR="00F075CE" w:rsidDel="00F075CE" w:rsidP="00EE7DF8" w:rsidRDefault="00F075CE" w14:paraId="195E9C87" w14:textId="37ECFC7B">
                <w:r>
                  <w:t>Oil</w:t>
                </w:r>
              </w:p>
            </w:tc>
            <w:tc>
              <w:tcPr>
                <w:tcW w:w="5160" w:type="dxa"/>
                <w:tcMar/>
              </w:tcPr>
              <w:p w:rsidRPr="002A002A" w:rsidR="00F075CE" w:rsidP="00EE7DF8" w:rsidRDefault="00FB055B" w14:paraId="5DA7A72F" w14:textId="04789F0E">
                <w:r>
                  <w:t>£90</w:t>
                </w:r>
              </w:p>
            </w:tc>
          </w:tr>
          <w:tr w:rsidR="00FA6533" w:rsidTr="1C348070" w14:paraId="0E1EFFE1" w14:textId="77777777">
            <w:tc>
              <w:tcPr>
                <w:tcW w:w="5106" w:type="dxa"/>
                <w:tcMar/>
              </w:tcPr>
              <w:p w:rsidRPr="002A002A" w:rsidR="00FA6533" w:rsidP="00EE7DF8" w:rsidRDefault="00FA6533" w14:paraId="5A5E7A85" w14:textId="71DBB47C">
                <w:r w:rsidRPr="002A002A">
                  <w:t>Other liquid hazardous</w:t>
                </w:r>
                <w:r w:rsidR="00F075CE">
                  <w:t xml:space="preserve"> not included in</w:t>
                </w:r>
                <w:r w:rsidR="005875A6">
                  <w:t xml:space="preserve"> the</w:t>
                </w:r>
                <w:r w:rsidR="00F075CE">
                  <w:t xml:space="preserve"> descriptions above</w:t>
                </w:r>
              </w:p>
            </w:tc>
            <w:tc>
              <w:tcPr>
                <w:tcW w:w="5160" w:type="dxa"/>
                <w:tcMar/>
              </w:tcPr>
              <w:p w:rsidRPr="002A002A" w:rsidR="00FA6533" w:rsidP="00EE7DF8" w:rsidRDefault="00FA6533" w14:paraId="758F1B80" w14:textId="601FA581">
                <w:r w:rsidRPr="002A002A">
                  <w:t>£700</w:t>
                </w:r>
              </w:p>
            </w:tc>
          </w:tr>
          <w:tr w:rsidR="00FA6533" w:rsidTr="1C348070" w14:paraId="18C2891D" w14:textId="77777777">
            <w:tc>
              <w:tcPr>
                <w:tcW w:w="5106" w:type="dxa"/>
                <w:tcMar/>
              </w:tcPr>
              <w:p w:rsidRPr="002A002A" w:rsidR="00FA6533" w:rsidP="00EE7DF8" w:rsidRDefault="00FA6533" w14:paraId="0D379440" w14:textId="44625841">
                <w:r w:rsidRPr="002A002A">
                  <w:t>Metal</w:t>
                </w:r>
              </w:p>
            </w:tc>
            <w:tc>
              <w:tcPr>
                <w:tcW w:w="5160" w:type="dxa"/>
                <w:tcMar/>
              </w:tcPr>
              <w:p w:rsidRPr="002A002A" w:rsidR="00FA6533" w:rsidP="00EE7DF8" w:rsidRDefault="00FA6533" w14:paraId="283F2030" w14:textId="47D1E612">
                <w:r w:rsidRPr="002A002A">
                  <w:t>£20</w:t>
                </w:r>
              </w:p>
            </w:tc>
          </w:tr>
          <w:tr w:rsidR="00FA6533" w:rsidTr="1C348070" w14:paraId="6A80B283" w14:textId="77777777">
            <w:tc>
              <w:tcPr>
                <w:tcW w:w="5106" w:type="dxa"/>
                <w:tcMar/>
              </w:tcPr>
              <w:p w:rsidRPr="002A002A" w:rsidR="00FA6533" w:rsidP="00EE7DF8" w:rsidRDefault="00FA6533" w14:paraId="66AA34F5" w14:textId="6AB97F44">
                <w:r w:rsidRPr="002A002A">
                  <w:t>Glass</w:t>
                </w:r>
              </w:p>
            </w:tc>
            <w:tc>
              <w:tcPr>
                <w:tcW w:w="5160" w:type="dxa"/>
                <w:tcMar/>
              </w:tcPr>
              <w:p w:rsidRPr="002A002A" w:rsidR="00FA6533" w:rsidP="00EE7DF8" w:rsidRDefault="00FA6533" w14:paraId="2ABE8853" w14:textId="5001AE97">
                <w:r w:rsidRPr="002A002A">
                  <w:t>£20</w:t>
                </w:r>
              </w:p>
            </w:tc>
          </w:tr>
          <w:tr w:rsidR="004D0A91" w:rsidTr="1C348070" w14:paraId="023E771D" w14:textId="77777777">
            <w:tc>
              <w:tcPr>
                <w:tcW w:w="5106" w:type="dxa"/>
                <w:tcMar/>
              </w:tcPr>
              <w:p w:rsidRPr="002A002A" w:rsidR="004D0A91" w:rsidP="00EE7DF8" w:rsidRDefault="00D04C9F" w14:paraId="1724E33F" w14:textId="78ED7EB2">
                <w:r>
                  <w:t>Inert waste not included in the descriptions above</w:t>
                </w:r>
              </w:p>
            </w:tc>
            <w:tc>
              <w:tcPr>
                <w:tcW w:w="5160" w:type="dxa"/>
                <w:tcMar/>
              </w:tcPr>
              <w:p w:rsidRPr="002A002A" w:rsidR="004D0A91" w:rsidP="00EE7DF8" w:rsidRDefault="008F4560" w14:paraId="7D2EAA0C" w14:textId="26B067A0">
                <w:r>
                  <w:t>£25</w:t>
                </w:r>
              </w:p>
            </w:tc>
          </w:tr>
          <w:tr w:rsidR="00D04C9F" w:rsidTr="1C348070" w14:paraId="30276F26" w14:textId="77777777">
            <w:tc>
              <w:tcPr>
                <w:tcW w:w="5106" w:type="dxa"/>
                <w:tcMar/>
              </w:tcPr>
              <w:p w:rsidRPr="002A002A" w:rsidR="00D04C9F" w:rsidP="00EE7DF8" w:rsidRDefault="008D40FE" w14:paraId="0699C2C5" w14:textId="15D1AC39">
                <w:r>
                  <w:t>Construction and demolition waste not included in the descriptions above</w:t>
                </w:r>
              </w:p>
            </w:tc>
            <w:tc>
              <w:tcPr>
                <w:tcW w:w="5160" w:type="dxa"/>
                <w:tcMar/>
              </w:tcPr>
              <w:p w:rsidRPr="002A002A" w:rsidR="00D04C9F" w:rsidP="00EE7DF8" w:rsidRDefault="008F4560" w14:paraId="53D1BC08" w14:textId="11310F6A">
                <w:r>
                  <w:t>£40</w:t>
                </w:r>
              </w:p>
            </w:tc>
          </w:tr>
          <w:tr w:rsidR="004D0A91" w:rsidTr="1C348070" w14:paraId="5FF30B74" w14:textId="77777777">
            <w:tc>
              <w:tcPr>
                <w:tcW w:w="5106" w:type="dxa"/>
                <w:tcMar/>
              </w:tcPr>
              <w:p w:rsidRPr="002A002A" w:rsidR="004D0A91" w:rsidP="00EE7DF8" w:rsidRDefault="00F075CE" w14:paraId="1CDA9953" w14:textId="574F3349">
                <w:r>
                  <w:t>Other n</w:t>
                </w:r>
                <w:r w:rsidRPr="002A002A" w:rsidR="00990541">
                  <w:t>on-hazardous waste</w:t>
                </w:r>
                <w:r>
                  <w:t xml:space="preserve"> not included in the descriptions above</w:t>
                </w:r>
                <w:r w:rsidRPr="002A002A" w:rsidR="00990541">
                  <w:t xml:space="preserve"> (e.g. Commercial &amp; Industrial Waste)</w:t>
                </w:r>
              </w:p>
            </w:tc>
            <w:tc>
              <w:tcPr>
                <w:tcW w:w="5160" w:type="dxa"/>
                <w:tcMar/>
              </w:tcPr>
              <w:p w:rsidRPr="002A002A" w:rsidR="004D0A91" w:rsidP="00EE7DF8" w:rsidRDefault="008F4560" w14:paraId="0938B7E2" w14:textId="023FC1D2">
                <w:r>
                  <w:t>£45</w:t>
                </w:r>
              </w:p>
            </w:tc>
          </w:tr>
        </w:tbl>
        <w:p w:rsidR="00EE7DF8" w:rsidP="00EE7DF8" w:rsidRDefault="00EE7DF8" w14:paraId="1A915331" w14:textId="77777777"/>
        <w:p w:rsidR="00352424" w:rsidP="00ED3EE7" w:rsidRDefault="00352424" w14:paraId="3AD55D24" w14:textId="77777777">
          <w:r>
            <w:t xml:space="preserve">The </w:t>
          </w:r>
          <w:r w:rsidRPr="002A002A" w:rsidR="002A002A">
            <w:t>above figures are indicative only. There may be specific circumstances related to the site, the activity or the applicant which will merit a different/increased multiplier being used. There is a £500 minimum financial provision that must be demonstrated. SEPA may adjust this figure from time to time.</w:t>
          </w:r>
        </w:p>
        <w:p w:rsidRPr="009814A1" w:rsidR="009055D2" w:rsidP="00ED3EE7" w:rsidRDefault="002A3D93" w14:paraId="7DEEEB8E" w14:textId="77777777">
          <w:r w:rsidRPr="009814A1">
            <w:t>For some</w:t>
          </w:r>
          <w:r w:rsidRPr="009814A1" w:rsidR="00A3328E">
            <w:t xml:space="preserve"> permits</w:t>
          </w:r>
          <w:r w:rsidRPr="009814A1">
            <w:t>, a different mechanism is more appropriate.</w:t>
          </w:r>
        </w:p>
        <w:p w:rsidRPr="009814A1" w:rsidR="006B2086" w:rsidP="00ED3EE7" w:rsidRDefault="002A3D93" w14:paraId="2DE1A725" w14:textId="19AFA1FC">
          <w:r w:rsidRPr="009814A1">
            <w:t xml:space="preserve">For </w:t>
          </w:r>
          <w:r w:rsidRPr="009814A1" w:rsidR="00835D1A">
            <w:t>remedial treatment authorisations (</w:t>
          </w:r>
          <w:r w:rsidRPr="009814A1" w:rsidR="00A30BE4">
            <w:t xml:space="preserve">waste </w:t>
          </w:r>
          <w:r w:rsidRPr="009814A1">
            <w:t>mobile plant</w:t>
          </w:r>
          <w:r w:rsidRPr="009814A1" w:rsidR="00835D1A">
            <w:t>)</w:t>
          </w:r>
          <w:r w:rsidRPr="009814A1">
            <w:t xml:space="preserve">, as there can be no specific site at the application stage </w:t>
          </w:r>
          <w:r w:rsidRPr="009814A1" w:rsidR="009055D2">
            <w:t>and therefore a storage capacity is not known</w:t>
          </w:r>
          <w:r w:rsidRPr="009814A1" w:rsidR="003052E3">
            <w:t>,</w:t>
          </w:r>
          <w:r w:rsidRPr="009814A1">
            <w:t xml:space="preserve"> a flat assessment figure of £5,000 will be used. </w:t>
          </w:r>
        </w:p>
        <w:p w:rsidRPr="009814A1" w:rsidR="00D36257" w:rsidP="00ED3EE7" w:rsidRDefault="00CD6C34" w14:paraId="1E0F9982" w14:textId="22CFBAFF">
          <w:r w:rsidRPr="009814A1">
            <w:t xml:space="preserve">For </w:t>
          </w:r>
          <w:r w:rsidRPr="009814A1" w:rsidR="00A3328E">
            <w:t>permits</w:t>
          </w:r>
          <w:r w:rsidRPr="009814A1">
            <w:t xml:space="preserve"> where </w:t>
          </w:r>
          <w:r w:rsidRPr="009814A1" w:rsidR="00CB3DF0">
            <w:t>multiple site</w:t>
          </w:r>
          <w:r w:rsidRPr="009814A1" w:rsidR="00A63073">
            <w:t xml:space="preserve">s are </w:t>
          </w:r>
          <w:r w:rsidRPr="009814A1" w:rsidR="00B807C1">
            <w:t>used for soil improvement</w:t>
          </w:r>
          <w:r w:rsidRPr="009814A1" w:rsidR="001B2F4A">
            <w:t xml:space="preserve">, </w:t>
          </w:r>
          <w:r w:rsidRPr="009814A1" w:rsidR="00DC2151">
            <w:t xml:space="preserve">financial </w:t>
          </w:r>
          <w:r w:rsidRPr="009814A1" w:rsidR="002E0D7B">
            <w:t>provision</w:t>
          </w:r>
          <w:r w:rsidRPr="009814A1" w:rsidR="005A33A4">
            <w:t xml:space="preserve"> </w:t>
          </w:r>
          <w:r w:rsidRPr="009814A1" w:rsidR="000F0D44">
            <w:t xml:space="preserve">will </w:t>
          </w:r>
          <w:r w:rsidRPr="009814A1" w:rsidR="005A33A4">
            <w:t xml:space="preserve">be </w:t>
          </w:r>
          <w:r w:rsidRPr="009814A1" w:rsidR="006E210E">
            <w:t>based on the number of locations where the activity is to be carried out</w:t>
          </w:r>
          <w:r w:rsidRPr="009814A1" w:rsidR="005A33A4">
            <w:t>.</w:t>
          </w:r>
          <w:r w:rsidRPr="009814A1" w:rsidR="00D36257">
            <w:t xml:space="preserve"> </w:t>
          </w:r>
          <w:r w:rsidRPr="009814A1" w:rsidR="002E0D7B">
            <w:t xml:space="preserve">The </w:t>
          </w:r>
          <w:r w:rsidRPr="009814A1" w:rsidR="00037382">
            <w:t>assessment will use the square root of the number of locations</w:t>
          </w:r>
          <w:r w:rsidRPr="009814A1" w:rsidR="000C0725">
            <w:t xml:space="preserve"> multiplied by £5,000</w:t>
          </w:r>
          <w:r w:rsidRPr="009814A1" w:rsidR="00756C6A">
            <w:t xml:space="preserve"> (which is based on estimates of the cost of sampling, analysis</w:t>
          </w:r>
          <w:r w:rsidRPr="009814A1" w:rsidR="00485AF5">
            <w:t>, calculations and operations at each location</w:t>
          </w:r>
          <w:r w:rsidRPr="009814A1" w:rsidR="007705C7">
            <w:t>).</w:t>
          </w:r>
          <w:r w:rsidRPr="009814A1" w:rsidR="00D36257">
            <w:t xml:space="preserve"> </w:t>
          </w:r>
        </w:p>
        <w:p w:rsidR="004430A7" w:rsidP="00ED3EE7" w:rsidRDefault="00D36257" w14:paraId="2765E14C" w14:textId="2EF1FF0B">
          <w:r w:rsidRPr="009814A1">
            <w:t xml:space="preserve">For </w:t>
          </w:r>
          <w:r w:rsidRPr="009814A1" w:rsidR="006E210E">
            <w:t xml:space="preserve">other </w:t>
          </w:r>
          <w:r w:rsidRPr="009814A1">
            <w:t xml:space="preserve">activities where the </w:t>
          </w:r>
          <w:r w:rsidRPr="009814A1" w:rsidR="00591174">
            <w:t xml:space="preserve">authorisation intends for </w:t>
          </w:r>
          <w:r w:rsidRPr="009814A1">
            <w:t>wastes to be left in situ (</w:t>
          </w:r>
          <w:r w:rsidRPr="009814A1" w:rsidR="00A06AC2">
            <w:t>e.g.</w:t>
          </w:r>
          <w:r w:rsidRPr="009814A1">
            <w:t xml:space="preserve"> recovery authorisations in quarries) financial provision will not be based on site clearance but rather a projected cost of restoration.</w:t>
          </w:r>
        </w:p>
        <w:p w:rsidRPr="00105F31" w:rsidR="00352424" w:rsidP="00352424" w:rsidRDefault="00352424" w14:paraId="5B772110" w14:textId="69E92E07">
          <w:pPr>
            <w:pStyle w:val="Heading2"/>
          </w:pPr>
          <w:r>
            <w:t>Ongoing demonstration of financial provision</w:t>
          </w:r>
        </w:p>
        <w:p w:rsidR="002B6E38" w:rsidP="006243FF" w:rsidRDefault="002A002A" w14:paraId="4D700126" w14:textId="77777777">
          <w:r w:rsidR="6B93E904">
            <w:rPr/>
            <w:t xml:space="preserve">Generally, the financial provision test will only be relevant at the application stage, and SEPA would not </w:t>
          </w:r>
          <w:r w:rsidR="5D6003D8">
            <w:rPr/>
            <w:t xml:space="preserve">normally </w:t>
          </w:r>
          <w:r w:rsidR="6B93E904">
            <w:rPr/>
            <w:t xml:space="preserve">check an authorisation holder’s financial standing on an ongoing basis. However, where specific circumstances related to the site, the activity or the authorisation holder make it appropriate, SEPA may undertake ongoing financial provision checks and may require the authorisation holder to make additional or alternative financial provision. </w:t>
          </w:r>
        </w:p>
        <w:p w:rsidR="002B6E38" w:rsidP="006243FF" w:rsidRDefault="002B6E38" w14:paraId="0DF3DA3B" w14:textId="77777777"/>
        <w:p w:rsidR="002B6E38" w:rsidP="006243FF" w:rsidRDefault="002B6E38" w14:paraId="48A49445" w14:textId="77777777"/>
        <w:p w:rsidR="002B6E38" w:rsidP="006243FF" w:rsidRDefault="002B6E38" w14:paraId="5C298394" w14:textId="77777777"/>
        <w:p w:rsidRPr="006243FF" w:rsidR="00A06AC2" w:rsidP="006243FF" w:rsidRDefault="00281BB1" w14:textId="6CD901DE" w14:paraId="553E97BF" w14:noSpellErr="1"/>
        <w:p w:rsidRPr="006243FF" w:rsidR="00A06AC2" w:rsidP="006243FF" w:rsidRDefault="00281BB1" w14:paraId="0C5C196D" w14:textId="27F357B9"/>
        <w:p w:rsidRPr="006243FF" w:rsidR="00A06AC2" w:rsidP="006243FF" w:rsidRDefault="00281BB1" w14:paraId="55A5406E" w14:textId="5A67980C">
          <w:r w:rsidRPr="00EA297B">
            <w:rPr>
              <w:noProof/>
            </w:rPr>
            <mc:AlternateContent>
              <mc:Choice Requires="wps">
                <w:drawing>
                  <wp:anchor distT="0" distB="0" distL="114300" distR="114300" simplePos="0" relativeHeight="251658240" behindDoc="0" locked="1" layoutInCell="1" allowOverlap="1" wp14:anchorId="138BDB7C" wp14:editId="776FDEB6">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rsidRPr="009A240D" w:rsidR="00281BB1" w:rsidP="00281BB1" w:rsidRDefault="00281BB1" w14:paraId="30707BF6" w14:textId="77777777">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38BDB7C">
                    <v:stroke joinstyle="miter"/>
                    <v:path gradientshapeok="t" o:connecttype="rect"/>
                  </v:shapetype>
                  <v:shape id="Text Box 3"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quot;&quo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v:textbox inset="0,0,0,0">
                      <w:txbxContent>
                        <w:p w:rsidRPr="009A240D" w:rsidR="00281BB1" w:rsidP="00281BB1" w:rsidRDefault="00281BB1" w14:paraId="30707BF6" w14:textId="77777777">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p w:rsidRPr="006243FF" w:rsidR="00A06AC2" w:rsidP="1C348070" w:rsidRDefault="00281BB1" w14:paraId="586B7782" w14:textId="12776549">
      <w:pPr>
        <w:spacing w:before="0" w:beforeAutospacing="off" w:after="240" w:afterAutospacing="off" w:line="360" w:lineRule="auto"/>
      </w:pPr>
      <w:r w:rsidRPr="1C348070" w:rsidR="1784D291">
        <w:rPr>
          <w:rFonts w:ascii="Arial" w:hAnsi="Arial" w:eastAsia="Arial" w:cs="Arial"/>
          <w:noProof w:val="0"/>
          <w:sz w:val="32"/>
          <w:szCs w:val="32"/>
          <w:lang w:val="en-GB"/>
        </w:rPr>
        <w:t xml:space="preserve">If you would like this document in an accessible format, such as large print, audio recording or braille, please contact SEPA by emailing </w:t>
      </w:r>
      <w:hyperlink r:id="R29c98a02be8a4777">
        <w:r w:rsidRPr="1C348070" w:rsidR="1784D291">
          <w:rPr>
            <w:rStyle w:val="Hyperlink"/>
            <w:rFonts w:ascii="Arial" w:hAnsi="Arial" w:eastAsia="Arial" w:cs="Arial"/>
            <w:strike w:val="0"/>
            <w:dstrike w:val="0"/>
            <w:noProof w:val="0"/>
            <w:color w:val="016574" w:themeColor="accent6" w:themeTint="FF" w:themeShade="FF"/>
            <w:sz w:val="32"/>
            <w:szCs w:val="32"/>
            <w:u w:val="single"/>
            <w:lang w:val="en-GB"/>
          </w:rPr>
          <w:t>equalities@sepa.org.uk</w:t>
        </w:r>
      </w:hyperlink>
    </w:p>
    <w:p w:rsidR="1C348070" w:rsidP="1C348070" w:rsidRDefault="1C348070" w14:paraId="174102CE" w14:textId="66049FF9">
      <w:pPr>
        <w:pStyle w:val="BodyText1"/>
        <w:rPr>
          <w:color w:val="016574" w:themeColor="accent6" w:themeTint="FF" w:themeShade="FF"/>
        </w:rPr>
      </w:pPr>
    </w:p>
    <w:sectPr w:rsidRPr="00E245AC" w:rsidR="006243FF" w:rsidSect="00917BB1">
      <w:headerReference w:type="default" r:id="rId20"/>
      <w:footerReference w:type="even" r:id="rId21"/>
      <w:footerReference w:type="default" r:id="rId22"/>
      <w:headerReference w:type="first" r:id="rId23"/>
      <w:footerReference w:type="first" r:id="rId24"/>
      <w:pgSz w:w="11900" w:h="16840" w:orient="portrait"/>
      <w:pgMar w:top="839" w:right="839" w:bottom="839" w:left="839" w:header="794" w:footer="567"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PL" w:author="Lang, Peter" w:date="2024-12-19T09:00:00Z" w:id="0">
    <w:p w:rsidR="0056668E" w:rsidP="0056668E" w:rsidRDefault="0056668E" w14:paraId="155193DF" w14:textId="77777777">
      <w:pPr>
        <w:pStyle w:val="CommentText"/>
      </w:pPr>
      <w:r>
        <w:rPr>
          <w:rStyle w:val="CommentReference"/>
        </w:rPr>
        <w:annotationRef/>
      </w:r>
      <w:r>
        <w:t>Have re-ordered this to put more general descriptions at the bottom and be clearer that they are catch alls to be used when dspecific descriptions don’t apply - we get for example tyre operators saying they are non - haz and wanting to use that multiplier currently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5193D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FCB946" w16cex:dateUtc="2024-12-19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5193DF" w16cid:durableId="4EFCB9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3846" w:rsidP="00660C79" w:rsidRDefault="00203846" w14:paraId="65DABE5A" w14:textId="77777777">
      <w:pPr>
        <w:spacing w:line="240" w:lineRule="auto"/>
      </w:pPr>
      <w:r>
        <w:separator/>
      </w:r>
    </w:p>
  </w:endnote>
  <w:endnote w:type="continuationSeparator" w:id="0">
    <w:p w:rsidR="00203846" w:rsidP="00660C79" w:rsidRDefault="00203846" w14:paraId="18DFDE63" w14:textId="77777777">
      <w:pPr>
        <w:spacing w:line="240" w:lineRule="auto"/>
      </w:pPr>
      <w:r>
        <w:continuationSeparator/>
      </w:r>
    </w:p>
  </w:endnote>
  <w:endnote w:type="continuationNotice" w:id="1">
    <w:p w:rsidR="00203846" w:rsidRDefault="00203846" w14:paraId="7E44AF8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rsidR="00EC6A73" w:rsidRDefault="00EC6A73" w14:paraId="1AFFA362"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rsidR="00917BB1" w:rsidP="00EC6A73" w:rsidRDefault="00917BB1" w14:paraId="5C2BB32D" w14:textId="77777777">
        <w:pPr>
          <w:pStyle w:val="Footer"/>
          <w:framePr w:wrap="none" w:hAnchor="margin" w:vAnchor="text"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17BB1" w:rsidP="00917BB1" w:rsidRDefault="00917BB1" w14:paraId="1385B79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xmlns:pic="http://schemas.openxmlformats.org/drawingml/2006/picture" mc:Ignorable="w14 w15 w16se w16cid w16 w16cex w16sdtdh w16sdtfl w16du wp14">
  <w:p w:rsidR="00EC6A73" w:rsidP="00917BB1" w:rsidRDefault="002369CA" w14:paraId="72BFD1EA" w14:textId="77777777">
    <w:pPr>
      <w:pStyle w:val="Footer"/>
      <w:ind w:right="360"/>
    </w:pPr>
    <w:r>
      <w:rPr>
        <w:noProof/>
      </w:rPr>
      <mc:AlternateContent>
        <mc:Choice Requires="wps">
          <w:drawing>
            <wp:anchor distT="0" distB="0" distL="114300" distR="114300" simplePos="0" relativeHeight="251658244" behindDoc="0" locked="0" layoutInCell="0" allowOverlap="1" wp14:anchorId="5BFC37F5" wp14:editId="75FB8A44">
              <wp:simplePos x="0" y="0"/>
              <wp:positionH relativeFrom="page">
                <wp:posOffset>0</wp:posOffset>
              </wp:positionH>
              <wp:positionV relativeFrom="page">
                <wp:posOffset>10229215</wp:posOffset>
              </wp:positionV>
              <wp:extent cx="7556500" cy="273050"/>
              <wp:effectExtent l="0" t="0" r="0" b="12700"/>
              <wp:wrapNone/>
              <wp:docPr id="5" name="MSIPCM5e5e4a189a8ec75f16fc991b">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369CA" w:rsidR="002369CA" w:rsidP="002369CA" w:rsidRDefault="002369CA" w14:paraId="70E73ED8" w14:textId="77777777">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v:shapetype id="_x0000_t202" coordsize="21600,21600" o:spt="202" path="m,l,21600r21600,l21600,xe" w14:anchorId="5BFC37F5">
              <v:stroke joinstyle="miter"/>
              <v:path gradientshapeok="t" o:connecttype="rect"/>
            </v:shapetype>
            <v:shape id="MSIPCM5e5e4a189a8ec75f16fc991b" style="position:absolute;margin-left:0;margin-top:805.45pt;width:59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v:textbox inset=",0,,0">
                <w:txbxContent>
                  <w:p w:rsidRPr="002369CA" w:rsidR="002369CA" w:rsidP="002369CA" w:rsidRDefault="002369CA" w14:paraId="70E73ED8" w14:textId="77777777">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p w:rsidR="00917BB1" w:rsidP="00917BB1" w:rsidRDefault="000E0D15" w14:paraId="43E4F9A4" w14:textId="77777777">
    <w:pPr>
      <w:pStyle w:val="Footer"/>
      <w:ind w:right="360"/>
    </w:pPr>
    <w:r>
      <w:rPr>
        <w:noProof/>
      </w:rPr>
      <mc:AlternateContent>
        <mc:Choice Requires="wps">
          <w:drawing>
            <wp:anchor distT="0" distB="0" distL="114300" distR="114300" simplePos="0" relativeHeight="251658241" behindDoc="0" locked="0" layoutInCell="1" allowOverlap="1" wp14:anchorId="4DF451DB" wp14:editId="30F521D7">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v:line id="Straight Connector 10" style="position:absolute;z-index:25166028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2C1C42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rsidR="00EC6A73" w:rsidP="00EC6A73" w:rsidRDefault="00EC6A73" w14:paraId="4249D754" w14:textId="77777777">
        <w:pPr>
          <w:pStyle w:val="Footer"/>
          <w:framePr w:wrap="none" w:hAnchor="page" w:vAnchor="text"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17BB1" w:rsidP="00917BB1" w:rsidRDefault="00917BB1" w14:paraId="25D687AF" w14:textId="77777777">
    <w:pPr>
      <w:pStyle w:val="Footer"/>
      <w:ind w:right="360"/>
    </w:pPr>
    <w:r>
      <w:rPr>
        <w:noProof/>
      </w:rPr>
      <w:drawing>
        <wp:inline distT="0" distB="0" distL="0" distR="0" wp14:anchorId="4720026E" wp14:editId="320A212F">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p w:rsidR="002369CA" w:rsidRDefault="002369CA" w14:paraId="32A477E9" w14:textId="77777777">
    <w:pPr>
      <w:pStyle w:val="Footer"/>
    </w:pPr>
    <w:r>
      <w:rPr>
        <w:noProof/>
      </w:rPr>
      <mc:AlternateContent>
        <mc:Choice Requires="wps">
          <w:drawing>
            <wp:anchor distT="0" distB="0" distL="114300" distR="114300" simplePos="0" relativeHeight="251658245" behindDoc="0" locked="0" layoutInCell="0" allowOverlap="1" wp14:anchorId="4BD761A5" wp14:editId="20C9DDAC">
              <wp:simplePos x="0" y="0"/>
              <wp:positionH relativeFrom="page">
                <wp:posOffset>0</wp:posOffset>
              </wp:positionH>
              <wp:positionV relativeFrom="page">
                <wp:posOffset>10229215</wp:posOffset>
              </wp:positionV>
              <wp:extent cx="7556500" cy="273050"/>
              <wp:effectExtent l="0" t="0" r="0" b="12700"/>
              <wp:wrapNone/>
              <wp:docPr id="8" name="MSIPCM4e4a48088b4676f42cc92ab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369CA" w:rsidR="002369CA" w:rsidP="002369CA" w:rsidRDefault="002369CA" w14:paraId="1AB671C6" w14:textId="77777777">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dec="http://schemas.microsoft.com/office/drawing/2017/decorative" xmlns:a="http://schemas.openxmlformats.org/drawingml/2006/main">
          <w:pict>
            <v:shapetype id="_x0000_t202" coordsize="21600,21600" o:spt="202" path="m,l,21600r21600,l21600,xe" w14:anchorId="4BD761A5">
              <v:stroke joinstyle="miter"/>
              <v:path gradientshapeok="t" o:connecttype="rect"/>
            </v:shapetype>
            <v:shape id="MSIPCM4e4a48088b4676f42cc92ab1" style="position:absolute;margin-left:0;margin-top:805.45pt;width:595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v:textbox inset=",0,,0">
                <w:txbxContent>
                  <w:p w:rsidRPr="002369CA" w:rsidR="002369CA" w:rsidP="002369CA" w:rsidRDefault="002369CA" w14:paraId="1AB671C6" w14:textId="77777777">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3846" w:rsidP="00660C79" w:rsidRDefault="00203846" w14:paraId="2223D1A9" w14:textId="77777777">
      <w:pPr>
        <w:spacing w:line="240" w:lineRule="auto"/>
      </w:pPr>
      <w:r>
        <w:separator/>
      </w:r>
    </w:p>
  </w:footnote>
  <w:footnote w:type="continuationSeparator" w:id="0">
    <w:p w:rsidR="00203846" w:rsidP="00660C79" w:rsidRDefault="00203846" w14:paraId="4C0C3B26" w14:textId="77777777">
      <w:pPr>
        <w:spacing w:line="240" w:lineRule="auto"/>
      </w:pPr>
      <w:r>
        <w:continuationSeparator/>
      </w:r>
    </w:p>
  </w:footnote>
  <w:footnote w:type="continuationNotice" w:id="1">
    <w:p w:rsidR="00203846" w:rsidRDefault="00203846" w14:paraId="7317E456" w14:textId="77777777">
      <w:pPr>
        <w:spacing w:after="0" w:line="240" w:lineRule="auto"/>
      </w:pPr>
    </w:p>
  </w:footnote>
  <w:footnote w:id="2">
    <w:p w:rsidR="0079480D" w:rsidRDefault="0079480D" w14:paraId="56AB7893" w14:textId="6008CDFF">
      <w:pPr>
        <w:pStyle w:val="FootnoteText"/>
      </w:pPr>
      <w:r>
        <w:rPr>
          <w:rStyle w:val="FootnoteReference"/>
        </w:rPr>
        <w:footnoteRef/>
      </w:r>
      <w:r>
        <w:t xml:space="preserve"> Lithium-ion batteries are </w:t>
      </w:r>
      <w:r w:rsidR="00726A3A">
        <w:t>to become hazardous waste at EU level in 20</w:t>
      </w:r>
      <w:r w:rsidR="00011F6A">
        <w:t xml:space="preserve">26 and will be treated as hazardous waste for the purpose of this guidance.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p w:rsidRPr="00917BB1" w:rsidR="008D113C" w:rsidP="008D113C" w:rsidRDefault="002369CA" w14:paraId="2BA9B64C" w14:textId="6290B588">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58242" behindDoc="0" locked="0" layoutInCell="0" allowOverlap="1" wp14:anchorId="0C0A97A4" wp14:editId="0D683491">
              <wp:simplePos x="0" y="0"/>
              <wp:positionH relativeFrom="page">
                <wp:posOffset>0</wp:posOffset>
              </wp:positionH>
              <wp:positionV relativeFrom="page">
                <wp:posOffset>190500</wp:posOffset>
              </wp:positionV>
              <wp:extent cx="7556500" cy="273050"/>
              <wp:effectExtent l="0" t="0" r="0" b="12700"/>
              <wp:wrapNone/>
              <wp:docPr id="1" name="MSIPCM3e7c4667b3fb4a16462b8c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369CA" w:rsidR="002369CA" w:rsidP="002369CA" w:rsidRDefault="002369CA" w14:paraId="49787A57" w14:textId="77777777">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dec="http://schemas.microsoft.com/office/drawing/2017/decorative" xmlns:a="http://schemas.openxmlformats.org/drawingml/2006/main">
          <w:pict>
            <v:shapetype id="_x0000_t202" coordsize="21600,21600" o:spt="202" path="m,l,21600r21600,l21600,xe" w14:anchorId="0C0A97A4">
              <v:stroke joinstyle="miter"/>
              <v:path gradientshapeok="t" o:connecttype="rect"/>
            </v:shapetype>
            <v:shape id="MSIPCM3e7c4667b3fb4a16462b8c07" style="position:absolute;left:0;text-align:left;margin-left:0;margin-top:15pt;width:59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alt="&quot;&quot;"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v:textbox inset=",0,,0">
                <w:txbxContent>
                  <w:p w:rsidRPr="002369CA" w:rsidR="002369CA" w:rsidP="002369CA" w:rsidRDefault="002369CA" w14:paraId="49787A57" w14:textId="77777777">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r w:rsidR="00FA6533">
      <w:rPr>
        <w:color w:val="6E7571" w:themeColor="text2"/>
      </w:rPr>
      <w:t>Financial Provision for Waste Management Activities</w:t>
    </w:r>
  </w:p>
  <w:p w:rsidR="008D113C" w:rsidP="008D113C" w:rsidRDefault="007D441B" w14:paraId="28C35349" w14:textId="77777777">
    <w:pPr>
      <w:pStyle w:val="BodyText1"/>
      <w:jc w:val="right"/>
    </w:pPr>
    <w:r>
      <w:rPr>
        <w:noProof/>
      </w:rPr>
      <mc:AlternateContent>
        <mc:Choice Requires="wps">
          <w:drawing>
            <wp:anchor distT="0" distB="0" distL="114300" distR="114300" simplePos="0" relativeHeight="251658240" behindDoc="0" locked="0" layoutInCell="1" allowOverlap="1" wp14:anchorId="71B544D0" wp14:editId="521DCADC">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adec="http://schemas.microsoft.com/office/drawing/2017/decorative" xmlns:a="http://schemas.openxmlformats.org/drawingml/2006/main">
          <w:pict>
            <v:line id="Straight Connector 7"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021C0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p w:rsidR="002369CA" w:rsidRDefault="002369CA" w14:paraId="1494E1AF" w14:textId="77777777">
    <w:pPr>
      <w:pStyle w:val="Header"/>
    </w:pPr>
    <w:r>
      <w:rPr>
        <w:noProof/>
      </w:rPr>
      <mc:AlternateContent>
        <mc:Choice Requires="wps">
          <w:drawing>
            <wp:anchor distT="0" distB="0" distL="114300" distR="114300" simplePos="0" relativeHeight="251658243" behindDoc="0" locked="0" layoutInCell="0" allowOverlap="1" wp14:anchorId="49A7DF24" wp14:editId="48284477">
              <wp:simplePos x="0" y="0"/>
              <wp:positionH relativeFrom="page">
                <wp:posOffset>0</wp:posOffset>
              </wp:positionH>
              <wp:positionV relativeFrom="page">
                <wp:posOffset>190500</wp:posOffset>
              </wp:positionV>
              <wp:extent cx="7556500" cy="273050"/>
              <wp:effectExtent l="0" t="0" r="0" b="12700"/>
              <wp:wrapNone/>
              <wp:docPr id="4" name="MSIPCMa3a54bf5b0225d2ae74b3b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369CA" w:rsidR="002369CA" w:rsidP="002369CA" w:rsidRDefault="002369CA" w14:paraId="56503337" w14:textId="77777777">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dec="http://schemas.microsoft.com/office/drawing/2017/decorative" xmlns:a="http://schemas.openxmlformats.org/drawingml/2006/main">
          <w:pict>
            <v:shapetype id="_x0000_t202" coordsize="21600,21600" o:spt="202" path="m,l,21600r21600,l21600,xe" w14:anchorId="49A7DF24">
              <v:stroke joinstyle="miter"/>
              <v:path gradientshapeok="t" o:connecttype="rect"/>
            </v:shapetype>
            <v:shape id="MSIPCMa3a54bf5b0225d2ae74b3b10" style="position:absolute;margin-left:0;margin-top:15pt;width:59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alt="&quot;&quot;"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v:textbox inset=",0,,0">
                <w:txbxContent>
                  <w:p w:rsidRPr="002369CA" w:rsidR="002369CA" w:rsidP="002369CA" w:rsidRDefault="002369CA" w14:paraId="56503337" w14:textId="77777777">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421668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04802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F61102C"/>
    <w:multiLevelType w:val="hybridMultilevel"/>
    <w:tmpl w:val="AD96D18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38740831"/>
    <w:multiLevelType w:val="hybridMultilevel"/>
    <w:tmpl w:val="CA9C79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EB5163C"/>
    <w:multiLevelType w:val="hybridMultilevel"/>
    <w:tmpl w:val="A64E66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BA2D0C"/>
    <w:multiLevelType w:val="hybridMultilevel"/>
    <w:tmpl w:val="B18019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6">
    <w:abstractNumId w:val="15"/>
  </w:num>
  <w:num w:numId="15">
    <w:abstractNumId w:val="14"/>
  </w: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13"/>
  </w:num>
  <w:num w:numId="12" w16cid:durableId="1790124736">
    <w:abstractNumId w:val="12"/>
  </w:num>
  <w:num w:numId="13" w16cid:durableId="147093385">
    <w:abstractNumId w:val="10"/>
  </w:num>
  <w:num w:numId="14" w16cid:durableId="193713293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ng, Peter">
    <w15:presenceInfo w15:providerId="AD" w15:userId="S::Peter.Lang@SEPA.org.uk::9db1f9b2-2d82-49be-873d-f4242388df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A"/>
    <w:rsid w:val="00011F6A"/>
    <w:rsid w:val="0001698E"/>
    <w:rsid w:val="0001780A"/>
    <w:rsid w:val="00023A12"/>
    <w:rsid w:val="00032829"/>
    <w:rsid w:val="00037382"/>
    <w:rsid w:val="00040561"/>
    <w:rsid w:val="00041A0D"/>
    <w:rsid w:val="000475AE"/>
    <w:rsid w:val="00062174"/>
    <w:rsid w:val="00065A6F"/>
    <w:rsid w:val="00070937"/>
    <w:rsid w:val="00091EB2"/>
    <w:rsid w:val="000A207D"/>
    <w:rsid w:val="000B05C0"/>
    <w:rsid w:val="000B0B75"/>
    <w:rsid w:val="000B7559"/>
    <w:rsid w:val="000B7872"/>
    <w:rsid w:val="000C0725"/>
    <w:rsid w:val="000D49D5"/>
    <w:rsid w:val="000E0D15"/>
    <w:rsid w:val="000E7EC1"/>
    <w:rsid w:val="000F0D44"/>
    <w:rsid w:val="000F3735"/>
    <w:rsid w:val="000F4AC0"/>
    <w:rsid w:val="000F60CC"/>
    <w:rsid w:val="00105F31"/>
    <w:rsid w:val="0011766E"/>
    <w:rsid w:val="001567F7"/>
    <w:rsid w:val="00170960"/>
    <w:rsid w:val="001B2F4A"/>
    <w:rsid w:val="001C3C48"/>
    <w:rsid w:val="001D3A97"/>
    <w:rsid w:val="001D75D4"/>
    <w:rsid w:val="001E3F1F"/>
    <w:rsid w:val="001F47E3"/>
    <w:rsid w:val="00203846"/>
    <w:rsid w:val="002104F2"/>
    <w:rsid w:val="00210EFC"/>
    <w:rsid w:val="002136F9"/>
    <w:rsid w:val="00232D43"/>
    <w:rsid w:val="00235135"/>
    <w:rsid w:val="00236552"/>
    <w:rsid w:val="002369CA"/>
    <w:rsid w:val="00246E18"/>
    <w:rsid w:val="00281BB1"/>
    <w:rsid w:val="00296CFA"/>
    <w:rsid w:val="002A002A"/>
    <w:rsid w:val="002A196B"/>
    <w:rsid w:val="002A32A5"/>
    <w:rsid w:val="002A3D93"/>
    <w:rsid w:val="002B29CE"/>
    <w:rsid w:val="002B492C"/>
    <w:rsid w:val="002B6E38"/>
    <w:rsid w:val="002B748E"/>
    <w:rsid w:val="002C052B"/>
    <w:rsid w:val="002C1D50"/>
    <w:rsid w:val="002C7710"/>
    <w:rsid w:val="002D717C"/>
    <w:rsid w:val="002E0110"/>
    <w:rsid w:val="002E0D7B"/>
    <w:rsid w:val="0030096D"/>
    <w:rsid w:val="0030479F"/>
    <w:rsid w:val="003052E3"/>
    <w:rsid w:val="00317618"/>
    <w:rsid w:val="00352424"/>
    <w:rsid w:val="003631CD"/>
    <w:rsid w:val="0038089C"/>
    <w:rsid w:val="003970D4"/>
    <w:rsid w:val="003A0D62"/>
    <w:rsid w:val="003A55C6"/>
    <w:rsid w:val="003D2742"/>
    <w:rsid w:val="003D309C"/>
    <w:rsid w:val="003F5384"/>
    <w:rsid w:val="004073BC"/>
    <w:rsid w:val="00412609"/>
    <w:rsid w:val="00416395"/>
    <w:rsid w:val="00417DCE"/>
    <w:rsid w:val="004430A7"/>
    <w:rsid w:val="00444AA1"/>
    <w:rsid w:val="00466D27"/>
    <w:rsid w:val="00485478"/>
    <w:rsid w:val="00485AF5"/>
    <w:rsid w:val="004D0A91"/>
    <w:rsid w:val="004D6DB1"/>
    <w:rsid w:val="004D71EE"/>
    <w:rsid w:val="004E7C70"/>
    <w:rsid w:val="004F1BB6"/>
    <w:rsid w:val="004F567E"/>
    <w:rsid w:val="005145B1"/>
    <w:rsid w:val="0052545F"/>
    <w:rsid w:val="00534E8D"/>
    <w:rsid w:val="00535156"/>
    <w:rsid w:val="00564578"/>
    <w:rsid w:val="0056668E"/>
    <w:rsid w:val="005759EF"/>
    <w:rsid w:val="00580748"/>
    <w:rsid w:val="005875A6"/>
    <w:rsid w:val="005900AA"/>
    <w:rsid w:val="00591174"/>
    <w:rsid w:val="00595F0F"/>
    <w:rsid w:val="005A1590"/>
    <w:rsid w:val="005A33A4"/>
    <w:rsid w:val="005A355E"/>
    <w:rsid w:val="005A3A96"/>
    <w:rsid w:val="005B2EE0"/>
    <w:rsid w:val="005C0440"/>
    <w:rsid w:val="005C409F"/>
    <w:rsid w:val="005D1213"/>
    <w:rsid w:val="005D7437"/>
    <w:rsid w:val="006033E7"/>
    <w:rsid w:val="00606C28"/>
    <w:rsid w:val="006243FF"/>
    <w:rsid w:val="00631243"/>
    <w:rsid w:val="00660C79"/>
    <w:rsid w:val="00676483"/>
    <w:rsid w:val="00687442"/>
    <w:rsid w:val="006B2086"/>
    <w:rsid w:val="006B5DE4"/>
    <w:rsid w:val="006C2347"/>
    <w:rsid w:val="006C522B"/>
    <w:rsid w:val="006D169A"/>
    <w:rsid w:val="006D16CE"/>
    <w:rsid w:val="006E210E"/>
    <w:rsid w:val="006E6BD7"/>
    <w:rsid w:val="00710BBC"/>
    <w:rsid w:val="00726A3A"/>
    <w:rsid w:val="007337DB"/>
    <w:rsid w:val="00735BFF"/>
    <w:rsid w:val="00756C6A"/>
    <w:rsid w:val="00760F9A"/>
    <w:rsid w:val="00766162"/>
    <w:rsid w:val="007705C7"/>
    <w:rsid w:val="0079480D"/>
    <w:rsid w:val="007C3F12"/>
    <w:rsid w:val="007C76BE"/>
    <w:rsid w:val="007D441B"/>
    <w:rsid w:val="007E103A"/>
    <w:rsid w:val="007F0A6A"/>
    <w:rsid w:val="00801105"/>
    <w:rsid w:val="00801DF4"/>
    <w:rsid w:val="00805D85"/>
    <w:rsid w:val="00835D1A"/>
    <w:rsid w:val="008450E1"/>
    <w:rsid w:val="008576F7"/>
    <w:rsid w:val="00861B46"/>
    <w:rsid w:val="008A1437"/>
    <w:rsid w:val="008A5426"/>
    <w:rsid w:val="008C1A73"/>
    <w:rsid w:val="008C7F6F"/>
    <w:rsid w:val="008D113C"/>
    <w:rsid w:val="008D20E1"/>
    <w:rsid w:val="008D376F"/>
    <w:rsid w:val="008D40FE"/>
    <w:rsid w:val="008E3669"/>
    <w:rsid w:val="008F1EAA"/>
    <w:rsid w:val="008F4560"/>
    <w:rsid w:val="009055D2"/>
    <w:rsid w:val="009133C6"/>
    <w:rsid w:val="00915B5B"/>
    <w:rsid w:val="00917BB1"/>
    <w:rsid w:val="009316E1"/>
    <w:rsid w:val="00941F21"/>
    <w:rsid w:val="00955FEA"/>
    <w:rsid w:val="00960803"/>
    <w:rsid w:val="0096745E"/>
    <w:rsid w:val="00970597"/>
    <w:rsid w:val="00975D21"/>
    <w:rsid w:val="00980531"/>
    <w:rsid w:val="009814A1"/>
    <w:rsid w:val="00986189"/>
    <w:rsid w:val="00990541"/>
    <w:rsid w:val="00996D28"/>
    <w:rsid w:val="009A240D"/>
    <w:rsid w:val="009C5A13"/>
    <w:rsid w:val="009C7421"/>
    <w:rsid w:val="009D184D"/>
    <w:rsid w:val="009F5E55"/>
    <w:rsid w:val="009F6182"/>
    <w:rsid w:val="00A06AC2"/>
    <w:rsid w:val="00A21938"/>
    <w:rsid w:val="00A30BE4"/>
    <w:rsid w:val="00A31AEB"/>
    <w:rsid w:val="00A3328E"/>
    <w:rsid w:val="00A413CE"/>
    <w:rsid w:val="00A45F27"/>
    <w:rsid w:val="00A46086"/>
    <w:rsid w:val="00A4691F"/>
    <w:rsid w:val="00A60842"/>
    <w:rsid w:val="00A63073"/>
    <w:rsid w:val="00A66BD9"/>
    <w:rsid w:val="00A81A9F"/>
    <w:rsid w:val="00A9349C"/>
    <w:rsid w:val="00A95655"/>
    <w:rsid w:val="00AA5FD4"/>
    <w:rsid w:val="00AC1D44"/>
    <w:rsid w:val="00AC7633"/>
    <w:rsid w:val="00AE068C"/>
    <w:rsid w:val="00AE1DC7"/>
    <w:rsid w:val="00AF6CB0"/>
    <w:rsid w:val="00B26B28"/>
    <w:rsid w:val="00B41255"/>
    <w:rsid w:val="00B46E48"/>
    <w:rsid w:val="00B54CF4"/>
    <w:rsid w:val="00B73AFF"/>
    <w:rsid w:val="00B758D5"/>
    <w:rsid w:val="00B807C1"/>
    <w:rsid w:val="00BC1B3D"/>
    <w:rsid w:val="00BD11BD"/>
    <w:rsid w:val="00BE60E1"/>
    <w:rsid w:val="00BF5EDC"/>
    <w:rsid w:val="00C10D3C"/>
    <w:rsid w:val="00C1342A"/>
    <w:rsid w:val="00C16E60"/>
    <w:rsid w:val="00C22388"/>
    <w:rsid w:val="00C43E70"/>
    <w:rsid w:val="00C44A1A"/>
    <w:rsid w:val="00C569B9"/>
    <w:rsid w:val="00C56AC7"/>
    <w:rsid w:val="00C63AF5"/>
    <w:rsid w:val="00C67A5F"/>
    <w:rsid w:val="00C70F33"/>
    <w:rsid w:val="00C7126E"/>
    <w:rsid w:val="00C9345D"/>
    <w:rsid w:val="00CA011A"/>
    <w:rsid w:val="00CB3DF0"/>
    <w:rsid w:val="00CC139F"/>
    <w:rsid w:val="00CD5809"/>
    <w:rsid w:val="00CD6C34"/>
    <w:rsid w:val="00CF7EFB"/>
    <w:rsid w:val="00D01BD1"/>
    <w:rsid w:val="00D03EA6"/>
    <w:rsid w:val="00D04C9F"/>
    <w:rsid w:val="00D10494"/>
    <w:rsid w:val="00D11663"/>
    <w:rsid w:val="00D13F06"/>
    <w:rsid w:val="00D16D10"/>
    <w:rsid w:val="00D176AC"/>
    <w:rsid w:val="00D35448"/>
    <w:rsid w:val="00D36257"/>
    <w:rsid w:val="00D40C80"/>
    <w:rsid w:val="00D661AD"/>
    <w:rsid w:val="00D77B65"/>
    <w:rsid w:val="00D86297"/>
    <w:rsid w:val="00D91BA3"/>
    <w:rsid w:val="00D96625"/>
    <w:rsid w:val="00DB0B70"/>
    <w:rsid w:val="00DC1FC5"/>
    <w:rsid w:val="00DC2151"/>
    <w:rsid w:val="00DC3B25"/>
    <w:rsid w:val="00DE12CC"/>
    <w:rsid w:val="00E00503"/>
    <w:rsid w:val="00E00B9E"/>
    <w:rsid w:val="00E045D6"/>
    <w:rsid w:val="00E245AC"/>
    <w:rsid w:val="00E25A59"/>
    <w:rsid w:val="00E62524"/>
    <w:rsid w:val="00E67C75"/>
    <w:rsid w:val="00E86E7C"/>
    <w:rsid w:val="00EA297B"/>
    <w:rsid w:val="00EB3EB5"/>
    <w:rsid w:val="00EC293A"/>
    <w:rsid w:val="00EC6A73"/>
    <w:rsid w:val="00ED3EE7"/>
    <w:rsid w:val="00EE4C1C"/>
    <w:rsid w:val="00EE65C6"/>
    <w:rsid w:val="00EE7DF8"/>
    <w:rsid w:val="00EF400A"/>
    <w:rsid w:val="00EF7D23"/>
    <w:rsid w:val="00F07048"/>
    <w:rsid w:val="00F075CE"/>
    <w:rsid w:val="00F417D5"/>
    <w:rsid w:val="00F60DD8"/>
    <w:rsid w:val="00F61406"/>
    <w:rsid w:val="00F674D2"/>
    <w:rsid w:val="00F72274"/>
    <w:rsid w:val="00F934E2"/>
    <w:rsid w:val="00F97BBB"/>
    <w:rsid w:val="00FA6533"/>
    <w:rsid w:val="00FA7EE9"/>
    <w:rsid w:val="00FB055B"/>
    <w:rsid w:val="00FC7051"/>
    <w:rsid w:val="00FE2080"/>
    <w:rsid w:val="00FF5D5A"/>
    <w:rsid w:val="00FF669F"/>
    <w:rsid w:val="03CD9CEA"/>
    <w:rsid w:val="054AA38F"/>
    <w:rsid w:val="05C624D0"/>
    <w:rsid w:val="07559DFC"/>
    <w:rsid w:val="0A59DDF6"/>
    <w:rsid w:val="0A6851D8"/>
    <w:rsid w:val="0B8BEC69"/>
    <w:rsid w:val="0C280D02"/>
    <w:rsid w:val="0D2DA96B"/>
    <w:rsid w:val="0F175003"/>
    <w:rsid w:val="0FA25B24"/>
    <w:rsid w:val="154F339D"/>
    <w:rsid w:val="1624340D"/>
    <w:rsid w:val="1784D291"/>
    <w:rsid w:val="17DD23CC"/>
    <w:rsid w:val="19C07B81"/>
    <w:rsid w:val="1C348070"/>
    <w:rsid w:val="1C71B852"/>
    <w:rsid w:val="225DCEA1"/>
    <w:rsid w:val="2EE8B035"/>
    <w:rsid w:val="30A152A0"/>
    <w:rsid w:val="30AF7A2C"/>
    <w:rsid w:val="31B071BA"/>
    <w:rsid w:val="35982181"/>
    <w:rsid w:val="39A6718F"/>
    <w:rsid w:val="3AEA9003"/>
    <w:rsid w:val="3EE7DD10"/>
    <w:rsid w:val="3F70EE66"/>
    <w:rsid w:val="40EE64DA"/>
    <w:rsid w:val="44E8C91D"/>
    <w:rsid w:val="45575437"/>
    <w:rsid w:val="46EBAEA9"/>
    <w:rsid w:val="4B2F0925"/>
    <w:rsid w:val="4C2D31A5"/>
    <w:rsid w:val="4C63556C"/>
    <w:rsid w:val="4D704131"/>
    <w:rsid w:val="4EDA1790"/>
    <w:rsid w:val="4FF72B2D"/>
    <w:rsid w:val="5021C6F3"/>
    <w:rsid w:val="5172AC6E"/>
    <w:rsid w:val="54891DA9"/>
    <w:rsid w:val="578C182E"/>
    <w:rsid w:val="582B1DAA"/>
    <w:rsid w:val="5D6003D8"/>
    <w:rsid w:val="603D4EE8"/>
    <w:rsid w:val="64B26BFD"/>
    <w:rsid w:val="65617882"/>
    <w:rsid w:val="672A741C"/>
    <w:rsid w:val="67BCBD93"/>
    <w:rsid w:val="6B93E904"/>
    <w:rsid w:val="6BCFE68E"/>
    <w:rsid w:val="70CB65E6"/>
    <w:rsid w:val="73E4F607"/>
    <w:rsid w:val="783B200C"/>
    <w:rsid w:val="79F99B46"/>
    <w:rsid w:val="7A970E68"/>
    <w:rsid w:val="7D2DA3F4"/>
    <w:rsid w:val="7D377E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A8CBB"/>
  <w15:chartTrackingRefBased/>
  <w15:docId w15:val="{EC7B6115-DD34-4574-AFE3-6D0FB725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hAnsiTheme="majorHAnsi" w:eastAsiaTheme="majorEastAsia"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hAnsi="Arial" w:eastAsiaTheme="majorEastAsia"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hAnsi="Arial" w:eastAsiaTheme="majorEastAsia"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hAnsi="Arial" w:eastAsiaTheme="majorEastAsia"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hAnsiTheme="majorHAnsi" w:eastAsiaTheme="majorEastAsia" w:cstheme="majorBidi"/>
      <w:color w:val="004B5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Orangetable" w:customStyle="1">
    <w:name w:val="Orange table"/>
    <w:basedOn w:val="TableNormal"/>
    <w:uiPriority w:val="99"/>
    <w:rsid w:val="00444AA1"/>
    <w:rPr>
      <w:rFonts w:ascii="Verdana" w:hAnsi="Verdana" w:eastAsia="Times New Roman"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styleId="Heading1Char" w:customStyle="1">
    <w:name w:val="Heading 1 Char"/>
    <w:basedOn w:val="DefaultParagraphFont"/>
    <w:link w:val="Heading1"/>
    <w:uiPriority w:val="9"/>
    <w:rsid w:val="00E245AC"/>
    <w:rPr>
      <w:rFonts w:asciiTheme="majorHAnsi" w:hAnsiTheme="majorHAnsi" w:eastAsiaTheme="majorEastAsia" w:cstheme="majorBidi"/>
      <w:b/>
      <w:color w:val="016574" w:themeColor="accent2"/>
      <w:sz w:val="40"/>
      <w:szCs w:val="32"/>
    </w:rPr>
  </w:style>
  <w:style w:type="character" w:styleId="Heading2Char" w:customStyle="1">
    <w:name w:val="Heading 2 Char"/>
    <w:basedOn w:val="DefaultParagraphFont"/>
    <w:link w:val="Heading2"/>
    <w:uiPriority w:val="9"/>
    <w:rsid w:val="00E245AC"/>
    <w:rPr>
      <w:rFonts w:ascii="Arial" w:hAnsi="Arial" w:eastAsiaTheme="majorEastAsia" w:cstheme="majorBidi"/>
      <w:b/>
      <w:color w:val="016574" w:themeColor="accent2"/>
      <w:sz w:val="32"/>
      <w:szCs w:val="26"/>
    </w:rPr>
  </w:style>
  <w:style w:type="character" w:styleId="Heading3Char" w:customStyle="1">
    <w:name w:val="Heading 3 Char"/>
    <w:basedOn w:val="DefaultParagraphFont"/>
    <w:link w:val="Heading3"/>
    <w:uiPriority w:val="9"/>
    <w:rsid w:val="00F417D5"/>
    <w:rPr>
      <w:rFonts w:ascii="Arial" w:hAnsi="Arial" w:eastAsiaTheme="majorEastAsia" w:cstheme="majorBidi"/>
      <w:b/>
      <w:sz w:val="28"/>
    </w:rPr>
  </w:style>
  <w:style w:type="character" w:styleId="Heading4Char" w:customStyle="1">
    <w:name w:val="Heading 4 Char"/>
    <w:basedOn w:val="DefaultParagraphFont"/>
    <w:link w:val="Heading4"/>
    <w:uiPriority w:val="9"/>
    <w:rsid w:val="00F417D5"/>
    <w:rPr>
      <w:rFonts w:ascii="Arial" w:hAnsi="Arial" w:eastAsiaTheme="majorEastAsia" w:cstheme="majorBidi"/>
      <w:b/>
      <w:iCs/>
    </w:rPr>
  </w:style>
  <w:style w:type="paragraph" w:styleId="BodyText1" w:customStyle="1">
    <w:name w:val="Body Text1"/>
    <w:basedOn w:val="Normal"/>
    <w:qFormat/>
    <w:rsid w:val="00E245AC"/>
  </w:style>
  <w:style w:type="character" w:styleId="Heading5Char" w:customStyle="1">
    <w:name w:val="Heading 5 Char"/>
    <w:basedOn w:val="DefaultParagraphFont"/>
    <w:link w:val="Heading5"/>
    <w:uiPriority w:val="9"/>
    <w:semiHidden/>
    <w:rsid w:val="00105F31"/>
    <w:rPr>
      <w:rFonts w:asciiTheme="majorHAnsi" w:hAnsiTheme="majorHAnsi" w:eastAsiaTheme="majorEastAsia"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styleId="NoSpacingChar" w:customStyle="1">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styleId="HeaderChar" w:customStyle="1">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styleId="FooterChar" w:customStyle="1">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Reportheader" w:customStyle="1">
    <w:name w:val="Report header"/>
    <w:basedOn w:val="Heading1"/>
    <w:qFormat/>
    <w:rsid w:val="00E245AC"/>
    <w:rPr>
      <w:sz w:val="48"/>
      <w:szCs w:val="48"/>
    </w:rPr>
  </w:style>
  <w:style w:type="paragraph" w:styleId="ListParagraph">
    <w:name w:val="List Paragraph"/>
    <w:basedOn w:val="Normal"/>
    <w:uiPriority w:val="34"/>
    <w:qFormat/>
    <w:rsid w:val="00EE7DF8"/>
    <w:pPr>
      <w:ind w:left="720"/>
      <w:contextualSpacing/>
    </w:pPr>
  </w:style>
  <w:style w:type="table" w:styleId="TableGrid">
    <w:name w:val="Table Grid"/>
    <w:basedOn w:val="TableNormal"/>
    <w:uiPriority w:val="39"/>
    <w:rsid w:val="00FA65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FB055B"/>
    <w:rPr>
      <w:sz w:val="16"/>
      <w:szCs w:val="16"/>
    </w:rPr>
  </w:style>
  <w:style w:type="paragraph" w:styleId="CommentText">
    <w:name w:val="annotation text"/>
    <w:basedOn w:val="Normal"/>
    <w:link w:val="CommentTextChar"/>
    <w:uiPriority w:val="99"/>
    <w:unhideWhenUsed/>
    <w:rsid w:val="00FB055B"/>
    <w:pPr>
      <w:spacing w:line="240" w:lineRule="auto"/>
    </w:pPr>
    <w:rPr>
      <w:sz w:val="20"/>
      <w:szCs w:val="20"/>
    </w:rPr>
  </w:style>
  <w:style w:type="character" w:styleId="CommentTextChar" w:customStyle="1">
    <w:name w:val="Comment Text Char"/>
    <w:basedOn w:val="DefaultParagraphFont"/>
    <w:link w:val="CommentText"/>
    <w:uiPriority w:val="99"/>
    <w:rsid w:val="00FB055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B055B"/>
    <w:rPr>
      <w:b/>
      <w:bCs/>
    </w:rPr>
  </w:style>
  <w:style w:type="character" w:styleId="CommentSubjectChar" w:customStyle="1">
    <w:name w:val="Comment Subject Char"/>
    <w:basedOn w:val="CommentTextChar"/>
    <w:link w:val="CommentSubject"/>
    <w:uiPriority w:val="99"/>
    <w:semiHidden/>
    <w:rsid w:val="00FB055B"/>
    <w:rPr>
      <w:rFonts w:eastAsiaTheme="minorEastAsia"/>
      <w:b/>
      <w:bCs/>
      <w:sz w:val="20"/>
      <w:szCs w:val="20"/>
    </w:rPr>
  </w:style>
  <w:style w:type="paragraph" w:styleId="FootnoteText">
    <w:name w:val="footnote text"/>
    <w:basedOn w:val="Normal"/>
    <w:link w:val="FootnoteTextChar"/>
    <w:uiPriority w:val="99"/>
    <w:semiHidden/>
    <w:unhideWhenUsed/>
    <w:rsid w:val="0079480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9480D"/>
    <w:rPr>
      <w:rFonts w:eastAsiaTheme="minorEastAsia"/>
      <w:sz w:val="20"/>
      <w:szCs w:val="20"/>
    </w:rPr>
  </w:style>
  <w:style w:type="character" w:styleId="FootnoteReference">
    <w:name w:val="footnote reference"/>
    <w:basedOn w:val="DefaultParagraphFont"/>
    <w:uiPriority w:val="99"/>
    <w:semiHidden/>
    <w:unhideWhenUsed/>
    <w:rsid w:val="0079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wastepermitting@sepa.org.uk" TargetMode="External" Id="rId13"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microsoft.com/office/2018/08/relationships/commentsExtensible" Target="commentsExtensible.xml" Id="rId17" /><Relationship Type="http://schemas.openxmlformats.org/officeDocument/2006/relationships/fontTable" Target="fontTable.xml" Id="rId25"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footer" Target="footer3.xml" Id="rId24" /><Relationship Type="http://schemas.openxmlformats.org/officeDocument/2006/relationships/numbering" Target="numbering.xml" Id="rId5" /><Relationship Type="http://schemas.microsoft.com/office/2011/relationships/commentsExtended" Target="commentsExtended.xml"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omments" Target="comments.xml" Id="rId14" /><Relationship Type="http://schemas.openxmlformats.org/officeDocument/2006/relationships/footer" Target="footer2.xml" Id="rId22" /><Relationship Type="http://schemas.openxmlformats.org/officeDocument/2006/relationships/theme" Target="theme/theme1.xml" Id="rId27" /><Relationship Type="http://schemas.openxmlformats.org/officeDocument/2006/relationships/hyperlink" Target="https://www.sepa.org.uk/media/372007/guidance_on_who_can_hold_an_authorisation.pdf" TargetMode="External" Id="Rcd8d0fea74294c2a" /><Relationship Type="http://schemas.openxmlformats.org/officeDocument/2006/relationships/hyperlink" Target="mailto:equalities@sepa.org.uk" TargetMode="External" Id="R29c98a02be8a4777"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no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4A788C8F-27DF-4F6F-A440-FCA164765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D85CCA-BC1A-4FEF-9B84-1B4E42172721}">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4.xml><?xml version="1.0" encoding="utf-8"?>
<ds:datastoreItem xmlns:ds="http://schemas.openxmlformats.org/officeDocument/2006/customXml" ds:itemID="{BBA168F4-C533-40B3-86BA-6A3C29922A5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SEPA_word_template_no_cover.dotx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Andrew</dc:creator>
  <cp:keywords/>
  <dc:description/>
  <cp:lastModifiedBy>Ross, Naomi</cp:lastModifiedBy>
  <cp:revision>79</cp:revision>
  <cp:lastPrinted>2023-03-24T04:44:00Z</cp:lastPrinted>
  <dcterms:created xsi:type="dcterms:W3CDTF">2024-09-05T09:34:00Z</dcterms:created>
  <dcterms:modified xsi:type="dcterms:W3CDTF">2025-05-19T07:53:02Z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2023-03-29T16:54:40Z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f869009a-32b8-4965-9a48-fd59adde153c</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