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910A" w14:textId="4C16E8CF" w:rsidR="006C1222" w:rsidRDefault="00FF26C8" w:rsidP="00E83FD9">
      <w:r>
        <w:rPr>
          <w:noProof/>
        </w:rPr>
        <w:drawing>
          <wp:inline distT="0" distB="0" distL="0" distR="0" wp14:anchorId="25EE3BB8" wp14:editId="3F75D89C">
            <wp:extent cx="3194973" cy="803275"/>
            <wp:effectExtent l="0" t="0" r="5715" b="0"/>
            <wp:docPr id="1491792429" name="Picture 1491792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844182">
        <w:rPr>
          <w:noProof/>
        </w:rPr>
        <w:drawing>
          <wp:anchor distT="0" distB="0" distL="114300" distR="114300" simplePos="0" relativeHeight="251658240" behindDoc="1" locked="0" layoutInCell="1" allowOverlap="1" wp14:anchorId="41A5BFED" wp14:editId="228D0281">
            <wp:simplePos x="0" y="0"/>
            <wp:positionH relativeFrom="margin">
              <wp:posOffset>-523240</wp:posOffset>
            </wp:positionH>
            <wp:positionV relativeFrom="paragraph">
              <wp:posOffset>-755650</wp:posOffset>
            </wp:positionV>
            <wp:extent cx="7533005" cy="139520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5681" cy="13957011"/>
                    </a:xfrm>
                    <a:prstGeom prst="rect">
                      <a:avLst/>
                    </a:prstGeom>
                  </pic:spPr>
                </pic:pic>
              </a:graphicData>
            </a:graphic>
            <wp14:sizeRelH relativeFrom="page">
              <wp14:pctWidth>0</wp14:pctWidth>
            </wp14:sizeRelH>
            <wp14:sizeRelV relativeFrom="page">
              <wp14:pctHeight>0</wp14:pctHeight>
            </wp14:sizeRelV>
          </wp:anchor>
        </w:drawing>
      </w:r>
    </w:p>
    <w:p w14:paraId="59A2D9A0" w14:textId="77777777" w:rsidR="006A3A0B" w:rsidRDefault="006A3A0B" w:rsidP="00E83FD9"/>
    <w:p w14:paraId="791B9B83" w14:textId="77777777" w:rsidR="00133967" w:rsidRDefault="00133967" w:rsidP="00FF26C8">
      <w:pPr>
        <w:ind w:firstLine="720"/>
      </w:pPr>
    </w:p>
    <w:sdt>
      <w:sdtPr>
        <w:id w:val="-191923907"/>
        <w:docPartObj>
          <w:docPartGallery w:val="Cover Pages"/>
          <w:docPartUnique/>
        </w:docPartObj>
      </w:sdtPr>
      <w:sdtContent>
        <w:bookmarkStart w:id="0" w:name="_Hlk158796592" w:displacedByCustomXml="prev"/>
        <w:bookmarkEnd w:id="0" w:displacedByCustomXml="prev"/>
        <w:p w14:paraId="7DFB5E89" w14:textId="0271B744" w:rsidR="006E08CD" w:rsidRDefault="006E08CD" w:rsidP="00E83FD9"/>
        <w:p w14:paraId="7117850A" w14:textId="77777777" w:rsidR="004F6E3E" w:rsidRDefault="004F6E3E" w:rsidP="00E83FD9"/>
        <w:p w14:paraId="770AF4E8" w14:textId="64036C01" w:rsidR="004F6E3E" w:rsidRDefault="004F6E3E" w:rsidP="00E83FD9"/>
        <w:p w14:paraId="2B385B6A" w14:textId="2EDB7EFF" w:rsidR="004F6E3E" w:rsidRDefault="004F6E3E" w:rsidP="00E83FD9"/>
        <w:p w14:paraId="26937602" w14:textId="6F059B9E" w:rsidR="004F6E3E" w:rsidRDefault="004F6E3E" w:rsidP="00E83FD9"/>
        <w:p w14:paraId="114864D2" w14:textId="0421081C" w:rsidR="004F6E3E" w:rsidRDefault="006C1222" w:rsidP="00E83FD9">
          <w:r>
            <w:rPr>
              <w:noProof/>
            </w:rPr>
            <mc:AlternateContent>
              <mc:Choice Requires="wps">
                <w:drawing>
                  <wp:anchor distT="45720" distB="45720" distL="114300" distR="114300" simplePos="0" relativeHeight="251658241" behindDoc="0" locked="0" layoutInCell="1" allowOverlap="1" wp14:anchorId="58BBE0F0" wp14:editId="19E88884">
                    <wp:simplePos x="0" y="0"/>
                    <wp:positionH relativeFrom="margin">
                      <wp:align>left</wp:align>
                    </wp:positionH>
                    <wp:positionV relativeFrom="paragraph">
                      <wp:posOffset>104353</wp:posOffset>
                    </wp:positionV>
                    <wp:extent cx="5624195" cy="1443990"/>
                    <wp:effectExtent l="0" t="0" r="0" b="3810"/>
                    <wp:wrapSquare wrapText="bothSides"/>
                    <wp:docPr id="217" name="Text Box 2" descr="Title of document is Corporate Procurement Strategy 2024 - 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713" cy="1444599"/>
                            </a:xfrm>
                            <a:prstGeom prst="rect">
                              <a:avLst/>
                            </a:prstGeom>
                            <a:solidFill>
                              <a:schemeClr val="accent2"/>
                            </a:solidFill>
                            <a:ln w="9525">
                              <a:noFill/>
                              <a:miter lim="800000"/>
                              <a:headEnd/>
                              <a:tailEnd/>
                            </a:ln>
                          </wps:spPr>
                          <wps:txbx>
                            <w:txbxContent>
                              <w:p w14:paraId="61BB02BB" w14:textId="5328BD36" w:rsidR="006C1222" w:rsidRPr="00FF26C8" w:rsidRDefault="006C1222" w:rsidP="00FF26C8">
                                <w:pPr>
                                  <w:pStyle w:val="Heading1"/>
                                  <w:rPr>
                                    <w:color w:val="FFFFFF" w:themeColor="background1"/>
                                  </w:rPr>
                                </w:pPr>
                                <w:bookmarkStart w:id="1" w:name="_Toc167717906"/>
                                <w:bookmarkStart w:id="2" w:name="_Toc167717948"/>
                                <w:bookmarkStart w:id="3" w:name="_Toc167718061"/>
                                <w:bookmarkStart w:id="4" w:name="_Toc167821703"/>
                                <w:bookmarkStart w:id="5" w:name="_Toc167822418"/>
                                <w:bookmarkStart w:id="6" w:name="_Toc167875510"/>
                                <w:r w:rsidRPr="00FF26C8">
                                  <w:rPr>
                                    <w:color w:val="FFFFFF" w:themeColor="background1"/>
                                  </w:rPr>
                                  <w:t>Corpor</w:t>
                                </w:r>
                                <w:r w:rsidR="0062665E" w:rsidRPr="00FF26C8">
                                  <w:rPr>
                                    <w:color w:val="FFFFFF" w:themeColor="background1"/>
                                  </w:rPr>
                                  <w:t xml:space="preserve">ate Procurement Strategy 2024 </w:t>
                                </w:r>
                                <w:r w:rsidR="000D1046" w:rsidRPr="00FF26C8">
                                  <w:rPr>
                                    <w:color w:val="FFFFFF" w:themeColor="background1"/>
                                  </w:rPr>
                                  <w:t>–</w:t>
                                </w:r>
                                <w:r w:rsidR="0062665E" w:rsidRPr="00FF26C8">
                                  <w:rPr>
                                    <w:color w:val="FFFFFF" w:themeColor="background1"/>
                                  </w:rPr>
                                  <w:t xml:space="preserve"> 27</w:t>
                                </w:r>
                                <w:bookmarkEnd w:id="1"/>
                                <w:bookmarkEnd w:id="2"/>
                                <w:bookmarkEnd w:id="3"/>
                                <w:bookmarkEnd w:id="4"/>
                                <w:bookmarkEnd w:id="5"/>
                                <w:bookmarkEnd w:id="6"/>
                              </w:p>
                              <w:p w14:paraId="615C676E" w14:textId="77777777" w:rsidR="000D1046" w:rsidRDefault="000D1046">
                                <w:pPr>
                                  <w:rPr>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BE0F0" id="_x0000_t202" coordsize="21600,21600" o:spt="202" path="m,l,21600r21600,l21600,xe">
                    <v:stroke joinstyle="miter"/>
                    <v:path gradientshapeok="t" o:connecttype="rect"/>
                  </v:shapetype>
                  <v:shape id="Text Box 2" o:spid="_x0000_s1026" type="#_x0000_t202" alt="Title of document is Corporate Procurement Strategy 2024 - 2027" style="position:absolute;margin-left:0;margin-top:8.2pt;width:442.85pt;height:113.7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" fillcolor="#016574 [3205]" stroked="f">
                    <v:textbox>
                      <w:txbxContent>
                        <w:p w14:paraId="61BB02BB" w14:textId="5328BD36" w:rsidR="006C1222" w:rsidRPr="00FF26C8" w:rsidRDefault="006C1222" w:rsidP="00FF26C8">
                          <w:pPr>
                            <w:pStyle w:val="Heading1"/>
                            <w:rPr>
                              <w:color w:val="FFFFFF" w:themeColor="background1"/>
                            </w:rPr>
                          </w:pPr>
                          <w:bookmarkStart w:id="7" w:name="_Toc167717906"/>
                          <w:bookmarkStart w:id="8" w:name="_Toc167717948"/>
                          <w:bookmarkStart w:id="9" w:name="_Toc167718061"/>
                          <w:bookmarkStart w:id="10" w:name="_Toc167821703"/>
                          <w:bookmarkStart w:id="11" w:name="_Toc167822418"/>
                          <w:bookmarkStart w:id="12" w:name="_Toc167875510"/>
                          <w:r w:rsidRPr="00FF26C8">
                            <w:rPr>
                              <w:color w:val="FFFFFF" w:themeColor="background1"/>
                            </w:rPr>
                            <w:t>Corpor</w:t>
                          </w:r>
                          <w:r w:rsidR="0062665E" w:rsidRPr="00FF26C8">
                            <w:rPr>
                              <w:color w:val="FFFFFF" w:themeColor="background1"/>
                            </w:rPr>
                            <w:t xml:space="preserve">ate Procurement Strategy 2024 </w:t>
                          </w:r>
                          <w:r w:rsidR="000D1046" w:rsidRPr="00FF26C8">
                            <w:rPr>
                              <w:color w:val="FFFFFF" w:themeColor="background1"/>
                            </w:rPr>
                            <w:t>–</w:t>
                          </w:r>
                          <w:r w:rsidR="0062665E" w:rsidRPr="00FF26C8">
                            <w:rPr>
                              <w:color w:val="FFFFFF" w:themeColor="background1"/>
                            </w:rPr>
                            <w:t xml:space="preserve"> 27</w:t>
                          </w:r>
                          <w:bookmarkEnd w:id="7"/>
                          <w:bookmarkEnd w:id="8"/>
                          <w:bookmarkEnd w:id="9"/>
                          <w:bookmarkEnd w:id="10"/>
                          <w:bookmarkEnd w:id="11"/>
                          <w:bookmarkEnd w:id="12"/>
                        </w:p>
                        <w:p w14:paraId="615C676E" w14:textId="77777777" w:rsidR="000D1046" w:rsidRDefault="000D1046">
                          <w:pPr>
                            <w:rPr>
                              <w:color w:val="FFFFFF" w:themeColor="background1"/>
                              <w:sz w:val="44"/>
                              <w:szCs w:val="44"/>
                            </w:rPr>
                          </w:pPr>
                        </w:p>
                      </w:txbxContent>
                    </v:textbox>
                    <w10:wrap type="square" anchorx="margin"/>
                  </v:shape>
                </w:pict>
              </mc:Fallback>
            </mc:AlternateContent>
          </w:r>
        </w:p>
        <w:p w14:paraId="29E05842" w14:textId="007C9CD3" w:rsidR="004F6E3E" w:rsidRDefault="004F6E3E" w:rsidP="00E83FD9"/>
        <w:p w14:paraId="7CE80151" w14:textId="0D6B2328" w:rsidR="008C1A73" w:rsidRPr="00757E0A" w:rsidRDefault="006E08CD" w:rsidP="00757E0A">
          <w:pPr>
            <w:spacing w:line="240" w:lineRule="auto"/>
          </w:pPr>
          <w:r>
            <w:br w:type="page"/>
          </w:r>
        </w:p>
      </w:sdtContent>
    </w:sdt>
    <w:p w14:paraId="05058A06" w14:textId="281AA12D" w:rsidR="0007306B" w:rsidRPr="0007306B" w:rsidRDefault="00227E5C" w:rsidP="0007306B">
      <w:pPr>
        <w:pStyle w:val="Heading1"/>
        <w:rPr>
          <w:noProof/>
        </w:rPr>
      </w:pPr>
      <w:bookmarkStart w:id="13" w:name="_Toc167717950"/>
      <w:bookmarkStart w:id="14" w:name="_Toc167718063"/>
      <w:bookmarkStart w:id="15" w:name="_Toc167822420"/>
      <w:bookmarkStart w:id="16" w:name="_Toc167875512"/>
      <w:bookmarkStart w:id="17" w:name="_Toc156332783"/>
      <w:r>
        <w:lastRenderedPageBreak/>
        <w:t>Contents</w:t>
      </w:r>
      <w:bookmarkEnd w:id="13"/>
      <w:bookmarkEnd w:id="14"/>
      <w:bookmarkEnd w:id="15"/>
      <w:bookmarkEnd w:id="16"/>
      <w:r>
        <w:fldChar w:fldCharType="begin"/>
      </w:r>
      <w:r>
        <w:instrText xml:space="preserve"> TOC \o "1-1" \h \z \u </w:instrText>
      </w:r>
      <w:r>
        <w:fldChar w:fldCharType="separate"/>
      </w:r>
    </w:p>
    <w:p w14:paraId="408CABC5" w14:textId="54EF07B5" w:rsidR="0007306B" w:rsidRDefault="0007306B">
      <w:pPr>
        <w:pStyle w:val="TOC1"/>
        <w:tabs>
          <w:tab w:val="right" w:leader="dot" w:pos="10212"/>
        </w:tabs>
        <w:rPr>
          <w:noProof/>
          <w:kern w:val="2"/>
          <w:lang w:eastAsia="en-GB"/>
          <w14:ligatures w14:val="standardContextual"/>
        </w:rPr>
      </w:pPr>
      <w:hyperlink w:anchor="_Toc167875513" w:history="1">
        <w:r w:rsidRPr="00596338">
          <w:rPr>
            <w:rStyle w:val="Hyperlink"/>
            <w:noProof/>
          </w:rPr>
          <w:t>Foreword</w:t>
        </w:r>
        <w:r>
          <w:rPr>
            <w:noProof/>
            <w:webHidden/>
          </w:rPr>
          <w:tab/>
        </w:r>
        <w:r>
          <w:rPr>
            <w:noProof/>
            <w:webHidden/>
          </w:rPr>
          <w:fldChar w:fldCharType="begin"/>
        </w:r>
        <w:r>
          <w:rPr>
            <w:noProof/>
            <w:webHidden/>
          </w:rPr>
          <w:instrText xml:space="preserve"> PAGEREF _Toc167875513 \h </w:instrText>
        </w:r>
        <w:r>
          <w:rPr>
            <w:noProof/>
            <w:webHidden/>
          </w:rPr>
        </w:r>
        <w:r>
          <w:rPr>
            <w:noProof/>
            <w:webHidden/>
          </w:rPr>
          <w:fldChar w:fldCharType="separate"/>
        </w:r>
        <w:r w:rsidR="00104F0B">
          <w:rPr>
            <w:noProof/>
            <w:webHidden/>
          </w:rPr>
          <w:t>2</w:t>
        </w:r>
        <w:r>
          <w:rPr>
            <w:noProof/>
            <w:webHidden/>
          </w:rPr>
          <w:fldChar w:fldCharType="end"/>
        </w:r>
      </w:hyperlink>
    </w:p>
    <w:p w14:paraId="6FA6891E" w14:textId="627DCA46" w:rsidR="0007306B" w:rsidRDefault="0007306B">
      <w:pPr>
        <w:pStyle w:val="TOC1"/>
        <w:tabs>
          <w:tab w:val="left" w:pos="480"/>
          <w:tab w:val="right" w:leader="dot" w:pos="10212"/>
        </w:tabs>
        <w:rPr>
          <w:noProof/>
          <w:kern w:val="2"/>
          <w:lang w:eastAsia="en-GB"/>
          <w14:ligatures w14:val="standardContextual"/>
        </w:rPr>
      </w:pPr>
      <w:hyperlink w:anchor="_Toc167875514" w:history="1">
        <w:r w:rsidRPr="00596338">
          <w:rPr>
            <w:rStyle w:val="Hyperlink"/>
            <w:rFonts w:eastAsia="Times New Roman"/>
            <w:noProof/>
          </w:rPr>
          <w:t>1.</w:t>
        </w:r>
        <w:r>
          <w:rPr>
            <w:noProof/>
            <w:kern w:val="2"/>
            <w:lang w:eastAsia="en-GB"/>
            <w14:ligatures w14:val="standardContextual"/>
          </w:rPr>
          <w:tab/>
        </w:r>
        <w:r w:rsidRPr="00596338">
          <w:rPr>
            <w:rStyle w:val="Hyperlink"/>
            <w:rFonts w:eastAsia="Times New Roman"/>
            <w:noProof/>
          </w:rPr>
          <w:t>Executive Summary</w:t>
        </w:r>
        <w:r>
          <w:rPr>
            <w:noProof/>
            <w:webHidden/>
          </w:rPr>
          <w:tab/>
        </w:r>
        <w:r>
          <w:rPr>
            <w:noProof/>
            <w:webHidden/>
          </w:rPr>
          <w:fldChar w:fldCharType="begin"/>
        </w:r>
        <w:r>
          <w:rPr>
            <w:noProof/>
            <w:webHidden/>
          </w:rPr>
          <w:instrText xml:space="preserve"> PAGEREF _Toc167875514 \h </w:instrText>
        </w:r>
        <w:r>
          <w:rPr>
            <w:noProof/>
            <w:webHidden/>
          </w:rPr>
        </w:r>
        <w:r>
          <w:rPr>
            <w:noProof/>
            <w:webHidden/>
          </w:rPr>
          <w:fldChar w:fldCharType="separate"/>
        </w:r>
        <w:r w:rsidR="00104F0B">
          <w:rPr>
            <w:noProof/>
            <w:webHidden/>
          </w:rPr>
          <w:t>3</w:t>
        </w:r>
        <w:r>
          <w:rPr>
            <w:noProof/>
            <w:webHidden/>
          </w:rPr>
          <w:fldChar w:fldCharType="end"/>
        </w:r>
      </w:hyperlink>
    </w:p>
    <w:p w14:paraId="62E73AF5" w14:textId="19C48ADF" w:rsidR="0007306B" w:rsidRDefault="0007306B">
      <w:pPr>
        <w:pStyle w:val="TOC1"/>
        <w:tabs>
          <w:tab w:val="left" w:pos="480"/>
          <w:tab w:val="right" w:leader="dot" w:pos="10212"/>
        </w:tabs>
        <w:rPr>
          <w:noProof/>
          <w:kern w:val="2"/>
          <w:lang w:eastAsia="en-GB"/>
          <w14:ligatures w14:val="standardContextual"/>
        </w:rPr>
      </w:pPr>
      <w:hyperlink w:anchor="_Toc167875515" w:history="1">
        <w:r w:rsidRPr="00596338">
          <w:rPr>
            <w:rStyle w:val="Hyperlink"/>
            <w:rFonts w:eastAsia="Times New Roman"/>
            <w:noProof/>
          </w:rPr>
          <w:t>2.</w:t>
        </w:r>
        <w:r>
          <w:rPr>
            <w:noProof/>
            <w:kern w:val="2"/>
            <w:lang w:eastAsia="en-GB"/>
            <w14:ligatures w14:val="standardContextual"/>
          </w:rPr>
          <w:tab/>
        </w:r>
        <w:r w:rsidRPr="00596338">
          <w:rPr>
            <w:rStyle w:val="Hyperlink"/>
            <w:rFonts w:eastAsia="Times New Roman"/>
            <w:noProof/>
          </w:rPr>
          <w:t>Background</w:t>
        </w:r>
        <w:r>
          <w:rPr>
            <w:noProof/>
            <w:webHidden/>
          </w:rPr>
          <w:tab/>
        </w:r>
        <w:r>
          <w:rPr>
            <w:noProof/>
            <w:webHidden/>
          </w:rPr>
          <w:fldChar w:fldCharType="begin"/>
        </w:r>
        <w:r>
          <w:rPr>
            <w:noProof/>
            <w:webHidden/>
          </w:rPr>
          <w:instrText xml:space="preserve"> PAGEREF _Toc167875515 \h </w:instrText>
        </w:r>
        <w:r>
          <w:rPr>
            <w:noProof/>
            <w:webHidden/>
          </w:rPr>
        </w:r>
        <w:r>
          <w:rPr>
            <w:noProof/>
            <w:webHidden/>
          </w:rPr>
          <w:fldChar w:fldCharType="separate"/>
        </w:r>
        <w:r w:rsidR="00104F0B">
          <w:rPr>
            <w:noProof/>
            <w:webHidden/>
          </w:rPr>
          <w:t>3</w:t>
        </w:r>
        <w:r>
          <w:rPr>
            <w:noProof/>
            <w:webHidden/>
          </w:rPr>
          <w:fldChar w:fldCharType="end"/>
        </w:r>
      </w:hyperlink>
    </w:p>
    <w:p w14:paraId="5BCDBAF8" w14:textId="2A8663AF" w:rsidR="0007306B" w:rsidRDefault="0007306B">
      <w:pPr>
        <w:pStyle w:val="TOC1"/>
        <w:tabs>
          <w:tab w:val="left" w:pos="480"/>
          <w:tab w:val="right" w:leader="dot" w:pos="10212"/>
        </w:tabs>
        <w:rPr>
          <w:noProof/>
          <w:kern w:val="2"/>
          <w:lang w:eastAsia="en-GB"/>
          <w14:ligatures w14:val="standardContextual"/>
        </w:rPr>
      </w:pPr>
      <w:hyperlink w:anchor="_Toc167875516" w:history="1">
        <w:r w:rsidRPr="00596338">
          <w:rPr>
            <w:rStyle w:val="Hyperlink"/>
            <w:rFonts w:eastAsia="Times New Roman"/>
            <w:noProof/>
          </w:rPr>
          <w:t>3.</w:t>
        </w:r>
        <w:r>
          <w:rPr>
            <w:noProof/>
            <w:kern w:val="2"/>
            <w:lang w:eastAsia="en-GB"/>
            <w14:ligatures w14:val="standardContextual"/>
          </w:rPr>
          <w:tab/>
        </w:r>
        <w:r w:rsidRPr="00596338">
          <w:rPr>
            <w:rStyle w:val="Hyperlink"/>
            <w:rFonts w:eastAsia="Times New Roman"/>
            <w:noProof/>
          </w:rPr>
          <w:t>Strategic context and rationale</w:t>
        </w:r>
        <w:r>
          <w:rPr>
            <w:noProof/>
            <w:webHidden/>
          </w:rPr>
          <w:tab/>
        </w:r>
        <w:r>
          <w:rPr>
            <w:noProof/>
            <w:webHidden/>
          </w:rPr>
          <w:fldChar w:fldCharType="begin"/>
        </w:r>
        <w:r>
          <w:rPr>
            <w:noProof/>
            <w:webHidden/>
          </w:rPr>
          <w:instrText xml:space="preserve"> PAGEREF _Toc167875516 \h </w:instrText>
        </w:r>
        <w:r>
          <w:rPr>
            <w:noProof/>
            <w:webHidden/>
          </w:rPr>
        </w:r>
        <w:r>
          <w:rPr>
            <w:noProof/>
            <w:webHidden/>
          </w:rPr>
          <w:fldChar w:fldCharType="separate"/>
        </w:r>
        <w:r w:rsidR="00104F0B">
          <w:rPr>
            <w:noProof/>
            <w:webHidden/>
          </w:rPr>
          <w:t>4</w:t>
        </w:r>
        <w:r>
          <w:rPr>
            <w:noProof/>
            <w:webHidden/>
          </w:rPr>
          <w:fldChar w:fldCharType="end"/>
        </w:r>
      </w:hyperlink>
    </w:p>
    <w:p w14:paraId="7E8AA07F" w14:textId="39496EBF" w:rsidR="0007306B" w:rsidRDefault="0007306B">
      <w:pPr>
        <w:pStyle w:val="TOC1"/>
        <w:tabs>
          <w:tab w:val="left" w:pos="480"/>
          <w:tab w:val="right" w:leader="dot" w:pos="10212"/>
        </w:tabs>
        <w:rPr>
          <w:noProof/>
          <w:kern w:val="2"/>
          <w:lang w:eastAsia="en-GB"/>
          <w14:ligatures w14:val="standardContextual"/>
        </w:rPr>
      </w:pPr>
      <w:hyperlink w:anchor="_Toc167875517" w:history="1">
        <w:r w:rsidRPr="00596338">
          <w:rPr>
            <w:rStyle w:val="Hyperlink"/>
            <w:rFonts w:eastAsia="Times New Roman"/>
            <w:noProof/>
          </w:rPr>
          <w:t>4.</w:t>
        </w:r>
        <w:r>
          <w:rPr>
            <w:noProof/>
            <w:kern w:val="2"/>
            <w:lang w:eastAsia="en-GB"/>
            <w14:ligatures w14:val="standardContextual"/>
          </w:rPr>
          <w:tab/>
        </w:r>
        <w:r w:rsidRPr="00596338">
          <w:rPr>
            <w:rStyle w:val="Hyperlink"/>
            <w:rFonts w:eastAsia="Times New Roman"/>
            <w:noProof/>
          </w:rPr>
          <w:t>Procurement mission and vision</w:t>
        </w:r>
        <w:r>
          <w:rPr>
            <w:noProof/>
            <w:webHidden/>
          </w:rPr>
          <w:tab/>
        </w:r>
        <w:r>
          <w:rPr>
            <w:noProof/>
            <w:webHidden/>
          </w:rPr>
          <w:fldChar w:fldCharType="begin"/>
        </w:r>
        <w:r>
          <w:rPr>
            <w:noProof/>
            <w:webHidden/>
          </w:rPr>
          <w:instrText xml:space="preserve"> PAGEREF _Toc167875517 \h </w:instrText>
        </w:r>
        <w:r>
          <w:rPr>
            <w:noProof/>
            <w:webHidden/>
          </w:rPr>
        </w:r>
        <w:r>
          <w:rPr>
            <w:noProof/>
            <w:webHidden/>
          </w:rPr>
          <w:fldChar w:fldCharType="separate"/>
        </w:r>
        <w:r w:rsidR="00104F0B">
          <w:rPr>
            <w:noProof/>
            <w:webHidden/>
          </w:rPr>
          <w:t>5</w:t>
        </w:r>
        <w:r>
          <w:rPr>
            <w:noProof/>
            <w:webHidden/>
          </w:rPr>
          <w:fldChar w:fldCharType="end"/>
        </w:r>
      </w:hyperlink>
    </w:p>
    <w:p w14:paraId="273C1143" w14:textId="48BCE453" w:rsidR="0007306B" w:rsidRDefault="0007306B">
      <w:pPr>
        <w:pStyle w:val="TOC1"/>
        <w:tabs>
          <w:tab w:val="left" w:pos="480"/>
          <w:tab w:val="right" w:leader="dot" w:pos="10212"/>
        </w:tabs>
        <w:rPr>
          <w:noProof/>
          <w:kern w:val="2"/>
          <w:lang w:eastAsia="en-GB"/>
          <w14:ligatures w14:val="standardContextual"/>
        </w:rPr>
      </w:pPr>
      <w:hyperlink w:anchor="_Toc167875518" w:history="1">
        <w:r w:rsidRPr="00596338">
          <w:rPr>
            <w:rStyle w:val="Hyperlink"/>
            <w:rFonts w:eastAsia="Times New Roman"/>
            <w:noProof/>
          </w:rPr>
          <w:t>5.</w:t>
        </w:r>
        <w:r>
          <w:rPr>
            <w:noProof/>
            <w:kern w:val="2"/>
            <w:lang w:eastAsia="en-GB"/>
            <w14:ligatures w14:val="standardContextual"/>
          </w:rPr>
          <w:tab/>
        </w:r>
        <w:r w:rsidRPr="00596338">
          <w:rPr>
            <w:rStyle w:val="Hyperlink"/>
            <w:rFonts w:eastAsia="Times New Roman"/>
            <w:noProof/>
          </w:rPr>
          <w:t>Strategic aims and objectives</w:t>
        </w:r>
        <w:r>
          <w:rPr>
            <w:noProof/>
            <w:webHidden/>
          </w:rPr>
          <w:tab/>
        </w:r>
        <w:r>
          <w:rPr>
            <w:noProof/>
            <w:webHidden/>
          </w:rPr>
          <w:fldChar w:fldCharType="begin"/>
        </w:r>
        <w:r>
          <w:rPr>
            <w:noProof/>
            <w:webHidden/>
          </w:rPr>
          <w:instrText xml:space="preserve"> PAGEREF _Toc167875518 \h </w:instrText>
        </w:r>
        <w:r>
          <w:rPr>
            <w:noProof/>
            <w:webHidden/>
          </w:rPr>
        </w:r>
        <w:r>
          <w:rPr>
            <w:noProof/>
            <w:webHidden/>
          </w:rPr>
          <w:fldChar w:fldCharType="separate"/>
        </w:r>
        <w:r w:rsidR="00104F0B">
          <w:rPr>
            <w:noProof/>
            <w:webHidden/>
          </w:rPr>
          <w:t>5</w:t>
        </w:r>
        <w:r>
          <w:rPr>
            <w:noProof/>
            <w:webHidden/>
          </w:rPr>
          <w:fldChar w:fldCharType="end"/>
        </w:r>
      </w:hyperlink>
    </w:p>
    <w:p w14:paraId="466F0B2F" w14:textId="59607152" w:rsidR="0007306B" w:rsidRDefault="0007306B">
      <w:pPr>
        <w:pStyle w:val="TOC1"/>
        <w:tabs>
          <w:tab w:val="left" w:pos="480"/>
          <w:tab w:val="right" w:leader="dot" w:pos="10212"/>
        </w:tabs>
        <w:rPr>
          <w:noProof/>
          <w:kern w:val="2"/>
          <w:lang w:eastAsia="en-GB"/>
          <w14:ligatures w14:val="standardContextual"/>
        </w:rPr>
      </w:pPr>
      <w:hyperlink w:anchor="_Toc167875519" w:history="1">
        <w:r w:rsidRPr="00596338">
          <w:rPr>
            <w:rStyle w:val="Hyperlink"/>
            <w:rFonts w:eastAsia="Times New Roman"/>
            <w:noProof/>
          </w:rPr>
          <w:t>6.</w:t>
        </w:r>
        <w:r>
          <w:rPr>
            <w:noProof/>
            <w:kern w:val="2"/>
            <w:lang w:eastAsia="en-GB"/>
            <w14:ligatures w14:val="standardContextual"/>
          </w:rPr>
          <w:tab/>
        </w:r>
        <w:r w:rsidRPr="00596338">
          <w:rPr>
            <w:rStyle w:val="Hyperlink"/>
            <w:rFonts w:eastAsia="Times New Roman"/>
            <w:noProof/>
          </w:rPr>
          <w:t>Key priorities</w:t>
        </w:r>
        <w:r>
          <w:rPr>
            <w:noProof/>
            <w:webHidden/>
          </w:rPr>
          <w:tab/>
        </w:r>
        <w:r>
          <w:rPr>
            <w:noProof/>
            <w:webHidden/>
          </w:rPr>
          <w:fldChar w:fldCharType="begin"/>
        </w:r>
        <w:r>
          <w:rPr>
            <w:noProof/>
            <w:webHidden/>
          </w:rPr>
          <w:instrText xml:space="preserve"> PAGEREF _Toc167875519 \h </w:instrText>
        </w:r>
        <w:r>
          <w:rPr>
            <w:noProof/>
            <w:webHidden/>
          </w:rPr>
        </w:r>
        <w:r>
          <w:rPr>
            <w:noProof/>
            <w:webHidden/>
          </w:rPr>
          <w:fldChar w:fldCharType="separate"/>
        </w:r>
        <w:r w:rsidR="00104F0B">
          <w:rPr>
            <w:noProof/>
            <w:webHidden/>
          </w:rPr>
          <w:t>9</w:t>
        </w:r>
        <w:r>
          <w:rPr>
            <w:noProof/>
            <w:webHidden/>
          </w:rPr>
          <w:fldChar w:fldCharType="end"/>
        </w:r>
      </w:hyperlink>
    </w:p>
    <w:p w14:paraId="2D0CEDBB" w14:textId="52479E78" w:rsidR="0007306B" w:rsidRDefault="0007306B">
      <w:pPr>
        <w:pStyle w:val="TOC1"/>
        <w:tabs>
          <w:tab w:val="left" w:pos="480"/>
          <w:tab w:val="right" w:leader="dot" w:pos="10212"/>
        </w:tabs>
        <w:rPr>
          <w:noProof/>
          <w:kern w:val="2"/>
          <w:lang w:eastAsia="en-GB"/>
          <w14:ligatures w14:val="standardContextual"/>
        </w:rPr>
      </w:pPr>
      <w:hyperlink w:anchor="_Toc167875520" w:history="1">
        <w:r w:rsidRPr="00596338">
          <w:rPr>
            <w:rStyle w:val="Hyperlink"/>
            <w:rFonts w:eastAsia="Times New Roman"/>
            <w:noProof/>
          </w:rPr>
          <w:t>7.</w:t>
        </w:r>
        <w:r>
          <w:rPr>
            <w:noProof/>
            <w:kern w:val="2"/>
            <w:lang w:eastAsia="en-GB"/>
            <w14:ligatures w14:val="standardContextual"/>
          </w:rPr>
          <w:tab/>
        </w:r>
        <w:r w:rsidRPr="00596338">
          <w:rPr>
            <w:rStyle w:val="Hyperlink"/>
            <w:rFonts w:eastAsia="Times New Roman"/>
            <w:noProof/>
          </w:rPr>
          <w:t>SEPA’s Procurement Policy and procedures</w:t>
        </w:r>
        <w:r>
          <w:rPr>
            <w:noProof/>
            <w:webHidden/>
          </w:rPr>
          <w:tab/>
        </w:r>
        <w:r>
          <w:rPr>
            <w:noProof/>
            <w:webHidden/>
          </w:rPr>
          <w:fldChar w:fldCharType="begin"/>
        </w:r>
        <w:r>
          <w:rPr>
            <w:noProof/>
            <w:webHidden/>
          </w:rPr>
          <w:instrText xml:space="preserve"> PAGEREF _Toc167875520 \h </w:instrText>
        </w:r>
        <w:r>
          <w:rPr>
            <w:noProof/>
            <w:webHidden/>
          </w:rPr>
        </w:r>
        <w:r>
          <w:rPr>
            <w:noProof/>
            <w:webHidden/>
          </w:rPr>
          <w:fldChar w:fldCharType="separate"/>
        </w:r>
        <w:r w:rsidR="00104F0B">
          <w:rPr>
            <w:noProof/>
            <w:webHidden/>
          </w:rPr>
          <w:t>13</w:t>
        </w:r>
        <w:r>
          <w:rPr>
            <w:noProof/>
            <w:webHidden/>
          </w:rPr>
          <w:fldChar w:fldCharType="end"/>
        </w:r>
      </w:hyperlink>
    </w:p>
    <w:p w14:paraId="6408E8BC" w14:textId="1AA7E19E" w:rsidR="0007306B" w:rsidRDefault="0007306B">
      <w:pPr>
        <w:pStyle w:val="TOC1"/>
        <w:tabs>
          <w:tab w:val="left" w:pos="480"/>
          <w:tab w:val="right" w:leader="dot" w:pos="10212"/>
        </w:tabs>
        <w:rPr>
          <w:noProof/>
          <w:kern w:val="2"/>
          <w:lang w:eastAsia="en-GB"/>
          <w14:ligatures w14:val="standardContextual"/>
        </w:rPr>
      </w:pPr>
      <w:hyperlink w:anchor="_Toc167875521" w:history="1">
        <w:r w:rsidRPr="00596338">
          <w:rPr>
            <w:rStyle w:val="Hyperlink"/>
            <w:rFonts w:eastAsia="Times New Roman"/>
            <w:noProof/>
          </w:rPr>
          <w:t>8.</w:t>
        </w:r>
        <w:r>
          <w:rPr>
            <w:noProof/>
            <w:kern w:val="2"/>
            <w:lang w:eastAsia="en-GB"/>
            <w14:ligatures w14:val="standardContextual"/>
          </w:rPr>
          <w:tab/>
        </w:r>
        <w:r w:rsidRPr="00596338">
          <w:rPr>
            <w:rStyle w:val="Hyperlink"/>
            <w:rFonts w:eastAsia="Times New Roman"/>
            <w:noProof/>
          </w:rPr>
          <w:t>Spend/finance</w:t>
        </w:r>
        <w:r>
          <w:rPr>
            <w:noProof/>
            <w:webHidden/>
          </w:rPr>
          <w:tab/>
        </w:r>
        <w:r>
          <w:rPr>
            <w:noProof/>
            <w:webHidden/>
          </w:rPr>
          <w:fldChar w:fldCharType="begin"/>
        </w:r>
        <w:r>
          <w:rPr>
            <w:noProof/>
            <w:webHidden/>
          </w:rPr>
          <w:instrText xml:space="preserve"> PAGEREF _Toc167875521 \h </w:instrText>
        </w:r>
        <w:r>
          <w:rPr>
            <w:noProof/>
            <w:webHidden/>
          </w:rPr>
        </w:r>
        <w:r>
          <w:rPr>
            <w:noProof/>
            <w:webHidden/>
          </w:rPr>
          <w:fldChar w:fldCharType="separate"/>
        </w:r>
        <w:r w:rsidR="00104F0B">
          <w:rPr>
            <w:noProof/>
            <w:webHidden/>
          </w:rPr>
          <w:t>14</w:t>
        </w:r>
        <w:r>
          <w:rPr>
            <w:noProof/>
            <w:webHidden/>
          </w:rPr>
          <w:fldChar w:fldCharType="end"/>
        </w:r>
      </w:hyperlink>
    </w:p>
    <w:p w14:paraId="02CD6533" w14:textId="0FD127BE" w:rsidR="0007306B" w:rsidRDefault="0007306B">
      <w:pPr>
        <w:pStyle w:val="TOC1"/>
        <w:tabs>
          <w:tab w:val="left" w:pos="480"/>
          <w:tab w:val="right" w:leader="dot" w:pos="10212"/>
        </w:tabs>
        <w:rPr>
          <w:noProof/>
          <w:kern w:val="2"/>
          <w:lang w:eastAsia="en-GB"/>
          <w14:ligatures w14:val="standardContextual"/>
        </w:rPr>
      </w:pPr>
      <w:hyperlink w:anchor="_Toc167875547" w:history="1">
        <w:r w:rsidRPr="00596338">
          <w:rPr>
            <w:rStyle w:val="Hyperlink"/>
            <w:rFonts w:eastAsia="Times New Roman"/>
            <w:noProof/>
          </w:rPr>
          <w:t>9.</w:t>
        </w:r>
        <w:r>
          <w:rPr>
            <w:noProof/>
            <w:kern w:val="2"/>
            <w:lang w:eastAsia="en-GB"/>
            <w14:ligatures w14:val="standardContextual"/>
          </w:rPr>
          <w:tab/>
        </w:r>
        <w:r w:rsidRPr="00596338">
          <w:rPr>
            <w:rStyle w:val="Hyperlink"/>
            <w:rFonts w:eastAsia="Times New Roman"/>
            <w:noProof/>
          </w:rPr>
          <w:t>Monitoring, reviewing and reporting on strategies</w:t>
        </w:r>
        <w:r>
          <w:rPr>
            <w:noProof/>
            <w:webHidden/>
          </w:rPr>
          <w:tab/>
        </w:r>
        <w:r>
          <w:rPr>
            <w:noProof/>
            <w:webHidden/>
          </w:rPr>
          <w:fldChar w:fldCharType="begin"/>
        </w:r>
        <w:r>
          <w:rPr>
            <w:noProof/>
            <w:webHidden/>
          </w:rPr>
          <w:instrText xml:space="preserve"> PAGEREF _Toc167875547 \h </w:instrText>
        </w:r>
        <w:r>
          <w:rPr>
            <w:noProof/>
            <w:webHidden/>
          </w:rPr>
        </w:r>
        <w:r>
          <w:rPr>
            <w:noProof/>
            <w:webHidden/>
          </w:rPr>
          <w:fldChar w:fldCharType="separate"/>
        </w:r>
        <w:r w:rsidR="00104F0B">
          <w:rPr>
            <w:noProof/>
            <w:webHidden/>
          </w:rPr>
          <w:t>14</w:t>
        </w:r>
        <w:r>
          <w:rPr>
            <w:noProof/>
            <w:webHidden/>
          </w:rPr>
          <w:fldChar w:fldCharType="end"/>
        </w:r>
      </w:hyperlink>
    </w:p>
    <w:p w14:paraId="28957A32" w14:textId="149C7EF2" w:rsidR="0007306B" w:rsidRDefault="0007306B">
      <w:pPr>
        <w:pStyle w:val="TOC1"/>
        <w:tabs>
          <w:tab w:val="left" w:pos="720"/>
          <w:tab w:val="right" w:leader="dot" w:pos="10212"/>
        </w:tabs>
        <w:rPr>
          <w:noProof/>
          <w:kern w:val="2"/>
          <w:lang w:eastAsia="en-GB"/>
          <w14:ligatures w14:val="standardContextual"/>
        </w:rPr>
      </w:pPr>
      <w:hyperlink w:anchor="_Toc167875549" w:history="1">
        <w:r w:rsidRPr="00596338">
          <w:rPr>
            <w:rStyle w:val="Hyperlink"/>
            <w:rFonts w:eastAsia="Times New Roman"/>
            <w:noProof/>
          </w:rPr>
          <w:t>10.</w:t>
        </w:r>
        <w:r>
          <w:rPr>
            <w:noProof/>
            <w:kern w:val="2"/>
            <w:lang w:eastAsia="en-GB"/>
            <w14:ligatures w14:val="standardContextual"/>
          </w:rPr>
          <w:tab/>
        </w:r>
        <w:r w:rsidRPr="00596338">
          <w:rPr>
            <w:rStyle w:val="Hyperlink"/>
            <w:rFonts w:eastAsia="Times New Roman"/>
            <w:noProof/>
          </w:rPr>
          <w:t>Strategy ownership and contact details</w:t>
        </w:r>
        <w:r>
          <w:rPr>
            <w:noProof/>
            <w:webHidden/>
          </w:rPr>
          <w:tab/>
        </w:r>
        <w:r>
          <w:rPr>
            <w:noProof/>
            <w:webHidden/>
          </w:rPr>
          <w:fldChar w:fldCharType="begin"/>
        </w:r>
        <w:r>
          <w:rPr>
            <w:noProof/>
            <w:webHidden/>
          </w:rPr>
          <w:instrText xml:space="preserve"> PAGEREF _Toc167875549 \h </w:instrText>
        </w:r>
        <w:r>
          <w:rPr>
            <w:noProof/>
            <w:webHidden/>
          </w:rPr>
        </w:r>
        <w:r>
          <w:rPr>
            <w:noProof/>
            <w:webHidden/>
          </w:rPr>
          <w:fldChar w:fldCharType="separate"/>
        </w:r>
        <w:r w:rsidR="00104F0B">
          <w:rPr>
            <w:noProof/>
            <w:webHidden/>
          </w:rPr>
          <w:t>16</w:t>
        </w:r>
        <w:r>
          <w:rPr>
            <w:noProof/>
            <w:webHidden/>
          </w:rPr>
          <w:fldChar w:fldCharType="end"/>
        </w:r>
      </w:hyperlink>
    </w:p>
    <w:p w14:paraId="307A8D61" w14:textId="747730BA" w:rsidR="0007306B" w:rsidRDefault="0007306B">
      <w:pPr>
        <w:pStyle w:val="TOC1"/>
        <w:tabs>
          <w:tab w:val="right" w:leader="dot" w:pos="10212"/>
        </w:tabs>
        <w:rPr>
          <w:noProof/>
          <w:kern w:val="2"/>
          <w:lang w:eastAsia="en-GB"/>
          <w14:ligatures w14:val="standardContextual"/>
        </w:rPr>
      </w:pPr>
      <w:hyperlink w:anchor="_Toc167875551" w:history="1">
        <w:r w:rsidRPr="00596338">
          <w:rPr>
            <w:rStyle w:val="Hyperlink"/>
            <w:rFonts w:eastAsia="Times New Roman"/>
            <w:noProof/>
          </w:rPr>
          <w:t>Annex A – Scottish model of procurement</w:t>
        </w:r>
        <w:r>
          <w:rPr>
            <w:noProof/>
            <w:webHidden/>
          </w:rPr>
          <w:tab/>
        </w:r>
        <w:r>
          <w:rPr>
            <w:noProof/>
            <w:webHidden/>
          </w:rPr>
          <w:fldChar w:fldCharType="begin"/>
        </w:r>
        <w:r>
          <w:rPr>
            <w:noProof/>
            <w:webHidden/>
          </w:rPr>
          <w:instrText xml:space="preserve"> PAGEREF _Toc167875551 \h </w:instrText>
        </w:r>
        <w:r>
          <w:rPr>
            <w:noProof/>
            <w:webHidden/>
          </w:rPr>
        </w:r>
        <w:r>
          <w:rPr>
            <w:noProof/>
            <w:webHidden/>
          </w:rPr>
          <w:fldChar w:fldCharType="separate"/>
        </w:r>
        <w:r w:rsidR="00104F0B">
          <w:rPr>
            <w:noProof/>
            <w:webHidden/>
          </w:rPr>
          <w:t>17</w:t>
        </w:r>
        <w:r>
          <w:rPr>
            <w:noProof/>
            <w:webHidden/>
          </w:rPr>
          <w:fldChar w:fldCharType="end"/>
        </w:r>
      </w:hyperlink>
    </w:p>
    <w:p w14:paraId="688E8E10" w14:textId="2F2B72B1" w:rsidR="0007306B" w:rsidRDefault="0007306B">
      <w:pPr>
        <w:pStyle w:val="TOC1"/>
        <w:tabs>
          <w:tab w:val="right" w:leader="dot" w:pos="10212"/>
        </w:tabs>
        <w:rPr>
          <w:noProof/>
          <w:kern w:val="2"/>
          <w:lang w:eastAsia="en-GB"/>
          <w14:ligatures w14:val="standardContextual"/>
        </w:rPr>
      </w:pPr>
      <w:hyperlink w:anchor="_Toc167875552" w:history="1">
        <w:r w:rsidRPr="00596338">
          <w:rPr>
            <w:rStyle w:val="Hyperlink"/>
            <w:rFonts w:eastAsia="Times New Roman"/>
            <w:noProof/>
          </w:rPr>
          <w:t xml:space="preserve">Appendix A Strategic </w:t>
        </w:r>
        <w:r w:rsidR="004809DD">
          <w:rPr>
            <w:rStyle w:val="Hyperlink"/>
            <w:rFonts w:eastAsia="Times New Roman"/>
            <w:noProof/>
          </w:rPr>
          <w:t>p</w:t>
        </w:r>
        <w:r w:rsidRPr="00596338">
          <w:rPr>
            <w:rStyle w:val="Hyperlink"/>
            <w:rFonts w:eastAsia="Times New Roman"/>
            <w:noProof/>
          </w:rPr>
          <w:t xml:space="preserve">rocurement </w:t>
        </w:r>
        <w:r w:rsidR="004809DD">
          <w:rPr>
            <w:rStyle w:val="Hyperlink"/>
            <w:rFonts w:eastAsia="Times New Roman"/>
            <w:noProof/>
          </w:rPr>
          <w:t>t</w:t>
        </w:r>
        <w:r w:rsidRPr="00596338">
          <w:rPr>
            <w:rStyle w:val="Hyperlink"/>
            <w:rFonts w:eastAsia="Times New Roman"/>
            <w:noProof/>
          </w:rPr>
          <w:t xml:space="preserve">ransformation </w:t>
        </w:r>
        <w:r w:rsidR="004809DD">
          <w:rPr>
            <w:rStyle w:val="Hyperlink"/>
            <w:rFonts w:eastAsia="Times New Roman"/>
            <w:noProof/>
          </w:rPr>
          <w:t>m</w:t>
        </w:r>
        <w:r w:rsidRPr="00596338">
          <w:rPr>
            <w:rStyle w:val="Hyperlink"/>
            <w:rFonts w:eastAsia="Times New Roman"/>
            <w:noProof/>
          </w:rPr>
          <w:t>ap</w:t>
        </w:r>
        <w:r>
          <w:rPr>
            <w:noProof/>
            <w:webHidden/>
          </w:rPr>
          <w:tab/>
        </w:r>
        <w:r>
          <w:rPr>
            <w:noProof/>
            <w:webHidden/>
          </w:rPr>
          <w:fldChar w:fldCharType="begin"/>
        </w:r>
        <w:r>
          <w:rPr>
            <w:noProof/>
            <w:webHidden/>
          </w:rPr>
          <w:instrText xml:space="preserve"> PAGEREF _Toc167875552 \h </w:instrText>
        </w:r>
        <w:r>
          <w:rPr>
            <w:noProof/>
            <w:webHidden/>
          </w:rPr>
        </w:r>
        <w:r>
          <w:rPr>
            <w:noProof/>
            <w:webHidden/>
          </w:rPr>
          <w:fldChar w:fldCharType="separate"/>
        </w:r>
        <w:r w:rsidR="00104F0B">
          <w:rPr>
            <w:noProof/>
            <w:webHidden/>
          </w:rPr>
          <w:t>18</w:t>
        </w:r>
        <w:r>
          <w:rPr>
            <w:noProof/>
            <w:webHidden/>
          </w:rPr>
          <w:fldChar w:fldCharType="end"/>
        </w:r>
      </w:hyperlink>
    </w:p>
    <w:p w14:paraId="66FAC201" w14:textId="0979D27E" w:rsidR="0007306B" w:rsidRDefault="0007306B">
      <w:pPr>
        <w:pStyle w:val="TOC1"/>
        <w:tabs>
          <w:tab w:val="right" w:leader="dot" w:pos="10212"/>
        </w:tabs>
        <w:rPr>
          <w:noProof/>
          <w:kern w:val="2"/>
          <w:lang w:eastAsia="en-GB"/>
          <w14:ligatures w14:val="standardContextual"/>
        </w:rPr>
      </w:pPr>
      <w:hyperlink w:anchor="_Toc167875600" w:history="1">
        <w:r w:rsidRPr="00596338">
          <w:rPr>
            <w:rStyle w:val="Hyperlink"/>
            <w:rFonts w:eastAsia="Times New Roman"/>
            <w:noProof/>
          </w:rPr>
          <w:t>Glossary</w:t>
        </w:r>
        <w:r>
          <w:rPr>
            <w:noProof/>
            <w:webHidden/>
          </w:rPr>
          <w:tab/>
        </w:r>
        <w:r>
          <w:rPr>
            <w:noProof/>
            <w:webHidden/>
          </w:rPr>
          <w:fldChar w:fldCharType="begin"/>
        </w:r>
        <w:r>
          <w:rPr>
            <w:noProof/>
            <w:webHidden/>
          </w:rPr>
          <w:instrText xml:space="preserve"> PAGEREF _Toc167875600 \h </w:instrText>
        </w:r>
        <w:r>
          <w:rPr>
            <w:noProof/>
            <w:webHidden/>
          </w:rPr>
        </w:r>
        <w:r>
          <w:rPr>
            <w:noProof/>
            <w:webHidden/>
          </w:rPr>
          <w:fldChar w:fldCharType="separate"/>
        </w:r>
        <w:r w:rsidR="00104F0B">
          <w:rPr>
            <w:noProof/>
            <w:webHidden/>
          </w:rPr>
          <w:t>19</w:t>
        </w:r>
        <w:r>
          <w:rPr>
            <w:noProof/>
            <w:webHidden/>
          </w:rPr>
          <w:fldChar w:fldCharType="end"/>
        </w:r>
      </w:hyperlink>
    </w:p>
    <w:p w14:paraId="3B2F35BA" w14:textId="3CF1945A" w:rsidR="006B3E80" w:rsidRDefault="00227E5C">
      <w:pPr>
        <w:spacing w:line="240" w:lineRule="auto"/>
      </w:pPr>
      <w:r>
        <w:fldChar w:fldCharType="end"/>
      </w:r>
      <w:r w:rsidR="006B3E80">
        <w:br w:type="page"/>
      </w:r>
    </w:p>
    <w:p w14:paraId="34834483" w14:textId="1AEBC904" w:rsidR="001F2FD3" w:rsidRDefault="006B3E80" w:rsidP="006B3E80">
      <w:pPr>
        <w:pStyle w:val="Heading1"/>
      </w:pPr>
      <w:bookmarkStart w:id="18" w:name="_Toc167875513"/>
      <w:r>
        <w:lastRenderedPageBreak/>
        <w:t>For</w:t>
      </w:r>
      <w:r w:rsidR="000705BE">
        <w:t>e</w:t>
      </w:r>
      <w:r>
        <w:t>w</w:t>
      </w:r>
      <w:r w:rsidR="000705BE">
        <w:t>o</w:t>
      </w:r>
      <w:r>
        <w:t>rd</w:t>
      </w:r>
      <w:bookmarkEnd w:id="18"/>
      <w:r>
        <w:t xml:space="preserve"> </w:t>
      </w:r>
    </w:p>
    <w:p w14:paraId="62A3BFBC" w14:textId="3698736F" w:rsidR="007B305F" w:rsidRPr="007B305F" w:rsidRDefault="007B305F" w:rsidP="00CC45AD">
      <w:pPr>
        <w:pStyle w:val="Heading3"/>
        <w:rPr>
          <w:rFonts w:eastAsia="Times New Roman"/>
          <w:lang w:eastAsia="en-GB"/>
        </w:rPr>
      </w:pPr>
      <w:bookmarkStart w:id="19" w:name="_Hlk45740900"/>
      <w:r w:rsidRPr="007B305F">
        <w:rPr>
          <w:rFonts w:eastAsia="Times New Roman"/>
          <w:lang w:eastAsia="en-GB"/>
        </w:rPr>
        <w:t>Approach</w:t>
      </w:r>
    </w:p>
    <w:p w14:paraId="7F87471A" w14:textId="69904AEB" w:rsidR="006B6E7A" w:rsidRPr="00D26A23" w:rsidRDefault="00B95CA9" w:rsidP="002F5A0C">
      <w:pPr>
        <w:shd w:val="clear" w:color="auto" w:fill="FFFFFF"/>
        <w:jc w:val="both"/>
      </w:pPr>
      <w:r w:rsidRPr="00D26A23">
        <w:t>SEPA</w:t>
      </w:r>
      <w:r w:rsidR="00F81D36" w:rsidRPr="00D26A23">
        <w:t xml:space="preserve">’s Corporate </w:t>
      </w:r>
      <w:r w:rsidRPr="00D26A23">
        <w:t xml:space="preserve">Procurement </w:t>
      </w:r>
      <w:r w:rsidR="00F81D36" w:rsidRPr="00D26A23">
        <w:t xml:space="preserve">Strategy sets out </w:t>
      </w:r>
      <w:r w:rsidRPr="00D26A23">
        <w:t>the</w:t>
      </w:r>
      <w:r w:rsidR="00F81D36" w:rsidRPr="00D26A23">
        <w:t xml:space="preserve"> strategic direction for the forthcoming </w:t>
      </w:r>
      <w:r w:rsidR="003477BF" w:rsidRPr="00D26A23">
        <w:t>three</w:t>
      </w:r>
      <w:r w:rsidR="00F81D36" w:rsidRPr="00D26A23">
        <w:t xml:space="preserve"> years, and the steps we will be taking to</w:t>
      </w:r>
      <w:r w:rsidR="002C3E9B" w:rsidRPr="00D26A23">
        <w:t xml:space="preserve"> deliver a </w:t>
      </w:r>
      <w:proofErr w:type="gramStart"/>
      <w:r w:rsidR="002C3E9B" w:rsidRPr="00D26A23">
        <w:t>best in class</w:t>
      </w:r>
      <w:proofErr w:type="gramEnd"/>
      <w:r w:rsidR="002C3E9B" w:rsidRPr="00D26A23">
        <w:t xml:space="preserve"> procurement</w:t>
      </w:r>
      <w:r w:rsidR="00FD31E4" w:rsidRPr="00D26A23">
        <w:t xml:space="preserve"> function.</w:t>
      </w:r>
      <w:r w:rsidR="00F81D36" w:rsidRPr="00D26A23">
        <w:t xml:space="preserve"> </w:t>
      </w:r>
    </w:p>
    <w:p w14:paraId="6895C854" w14:textId="77777777" w:rsidR="006B6E7A" w:rsidRPr="00D26A23" w:rsidRDefault="006B6E7A" w:rsidP="002F5A0C">
      <w:pPr>
        <w:shd w:val="clear" w:color="auto" w:fill="FFFFFF"/>
        <w:jc w:val="both"/>
      </w:pPr>
    </w:p>
    <w:p w14:paraId="3783C377" w14:textId="13FE717C" w:rsidR="009001DD" w:rsidRPr="00D26A23" w:rsidRDefault="005A36D2" w:rsidP="002F5A0C">
      <w:pPr>
        <w:shd w:val="clear" w:color="auto" w:fill="FFFFFF"/>
        <w:jc w:val="both"/>
      </w:pPr>
      <w:r w:rsidRPr="00D26A23">
        <w:rPr>
          <w:rFonts w:eastAsia="Times New Roman" w:cstheme="minorHAnsi"/>
          <w:lang w:eastAsia="en-GB"/>
        </w:rPr>
        <w:t>P</w:t>
      </w:r>
      <w:r w:rsidR="006B6E7A" w:rsidRPr="00D26A23">
        <w:rPr>
          <w:rFonts w:eastAsia="Times New Roman" w:cstheme="minorHAnsi"/>
          <w:lang w:eastAsia="en-GB"/>
        </w:rPr>
        <w:t>rocurement</w:t>
      </w:r>
      <w:r w:rsidRPr="00D26A23">
        <w:rPr>
          <w:rFonts w:eastAsia="Times New Roman" w:cstheme="minorHAnsi"/>
          <w:lang w:eastAsia="en-GB"/>
        </w:rPr>
        <w:t>’s</w:t>
      </w:r>
      <w:r w:rsidR="009001DD" w:rsidRPr="00D26A23">
        <w:rPr>
          <w:rFonts w:eastAsia="Times New Roman" w:cstheme="minorHAnsi"/>
          <w:lang w:eastAsia="en-GB"/>
        </w:rPr>
        <w:t xml:space="preserve"> vision</w:t>
      </w:r>
      <w:r w:rsidR="006B6E7A" w:rsidRPr="00D26A23">
        <w:rPr>
          <w:rFonts w:eastAsia="Times New Roman" w:cstheme="minorHAnsi"/>
          <w:lang w:eastAsia="en-GB"/>
        </w:rPr>
        <w:t xml:space="preserve"> aligns </w:t>
      </w:r>
      <w:r w:rsidRPr="00D26A23">
        <w:rPr>
          <w:rFonts w:eastAsia="Times New Roman" w:cstheme="minorHAnsi"/>
          <w:lang w:eastAsia="en-GB"/>
        </w:rPr>
        <w:t xml:space="preserve">our Corporate Plan (2024-27) </w:t>
      </w:r>
      <w:r w:rsidR="001F03D8" w:rsidRPr="00D26A23">
        <w:rPr>
          <w:rFonts w:eastAsia="Times New Roman" w:cstheme="minorHAnsi"/>
          <w:lang w:eastAsia="en-GB"/>
        </w:rPr>
        <w:t>and is</w:t>
      </w:r>
      <w:r w:rsidR="009001DD" w:rsidRPr="00D26A23">
        <w:rPr>
          <w:rFonts w:eastAsia="Times New Roman" w:cstheme="minorHAnsi"/>
          <w:lang w:eastAsia="en-GB"/>
        </w:rPr>
        <w:t xml:space="preserve"> inclusive and fully integrated into our business strategies</w:t>
      </w:r>
      <w:r w:rsidR="00845791" w:rsidRPr="00D26A23">
        <w:rPr>
          <w:rFonts w:eastAsia="Times New Roman" w:cstheme="minorHAnsi"/>
          <w:lang w:eastAsia="en-GB"/>
        </w:rPr>
        <w:t>. This supports</w:t>
      </w:r>
      <w:r w:rsidR="009001DD" w:rsidRPr="00D26A23">
        <w:rPr>
          <w:rFonts w:eastAsia="Times New Roman" w:cstheme="minorHAnsi"/>
          <w:lang w:eastAsia="en-GB"/>
        </w:rPr>
        <w:t xml:space="preserve"> a culture of </w:t>
      </w:r>
      <w:r w:rsidR="00CD31A1">
        <w:rPr>
          <w:rFonts w:eastAsia="Times New Roman" w:cstheme="minorHAnsi"/>
          <w:lang w:eastAsia="en-GB"/>
        </w:rPr>
        <w:t xml:space="preserve">being an enabling function of </w:t>
      </w:r>
      <w:r w:rsidR="009001DD" w:rsidRPr="00D26A23">
        <w:rPr>
          <w:rFonts w:eastAsia="Times New Roman" w:cstheme="minorHAnsi"/>
          <w:lang w:eastAsia="en-GB"/>
        </w:rPr>
        <w:t>best practice which will deliver legally compliant processes</w:t>
      </w:r>
      <w:r w:rsidR="00651D05" w:rsidRPr="00D26A23">
        <w:rPr>
          <w:rFonts w:eastAsia="Times New Roman" w:cstheme="minorHAnsi"/>
          <w:lang w:eastAsia="en-GB"/>
        </w:rPr>
        <w:t>,</w:t>
      </w:r>
      <w:r w:rsidR="00C23B15" w:rsidRPr="00D26A23">
        <w:rPr>
          <w:rFonts w:eastAsia="Times New Roman" w:cstheme="minorHAnsi"/>
          <w:lang w:eastAsia="en-GB"/>
        </w:rPr>
        <w:t xml:space="preserve"> </w:t>
      </w:r>
      <w:r w:rsidR="009001DD" w:rsidRPr="00D26A23">
        <w:rPr>
          <w:rFonts w:eastAsia="Times New Roman" w:cstheme="minorHAnsi"/>
          <w:lang w:eastAsia="en-GB"/>
        </w:rPr>
        <w:t>value for money</w:t>
      </w:r>
      <w:r w:rsidR="002D2FFC" w:rsidRPr="00D26A23">
        <w:rPr>
          <w:rFonts w:eastAsia="Times New Roman" w:cstheme="minorHAnsi"/>
          <w:lang w:eastAsia="en-GB"/>
        </w:rPr>
        <w:t xml:space="preserve"> and</w:t>
      </w:r>
      <w:r w:rsidR="009001DD" w:rsidRPr="00D26A23">
        <w:rPr>
          <w:rFonts w:eastAsia="Times New Roman" w:cstheme="minorHAnsi"/>
          <w:lang w:eastAsia="en-GB"/>
        </w:rPr>
        <w:t xml:space="preserve"> sustainab</w:t>
      </w:r>
      <w:r w:rsidR="00F01E7B" w:rsidRPr="00D26A23">
        <w:rPr>
          <w:rFonts w:eastAsia="Times New Roman" w:cstheme="minorHAnsi"/>
          <w:lang w:eastAsia="en-GB"/>
        </w:rPr>
        <w:t>le solutions</w:t>
      </w:r>
      <w:r w:rsidR="002D2FFC" w:rsidRPr="00D26A23">
        <w:rPr>
          <w:rFonts w:eastAsia="Times New Roman" w:cstheme="minorHAnsi"/>
          <w:lang w:eastAsia="en-GB"/>
        </w:rPr>
        <w:t xml:space="preserve"> through</w:t>
      </w:r>
      <w:r w:rsidR="009001DD" w:rsidRPr="00D26A23">
        <w:rPr>
          <w:rFonts w:eastAsia="Times New Roman" w:cstheme="minorHAnsi"/>
          <w:lang w:eastAsia="en-GB"/>
        </w:rPr>
        <w:t xml:space="preserve"> continuous improvement. </w:t>
      </w:r>
    </w:p>
    <w:p w14:paraId="60F947B1" w14:textId="77777777" w:rsidR="003862A4" w:rsidRPr="00D26A23" w:rsidRDefault="003862A4" w:rsidP="002F5A0C">
      <w:pPr>
        <w:jc w:val="both"/>
      </w:pPr>
    </w:p>
    <w:p w14:paraId="282A35BA" w14:textId="34B8ADD7" w:rsidR="002641AD" w:rsidRPr="00D26A23" w:rsidRDefault="002641AD" w:rsidP="002F5A0C">
      <w:pPr>
        <w:jc w:val="both"/>
      </w:pPr>
      <w:r w:rsidRPr="00D26A23">
        <w:t xml:space="preserve">Central to SEPA’s efforts </w:t>
      </w:r>
      <w:r w:rsidR="00CF5181" w:rsidRPr="00D26A23">
        <w:t xml:space="preserve">is </w:t>
      </w:r>
      <w:r w:rsidRPr="00D26A23">
        <w:t>maximising the impact of procurement in a responsible manner</w:t>
      </w:r>
      <w:r w:rsidR="004B75B6" w:rsidRPr="00D26A23">
        <w:t xml:space="preserve"> through effective</w:t>
      </w:r>
      <w:r w:rsidRPr="00D26A23">
        <w:t xml:space="preserve"> supply chain management that fully embraces the principles of sustainable procurement </w:t>
      </w:r>
      <w:r w:rsidRPr="00D26A23">
        <w:rPr>
          <w:rStyle w:val="FootnoteReference"/>
        </w:rPr>
        <w:footnoteReference w:id="2"/>
      </w:r>
      <w:r w:rsidRPr="00D26A23">
        <w:t xml:space="preserve">and contributes to our ambitious reform programme – One SEPA Modernisation. </w:t>
      </w:r>
      <w:r w:rsidR="00E72FA3" w:rsidRPr="00D26A23">
        <w:rPr>
          <w:rStyle w:val="FootnoteReference"/>
        </w:rPr>
        <w:footnoteReference w:id="3"/>
      </w:r>
    </w:p>
    <w:p w14:paraId="677CB3DB" w14:textId="77777777" w:rsidR="001B2E31" w:rsidRPr="00D26A23" w:rsidRDefault="001B2E31" w:rsidP="002F5A0C">
      <w:pPr>
        <w:jc w:val="both"/>
      </w:pPr>
    </w:p>
    <w:p w14:paraId="7872397B" w14:textId="7D704555" w:rsidR="00F81D36" w:rsidRPr="00D26A23" w:rsidRDefault="00F81D36" w:rsidP="002F5A0C">
      <w:pPr>
        <w:jc w:val="both"/>
        <w:rPr>
          <w:rFonts w:eastAsia="Times New Roman" w:cstheme="minorHAnsi"/>
          <w:lang w:eastAsia="en-GB"/>
        </w:rPr>
      </w:pPr>
      <w:r w:rsidRPr="00D26A23">
        <w:rPr>
          <w:rFonts w:eastAsia="Times New Roman" w:cstheme="minorHAnsi"/>
          <w:lang w:eastAsia="en-GB"/>
        </w:rPr>
        <w:t>As the Account</w:t>
      </w:r>
      <w:r w:rsidR="00A23CC4" w:rsidRPr="00D26A23">
        <w:rPr>
          <w:rFonts w:eastAsia="Times New Roman" w:cstheme="minorHAnsi"/>
          <w:lang w:eastAsia="en-GB"/>
        </w:rPr>
        <w:t xml:space="preserve">able </w:t>
      </w:r>
      <w:r w:rsidRPr="00D26A23">
        <w:rPr>
          <w:rFonts w:eastAsia="Times New Roman" w:cstheme="minorHAnsi"/>
          <w:lang w:eastAsia="en-GB"/>
        </w:rPr>
        <w:t xml:space="preserve">Officer, I have a duty to safeguard public funds and ensure that </w:t>
      </w:r>
      <w:r w:rsidR="00665A2E" w:rsidRPr="00D26A23">
        <w:rPr>
          <w:rFonts w:eastAsia="Times New Roman" w:cstheme="minorHAnsi"/>
          <w:lang w:eastAsia="en-GB"/>
        </w:rPr>
        <w:t>SEPA</w:t>
      </w:r>
      <w:r w:rsidRPr="00D26A23">
        <w:rPr>
          <w:rFonts w:eastAsia="Times New Roman" w:cstheme="minorHAnsi"/>
          <w:lang w:eastAsia="en-GB"/>
        </w:rPr>
        <w:t xml:space="preserve"> complies with Government requirements on managing public money.  The </w:t>
      </w:r>
      <w:r w:rsidR="00AE076B" w:rsidRPr="00D26A23">
        <w:rPr>
          <w:rFonts w:eastAsia="Times New Roman" w:cstheme="minorHAnsi"/>
          <w:lang w:eastAsia="en-GB"/>
        </w:rPr>
        <w:t>Procurement</w:t>
      </w:r>
      <w:r w:rsidRPr="00D26A23">
        <w:rPr>
          <w:rFonts w:eastAsia="Times New Roman" w:cstheme="minorHAnsi"/>
          <w:lang w:eastAsia="en-GB"/>
        </w:rPr>
        <w:t xml:space="preserve"> </w:t>
      </w:r>
      <w:r w:rsidR="00665A2E" w:rsidRPr="00D26A23">
        <w:rPr>
          <w:rFonts w:eastAsia="Times New Roman" w:cstheme="minorHAnsi"/>
          <w:lang w:eastAsia="en-GB"/>
        </w:rPr>
        <w:t>T</w:t>
      </w:r>
      <w:r w:rsidRPr="00D26A23">
        <w:rPr>
          <w:rFonts w:eastAsia="Times New Roman" w:cstheme="minorHAnsi"/>
          <w:lang w:eastAsia="en-GB"/>
        </w:rPr>
        <w:t>eam support this by ensur</w:t>
      </w:r>
      <w:r w:rsidR="00BA04CE" w:rsidRPr="00D26A23">
        <w:rPr>
          <w:rFonts w:eastAsia="Times New Roman" w:cstheme="minorHAnsi"/>
          <w:lang w:eastAsia="en-GB"/>
        </w:rPr>
        <w:t>ing</w:t>
      </w:r>
      <w:r w:rsidRPr="00D26A23">
        <w:rPr>
          <w:rFonts w:eastAsia="Times New Roman" w:cstheme="minorHAnsi"/>
          <w:lang w:eastAsia="en-GB"/>
        </w:rPr>
        <w:t xml:space="preserve"> compliance with</w:t>
      </w:r>
      <w:r w:rsidR="00BA04CE" w:rsidRPr="00D26A23">
        <w:rPr>
          <w:rFonts w:eastAsia="Times New Roman" w:cstheme="minorHAnsi"/>
          <w:lang w:eastAsia="en-GB"/>
        </w:rPr>
        <w:t xml:space="preserve"> all regulatory and legal requirements.</w:t>
      </w:r>
    </w:p>
    <w:p w14:paraId="486C267B" w14:textId="77777777" w:rsidR="001B2E31" w:rsidRPr="00D26A23" w:rsidRDefault="001B2E31" w:rsidP="002F5A0C">
      <w:pPr>
        <w:jc w:val="both"/>
        <w:rPr>
          <w:rFonts w:eastAsia="Times New Roman" w:cstheme="minorHAnsi"/>
          <w:lang w:eastAsia="en-GB"/>
        </w:rPr>
      </w:pPr>
    </w:p>
    <w:p w14:paraId="00C5225B" w14:textId="12242AE7" w:rsidR="001B2E31" w:rsidRPr="00D26A23" w:rsidRDefault="00F81D36" w:rsidP="002F5A0C">
      <w:pPr>
        <w:jc w:val="both"/>
        <w:rPr>
          <w:rFonts w:eastAsia="Times New Roman" w:cstheme="minorHAnsi"/>
          <w:lang w:eastAsia="en-GB"/>
        </w:rPr>
      </w:pPr>
      <w:r w:rsidRPr="00D26A23">
        <w:rPr>
          <w:rFonts w:eastAsia="Times New Roman" w:cstheme="minorHAnsi"/>
          <w:lang w:eastAsia="en-GB"/>
        </w:rPr>
        <w:t xml:space="preserve">Delivering a professional </w:t>
      </w:r>
      <w:r w:rsidR="008A71C0" w:rsidRPr="00D26A23">
        <w:rPr>
          <w:rFonts w:eastAsia="Times New Roman" w:cstheme="minorHAnsi"/>
          <w:lang w:eastAsia="en-GB"/>
        </w:rPr>
        <w:t>p</w:t>
      </w:r>
      <w:r w:rsidR="00AE076B" w:rsidRPr="00D26A23">
        <w:rPr>
          <w:rFonts w:eastAsia="Times New Roman" w:cstheme="minorHAnsi"/>
          <w:lang w:eastAsia="en-GB"/>
        </w:rPr>
        <w:t>rocurement</w:t>
      </w:r>
      <w:r w:rsidRPr="00D26A23">
        <w:rPr>
          <w:rFonts w:eastAsia="Times New Roman" w:cstheme="minorHAnsi"/>
          <w:lang w:eastAsia="en-GB"/>
        </w:rPr>
        <w:t xml:space="preserve"> service is critical to achieving </w:t>
      </w:r>
      <w:r w:rsidR="008A71C0" w:rsidRPr="00D26A23">
        <w:rPr>
          <w:rFonts w:eastAsia="Times New Roman" w:cstheme="minorHAnsi"/>
          <w:lang w:eastAsia="en-GB"/>
        </w:rPr>
        <w:t>SEPA</w:t>
      </w:r>
      <w:r w:rsidRPr="00D26A23">
        <w:rPr>
          <w:rFonts w:eastAsia="Times New Roman" w:cstheme="minorHAnsi"/>
          <w:lang w:eastAsia="en-GB"/>
        </w:rPr>
        <w:t xml:space="preserve">’s </w:t>
      </w:r>
      <w:r w:rsidR="008A71C0" w:rsidRPr="00D26A23">
        <w:rPr>
          <w:rFonts w:eastAsia="Times New Roman" w:cstheme="minorHAnsi"/>
          <w:lang w:eastAsia="en-GB"/>
        </w:rPr>
        <w:t>m</w:t>
      </w:r>
      <w:r w:rsidRPr="00D26A23">
        <w:rPr>
          <w:rFonts w:eastAsia="Times New Roman" w:cstheme="minorHAnsi"/>
          <w:lang w:eastAsia="en-GB"/>
        </w:rPr>
        <w:t>ission</w:t>
      </w:r>
      <w:r w:rsidR="00A16E09" w:rsidRPr="00D26A23">
        <w:rPr>
          <w:rFonts w:eastAsia="Times New Roman" w:cstheme="minorHAnsi"/>
          <w:lang w:eastAsia="en-GB"/>
        </w:rPr>
        <w:t>,</w:t>
      </w:r>
      <w:r w:rsidRPr="00D26A23">
        <w:rPr>
          <w:rFonts w:eastAsia="Times New Roman" w:cstheme="minorHAnsi"/>
          <w:lang w:eastAsia="en-GB"/>
        </w:rPr>
        <w:t xml:space="preserve"> </w:t>
      </w:r>
      <w:r w:rsidR="00942816" w:rsidRPr="00D26A23">
        <w:rPr>
          <w:rFonts w:eastAsia="Times New Roman" w:cstheme="minorHAnsi"/>
          <w:lang w:eastAsia="en-GB"/>
        </w:rPr>
        <w:t>with</w:t>
      </w:r>
      <w:r w:rsidRPr="00D26A23">
        <w:rPr>
          <w:rFonts w:eastAsia="Times New Roman" w:cstheme="minorHAnsi"/>
          <w:lang w:eastAsia="en-GB"/>
        </w:rPr>
        <w:t xml:space="preserve"> </w:t>
      </w:r>
      <w:r w:rsidR="00942816" w:rsidRPr="00D26A23">
        <w:rPr>
          <w:rFonts w:eastAsia="Times New Roman" w:cstheme="minorHAnsi"/>
          <w:lang w:eastAsia="en-GB"/>
        </w:rPr>
        <w:t>the work</w:t>
      </w:r>
      <w:r w:rsidRPr="00D26A23">
        <w:rPr>
          <w:rFonts w:eastAsia="Times New Roman" w:cstheme="minorHAnsi"/>
          <w:lang w:eastAsia="en-GB"/>
        </w:rPr>
        <w:t xml:space="preserve"> undertaken by the </w:t>
      </w:r>
      <w:r w:rsidR="00665A2E" w:rsidRPr="00D26A23">
        <w:rPr>
          <w:rFonts w:eastAsia="Times New Roman" w:cstheme="minorHAnsi"/>
          <w:lang w:eastAsia="en-GB"/>
        </w:rPr>
        <w:t>P</w:t>
      </w:r>
      <w:r w:rsidR="00AE076B" w:rsidRPr="00D26A23">
        <w:rPr>
          <w:rFonts w:eastAsia="Times New Roman" w:cstheme="minorHAnsi"/>
          <w:lang w:eastAsia="en-GB"/>
        </w:rPr>
        <w:t>rocurement</w:t>
      </w:r>
      <w:r w:rsidRPr="00D26A23">
        <w:rPr>
          <w:rFonts w:eastAsia="Times New Roman" w:cstheme="minorHAnsi"/>
          <w:lang w:eastAsia="en-GB"/>
        </w:rPr>
        <w:t xml:space="preserve"> </w:t>
      </w:r>
      <w:r w:rsidR="00665A2E" w:rsidRPr="00D26A23">
        <w:rPr>
          <w:rFonts w:eastAsia="Times New Roman" w:cstheme="minorHAnsi"/>
          <w:lang w:eastAsia="en-GB"/>
        </w:rPr>
        <w:t>T</w:t>
      </w:r>
      <w:r w:rsidRPr="00D26A23">
        <w:rPr>
          <w:rFonts w:eastAsia="Times New Roman" w:cstheme="minorHAnsi"/>
          <w:lang w:eastAsia="en-GB"/>
        </w:rPr>
        <w:t xml:space="preserve">eam so far focussed on identifying </w:t>
      </w:r>
      <w:r w:rsidR="00C17FDB" w:rsidRPr="00D26A23">
        <w:rPr>
          <w:rFonts w:eastAsia="Times New Roman" w:cstheme="minorHAnsi"/>
          <w:lang w:eastAsia="en-GB"/>
        </w:rPr>
        <w:t>p</w:t>
      </w:r>
      <w:r w:rsidR="00AE076B" w:rsidRPr="00D26A23">
        <w:rPr>
          <w:rFonts w:eastAsia="Times New Roman" w:cstheme="minorHAnsi"/>
          <w:lang w:eastAsia="en-GB"/>
        </w:rPr>
        <w:t>rocurement</w:t>
      </w:r>
      <w:r w:rsidRPr="00D26A23">
        <w:rPr>
          <w:rFonts w:eastAsia="Times New Roman" w:cstheme="minorHAnsi"/>
          <w:lang w:eastAsia="en-GB"/>
        </w:rPr>
        <w:t xml:space="preserve"> risk(s), putting in place appropriate mitigations and at the same time ensuring that the delivery of key procurements </w:t>
      </w:r>
      <w:proofErr w:type="gramStart"/>
      <w:r w:rsidRPr="00D26A23">
        <w:rPr>
          <w:rFonts w:eastAsia="Times New Roman" w:cstheme="minorHAnsi"/>
          <w:lang w:eastAsia="en-GB"/>
        </w:rPr>
        <w:t>are</w:t>
      </w:r>
      <w:proofErr w:type="gramEnd"/>
      <w:r w:rsidRPr="00D26A23">
        <w:rPr>
          <w:rFonts w:eastAsia="Times New Roman" w:cstheme="minorHAnsi"/>
          <w:lang w:eastAsia="en-GB"/>
        </w:rPr>
        <w:t xml:space="preserve"> achiev</w:t>
      </w:r>
      <w:r w:rsidR="00A16E09" w:rsidRPr="00D26A23">
        <w:rPr>
          <w:rFonts w:eastAsia="Times New Roman" w:cstheme="minorHAnsi"/>
          <w:lang w:eastAsia="en-GB"/>
        </w:rPr>
        <w:t>able</w:t>
      </w:r>
      <w:r w:rsidRPr="00D26A23">
        <w:rPr>
          <w:rFonts w:eastAsia="Times New Roman" w:cstheme="minorHAnsi"/>
          <w:lang w:eastAsia="en-GB"/>
        </w:rPr>
        <w:t xml:space="preserve">.  </w:t>
      </w:r>
    </w:p>
    <w:p w14:paraId="29C90CB7" w14:textId="77777777" w:rsidR="00193C23" w:rsidRPr="00D26A23" w:rsidRDefault="00193C23" w:rsidP="002F5A0C">
      <w:pPr>
        <w:jc w:val="both"/>
        <w:rPr>
          <w:rFonts w:eastAsia="Times New Roman" w:cstheme="minorHAnsi"/>
          <w:lang w:eastAsia="en-GB"/>
        </w:rPr>
      </w:pPr>
    </w:p>
    <w:p w14:paraId="580B3CE9" w14:textId="234A612F" w:rsidR="00D27BC5" w:rsidRPr="00D26A23" w:rsidRDefault="00F81D36" w:rsidP="002F5A0C">
      <w:pPr>
        <w:jc w:val="both"/>
        <w:rPr>
          <w:rFonts w:eastAsia="Times New Roman" w:cstheme="minorHAnsi"/>
          <w:lang w:eastAsia="en-GB"/>
        </w:rPr>
      </w:pPr>
      <w:r w:rsidRPr="00D26A23">
        <w:rPr>
          <w:rFonts w:eastAsia="Times New Roman" w:cstheme="minorHAnsi"/>
          <w:lang w:eastAsia="en-GB"/>
        </w:rPr>
        <w:t xml:space="preserve">On behalf of the </w:t>
      </w:r>
      <w:r w:rsidR="00E116AD" w:rsidRPr="00D26A23">
        <w:rPr>
          <w:rFonts w:eastAsia="Times New Roman" w:cstheme="minorHAnsi"/>
          <w:lang w:eastAsia="en-GB"/>
        </w:rPr>
        <w:t>Corporate Leadership Team</w:t>
      </w:r>
      <w:r w:rsidR="00A50DF4" w:rsidRPr="00D26A23">
        <w:rPr>
          <w:rFonts w:eastAsia="Times New Roman" w:cstheme="minorHAnsi"/>
          <w:lang w:eastAsia="en-GB"/>
        </w:rPr>
        <w:t>,</w:t>
      </w:r>
      <w:r w:rsidR="00BE516D" w:rsidRPr="00D26A23">
        <w:rPr>
          <w:rFonts w:eastAsia="Times New Roman" w:cstheme="minorHAnsi"/>
          <w:lang w:eastAsia="en-GB"/>
        </w:rPr>
        <w:t xml:space="preserve"> </w:t>
      </w:r>
      <w:r w:rsidRPr="00D26A23">
        <w:rPr>
          <w:rFonts w:eastAsia="Times New Roman" w:cstheme="minorHAnsi"/>
          <w:lang w:eastAsia="en-GB"/>
        </w:rPr>
        <w:t xml:space="preserve">I would like to thank the </w:t>
      </w:r>
      <w:r w:rsidR="00E116AD" w:rsidRPr="00D26A23">
        <w:rPr>
          <w:rFonts w:eastAsia="Times New Roman" w:cstheme="minorHAnsi"/>
          <w:lang w:eastAsia="en-GB"/>
        </w:rPr>
        <w:t>P</w:t>
      </w:r>
      <w:r w:rsidR="00AE076B" w:rsidRPr="00D26A23">
        <w:rPr>
          <w:rFonts w:eastAsia="Times New Roman" w:cstheme="minorHAnsi"/>
          <w:lang w:eastAsia="en-GB"/>
        </w:rPr>
        <w:t>rocurement</w:t>
      </w:r>
      <w:r w:rsidRPr="00D26A23">
        <w:rPr>
          <w:rFonts w:eastAsia="Times New Roman" w:cstheme="minorHAnsi"/>
          <w:lang w:eastAsia="en-GB"/>
        </w:rPr>
        <w:t xml:space="preserve"> </w:t>
      </w:r>
      <w:r w:rsidR="00E116AD" w:rsidRPr="00D26A23">
        <w:rPr>
          <w:rFonts w:eastAsia="Times New Roman" w:cstheme="minorHAnsi"/>
          <w:lang w:eastAsia="en-GB"/>
        </w:rPr>
        <w:t>T</w:t>
      </w:r>
      <w:r w:rsidRPr="00D26A23">
        <w:rPr>
          <w:rFonts w:eastAsia="Times New Roman" w:cstheme="minorHAnsi"/>
          <w:lang w:eastAsia="en-GB"/>
        </w:rPr>
        <w:t>eam for their efforts to date and reiterate the function has our full support in meeting the business challenges going forward.</w:t>
      </w:r>
    </w:p>
    <w:p w14:paraId="0FAC6F77" w14:textId="77777777" w:rsidR="00D27BC5" w:rsidRPr="0037528C" w:rsidRDefault="00D27BC5" w:rsidP="002F5A0C">
      <w:pPr>
        <w:jc w:val="both"/>
        <w:rPr>
          <w:rFonts w:eastAsia="Times New Roman" w:cstheme="minorHAnsi"/>
          <w:lang w:eastAsia="en-GB"/>
        </w:rPr>
      </w:pPr>
    </w:p>
    <w:p w14:paraId="0960E84B" w14:textId="3D8056DA" w:rsidR="00CC45AD" w:rsidRDefault="00CD31A1" w:rsidP="002F5A0C">
      <w:pPr>
        <w:jc w:val="both"/>
        <w:rPr>
          <w:rFonts w:eastAsia="Times New Roman" w:cstheme="minorHAnsi"/>
          <w:b/>
          <w:bCs/>
          <w:lang w:eastAsia="en-GB"/>
        </w:rPr>
      </w:pPr>
      <w:r>
        <w:rPr>
          <w:rFonts w:eastAsia="Times New Roman" w:cstheme="minorHAnsi"/>
          <w:b/>
          <w:lang w:eastAsia="en-GB"/>
        </w:rPr>
        <w:t>Angela Milloy</w:t>
      </w:r>
    </w:p>
    <w:p w14:paraId="76A752E5" w14:textId="7038122D" w:rsidR="001C78A4" w:rsidRPr="00A80AB9" w:rsidRDefault="001C78A4" w:rsidP="002F5A0C">
      <w:pPr>
        <w:jc w:val="both"/>
        <w:rPr>
          <w:rFonts w:eastAsia="Times New Roman" w:cstheme="minorHAnsi"/>
          <w:b/>
          <w:lang w:eastAsia="en-GB"/>
        </w:rPr>
      </w:pPr>
      <w:r w:rsidRPr="00A80AB9">
        <w:rPr>
          <w:rFonts w:eastAsia="Times New Roman" w:cstheme="minorHAnsi"/>
          <w:b/>
          <w:lang w:eastAsia="en-GB"/>
        </w:rPr>
        <w:t>Chief Officer</w:t>
      </w:r>
      <w:r w:rsidR="00CD31A1">
        <w:rPr>
          <w:rFonts w:eastAsia="Times New Roman" w:cstheme="minorHAnsi"/>
          <w:b/>
          <w:lang w:eastAsia="en-GB"/>
        </w:rPr>
        <w:t xml:space="preserve"> Finance, Modernisation &amp; Digital</w:t>
      </w:r>
    </w:p>
    <w:bookmarkEnd w:id="19"/>
    <w:p w14:paraId="46C60B35" w14:textId="2D4B6DF3" w:rsidR="008F01FB" w:rsidRDefault="001C78A4" w:rsidP="008F01FB">
      <w:pPr>
        <w:pStyle w:val="Heading1"/>
        <w:numPr>
          <w:ilvl w:val="0"/>
          <w:numId w:val="3"/>
        </w:numPr>
        <w:rPr>
          <w:rFonts w:eastAsia="Times New Roman"/>
        </w:rPr>
      </w:pPr>
      <w:r w:rsidRPr="00B74D9F">
        <w:rPr>
          <w:rFonts w:eastAsia="Times New Roman"/>
        </w:rPr>
        <w:br w:type="page"/>
      </w:r>
      <w:r w:rsidR="009F17D1">
        <w:rPr>
          <w:rFonts w:eastAsia="Times New Roman"/>
        </w:rPr>
        <w:lastRenderedPageBreak/>
        <w:t xml:space="preserve">  </w:t>
      </w:r>
      <w:bookmarkStart w:id="20" w:name="_Toc167875514"/>
      <w:r w:rsidR="008F01FB">
        <w:rPr>
          <w:rFonts w:eastAsia="Times New Roman"/>
        </w:rPr>
        <w:t>Executive Summary</w:t>
      </w:r>
      <w:bookmarkEnd w:id="20"/>
    </w:p>
    <w:p w14:paraId="36A8B9C2" w14:textId="77777777" w:rsidR="008F01FB" w:rsidRPr="00F73D1F" w:rsidRDefault="008F01FB" w:rsidP="008F01FB">
      <w:pPr>
        <w:tabs>
          <w:tab w:val="left" w:pos="720"/>
          <w:tab w:val="left" w:pos="1440"/>
          <w:tab w:val="left" w:pos="2160"/>
          <w:tab w:val="left" w:pos="2880"/>
          <w:tab w:val="left" w:pos="4680"/>
          <w:tab w:val="left" w:pos="5400"/>
          <w:tab w:val="right" w:pos="9000"/>
        </w:tabs>
      </w:pPr>
      <w:r w:rsidRPr="00F73D1F">
        <w:t xml:space="preserve">In line with Scottish government policy </w:t>
      </w:r>
      <w:r>
        <w:rPr>
          <w:rStyle w:val="FootnoteReference"/>
        </w:rPr>
        <w:footnoteReference w:id="4"/>
      </w:r>
      <w:r>
        <w:t xml:space="preserve"> </w:t>
      </w:r>
      <w:r w:rsidRPr="00F73D1F">
        <w:t>SEPA must use its spending power to provide a better place to live, work and do business</w:t>
      </w:r>
      <w:r>
        <w:t xml:space="preserve"> for the people of Scotland</w:t>
      </w:r>
      <w:r w:rsidRPr="00F73D1F">
        <w:t xml:space="preserve">. How SEPA procures goods, works and services should promote inclusive economic growth, create fair opportunities for all, and </w:t>
      </w:r>
      <w:r>
        <w:t>help drive a</w:t>
      </w:r>
      <w:r w:rsidRPr="00F73D1F">
        <w:t xml:space="preserve"> net zero economy.</w:t>
      </w:r>
    </w:p>
    <w:p w14:paraId="01EB2896" w14:textId="77777777" w:rsidR="008F01FB" w:rsidRDefault="008F01FB" w:rsidP="008F01FB"/>
    <w:p w14:paraId="3580C58E" w14:textId="3BC57EF3" w:rsidR="008F01FB" w:rsidRDefault="008F01FB" w:rsidP="008F01FB">
      <w:r>
        <w:t xml:space="preserve">SEPA’s procurement function is subject to the </w:t>
      </w:r>
      <w:hyperlink r:id="rId10" w:history="1">
        <w:r w:rsidRPr="003234FB">
          <w:rPr>
            <w:rStyle w:val="Hyperlink"/>
          </w:rPr>
          <w:t>Public Contracts (Scotland) Regulations 2015.</w:t>
        </w:r>
      </w:hyperlink>
      <w:r>
        <w:t xml:space="preserve"> </w:t>
      </w:r>
      <w:r w:rsidR="00535B1E">
        <w:t>T</w:t>
      </w:r>
      <w:r>
        <w:t>he procurement function oversees an average annual third party spend of £16m</w:t>
      </w:r>
      <w:r>
        <w:rPr>
          <w:rStyle w:val="FootnoteReference"/>
        </w:rPr>
        <w:footnoteReference w:id="5"/>
      </w:r>
      <w:r>
        <w:t xml:space="preserve">, managing c 600 live contracts of which 37% are small to medium enterprises (SMEs). </w:t>
      </w:r>
    </w:p>
    <w:p w14:paraId="2827A1DF" w14:textId="77777777" w:rsidR="008F01FB" w:rsidRPr="00BE213B" w:rsidRDefault="008F01FB" w:rsidP="008F01FB">
      <w:pPr>
        <w:tabs>
          <w:tab w:val="left" w:pos="720"/>
          <w:tab w:val="left" w:pos="1440"/>
          <w:tab w:val="left" w:pos="2160"/>
          <w:tab w:val="left" w:pos="2880"/>
          <w:tab w:val="left" w:pos="4680"/>
          <w:tab w:val="left" w:pos="5400"/>
          <w:tab w:val="right" w:pos="9000"/>
        </w:tabs>
      </w:pPr>
    </w:p>
    <w:p w14:paraId="59511663" w14:textId="196823A5" w:rsidR="008F01FB" w:rsidRDefault="008F01FB" w:rsidP="008F01FB">
      <w:pPr>
        <w:tabs>
          <w:tab w:val="left" w:pos="720"/>
          <w:tab w:val="left" w:pos="1440"/>
          <w:tab w:val="left" w:pos="2160"/>
          <w:tab w:val="left" w:pos="2880"/>
          <w:tab w:val="left" w:pos="4680"/>
          <w:tab w:val="left" w:pos="5400"/>
          <w:tab w:val="right" w:pos="9000"/>
        </w:tabs>
      </w:pPr>
      <w:r w:rsidRPr="00BE213B">
        <w:t xml:space="preserve">This </w:t>
      </w:r>
      <w:r>
        <w:t>strategy</w:t>
      </w:r>
      <w:r w:rsidRPr="00BE213B">
        <w:t xml:space="preserve"> outlines</w:t>
      </w:r>
      <w:r>
        <w:t xml:space="preserve"> SEPA’s procurement </w:t>
      </w:r>
      <w:r w:rsidRPr="00BE213B">
        <w:t>vision and plan</w:t>
      </w:r>
      <w:r>
        <w:t>s</w:t>
      </w:r>
      <w:r w:rsidRPr="00BE213B">
        <w:t xml:space="preserve"> </w:t>
      </w:r>
      <w:r>
        <w:t xml:space="preserve">over the next three years </w:t>
      </w:r>
      <w:r w:rsidRPr="00BE213B">
        <w:t>provid</w:t>
      </w:r>
      <w:r>
        <w:t>ing a clear focus on corporate alignment</w:t>
      </w:r>
      <w:r>
        <w:rPr>
          <w:rStyle w:val="FootnoteReference"/>
        </w:rPr>
        <w:footnoteReference w:id="6"/>
      </w:r>
      <w:r>
        <w:t xml:space="preserve"> and a strategic direction of travel to a more </w:t>
      </w:r>
      <w:proofErr w:type="gramStart"/>
      <w:r>
        <w:t xml:space="preserve">proactive  </w:t>
      </w:r>
      <w:r w:rsidR="00535B1E">
        <w:t>and</w:t>
      </w:r>
      <w:proofErr w:type="gramEnd"/>
      <w:r w:rsidR="00535B1E">
        <w:t xml:space="preserve"> enabling </w:t>
      </w:r>
      <w:r>
        <w:t xml:space="preserve">service. </w:t>
      </w:r>
      <w:r w:rsidRPr="00BE213B">
        <w:t xml:space="preserve"> </w:t>
      </w:r>
    </w:p>
    <w:p w14:paraId="6A117248" w14:textId="77777777" w:rsidR="008F01FB" w:rsidRDefault="008F01FB" w:rsidP="008F01FB">
      <w:pPr>
        <w:tabs>
          <w:tab w:val="left" w:pos="720"/>
          <w:tab w:val="left" w:pos="1440"/>
          <w:tab w:val="left" w:pos="2160"/>
          <w:tab w:val="left" w:pos="2880"/>
          <w:tab w:val="left" w:pos="4680"/>
          <w:tab w:val="left" w:pos="5400"/>
          <w:tab w:val="right" w:pos="9000"/>
        </w:tabs>
      </w:pPr>
    </w:p>
    <w:p w14:paraId="69B836DE" w14:textId="16D4B3E0" w:rsidR="00BF33A2" w:rsidRPr="00B74D9F" w:rsidRDefault="00A12E96" w:rsidP="00280064">
      <w:pPr>
        <w:pStyle w:val="Heading1"/>
        <w:numPr>
          <w:ilvl w:val="0"/>
          <w:numId w:val="3"/>
        </w:numPr>
        <w:ind w:left="709" w:hanging="709"/>
        <w:rPr>
          <w:rFonts w:eastAsia="Times New Roman"/>
        </w:rPr>
      </w:pPr>
      <w:bookmarkStart w:id="21" w:name="_Toc167875515"/>
      <w:r>
        <w:rPr>
          <w:rFonts w:eastAsia="Times New Roman"/>
        </w:rPr>
        <w:t>Background</w:t>
      </w:r>
      <w:bookmarkEnd w:id="21"/>
      <w:r w:rsidR="00326B46" w:rsidRPr="00B74D9F">
        <w:rPr>
          <w:rFonts w:eastAsia="Times New Roman"/>
        </w:rPr>
        <w:t xml:space="preserve"> </w:t>
      </w:r>
      <w:bookmarkEnd w:id="17"/>
    </w:p>
    <w:p w14:paraId="773A1B58" w14:textId="3DCF2096" w:rsidR="00441421" w:rsidRPr="00102D8B" w:rsidRDefault="00441421" w:rsidP="00B8039B">
      <w:pPr>
        <w:pStyle w:val="Heading3"/>
        <w:numPr>
          <w:ilvl w:val="1"/>
          <w:numId w:val="3"/>
        </w:numPr>
      </w:pPr>
      <w:r w:rsidRPr="008E18D9">
        <w:t>About SEPA</w:t>
      </w:r>
    </w:p>
    <w:p w14:paraId="56F32369" w14:textId="741C2811" w:rsidR="0019440D" w:rsidRDefault="00D106EA" w:rsidP="00BC4E7D">
      <w:pPr>
        <w:tabs>
          <w:tab w:val="left" w:pos="720"/>
          <w:tab w:val="left" w:pos="1440"/>
          <w:tab w:val="left" w:pos="2160"/>
          <w:tab w:val="left" w:pos="2880"/>
          <w:tab w:val="left" w:pos="4680"/>
          <w:tab w:val="left" w:pos="5400"/>
          <w:tab w:val="right" w:pos="9000"/>
        </w:tabs>
      </w:pPr>
      <w:r w:rsidRPr="00102D8B">
        <w:t>SEPA</w:t>
      </w:r>
      <w:r w:rsidR="0019440D" w:rsidRPr="00102D8B">
        <w:t xml:space="preserve"> is Scotland’s environmental regulator. The organisation is a non-departmental public body (NDPB), accountable through Scottish Ministers to the Scottish Parliament. Our statutory purpose is to protect and improve the environment in ways that, as far as possible, create health and well-being benefits and sustainable economic growth. </w:t>
      </w:r>
    </w:p>
    <w:p w14:paraId="31F00138" w14:textId="77777777" w:rsidR="005E750C" w:rsidRPr="00102D8B" w:rsidRDefault="005E750C" w:rsidP="00BC4E7D">
      <w:pPr>
        <w:tabs>
          <w:tab w:val="left" w:pos="720"/>
          <w:tab w:val="left" w:pos="1440"/>
          <w:tab w:val="left" w:pos="2160"/>
          <w:tab w:val="left" w:pos="2880"/>
          <w:tab w:val="left" w:pos="4680"/>
          <w:tab w:val="left" w:pos="5400"/>
          <w:tab w:val="right" w:pos="9000"/>
        </w:tabs>
      </w:pPr>
    </w:p>
    <w:p w14:paraId="302CC0DA" w14:textId="633679B2" w:rsidR="00564805" w:rsidRDefault="005E750C" w:rsidP="00BC4E7D">
      <w:pPr>
        <w:tabs>
          <w:tab w:val="left" w:pos="720"/>
          <w:tab w:val="left" w:pos="1440"/>
          <w:tab w:val="left" w:pos="2160"/>
          <w:tab w:val="left" w:pos="2880"/>
          <w:tab w:val="left" w:pos="4680"/>
          <w:tab w:val="left" w:pos="5400"/>
          <w:tab w:val="right" w:pos="9000"/>
        </w:tabs>
      </w:pPr>
      <w:r w:rsidRPr="005E750C">
        <w:t>Our role in protecting the environment and human health is wide-ranging, including environmental regulation, mitigating and adapting to climate change, monitoring and reporting on the state of our environment, raising awareness of environmental issues, engaging with the public through citizen science projects, and resolving environmental harms.</w:t>
      </w:r>
    </w:p>
    <w:p w14:paraId="3C101E6C" w14:textId="77777777" w:rsidR="00493E26" w:rsidRPr="00242DFE" w:rsidRDefault="00493E26" w:rsidP="00242DFE"/>
    <w:p w14:paraId="1CD4EADB" w14:textId="07843A5E" w:rsidR="00E37095" w:rsidRPr="00BF33A2" w:rsidRDefault="00CB3015" w:rsidP="00851410">
      <w:pPr>
        <w:pStyle w:val="Heading1"/>
        <w:numPr>
          <w:ilvl w:val="0"/>
          <w:numId w:val="3"/>
        </w:numPr>
        <w:ind w:left="709" w:hanging="709"/>
        <w:rPr>
          <w:rFonts w:eastAsia="Times New Roman"/>
        </w:rPr>
      </w:pPr>
      <w:bookmarkStart w:id="22" w:name="_Toc167875516"/>
      <w:r>
        <w:rPr>
          <w:rFonts w:eastAsia="Times New Roman"/>
        </w:rPr>
        <w:lastRenderedPageBreak/>
        <w:t xml:space="preserve">Strategic </w:t>
      </w:r>
      <w:r w:rsidR="00674653">
        <w:rPr>
          <w:rFonts w:eastAsia="Times New Roman"/>
        </w:rPr>
        <w:t>c</w:t>
      </w:r>
      <w:r>
        <w:rPr>
          <w:rFonts w:eastAsia="Times New Roman"/>
        </w:rPr>
        <w:t>ontext and ration</w:t>
      </w:r>
      <w:r w:rsidR="00674653">
        <w:rPr>
          <w:rFonts w:eastAsia="Times New Roman"/>
        </w:rPr>
        <w:t>ale</w:t>
      </w:r>
      <w:bookmarkEnd w:id="22"/>
    </w:p>
    <w:p w14:paraId="51216098" w14:textId="48D333F3" w:rsidR="00FE331D" w:rsidRDefault="001B6E8F" w:rsidP="001B6E8F">
      <w:pPr>
        <w:rPr>
          <w:rFonts w:eastAsia="Times New Roman" w:cstheme="minorHAnsi"/>
          <w:lang w:eastAsia="en-GB"/>
        </w:rPr>
      </w:pPr>
      <w:r w:rsidRPr="001B6E8F">
        <w:rPr>
          <w:rFonts w:eastAsia="Times New Roman" w:cstheme="minorHAnsi"/>
          <w:lang w:eastAsia="en-GB"/>
        </w:rPr>
        <w:t xml:space="preserve">The Corporate Procurement Strategy </w:t>
      </w:r>
      <w:r w:rsidR="00D34EC4">
        <w:rPr>
          <w:rFonts w:eastAsia="Times New Roman" w:cstheme="minorHAnsi"/>
          <w:lang w:eastAsia="en-GB"/>
        </w:rPr>
        <w:t>introduces</w:t>
      </w:r>
      <w:r w:rsidRPr="001B6E8F">
        <w:rPr>
          <w:rFonts w:eastAsia="Times New Roman" w:cstheme="minorHAnsi"/>
          <w:lang w:eastAsia="en-GB"/>
        </w:rPr>
        <w:t xml:space="preserve"> a</w:t>
      </w:r>
      <w:r w:rsidR="00B611C7">
        <w:rPr>
          <w:rFonts w:eastAsia="Times New Roman" w:cstheme="minorHAnsi"/>
          <w:lang w:eastAsia="en-GB"/>
        </w:rPr>
        <w:t xml:space="preserve"> transformation</w:t>
      </w:r>
      <w:r w:rsidRPr="001B6E8F">
        <w:rPr>
          <w:rFonts w:eastAsia="Times New Roman" w:cstheme="minorHAnsi"/>
          <w:lang w:eastAsia="en-GB"/>
        </w:rPr>
        <w:t xml:space="preserve"> map</w:t>
      </w:r>
      <w:r w:rsidR="002E31D4">
        <w:rPr>
          <w:rFonts w:eastAsia="Times New Roman" w:cstheme="minorHAnsi"/>
          <w:lang w:eastAsia="en-GB"/>
        </w:rPr>
        <w:t xml:space="preserve"> </w:t>
      </w:r>
      <w:r w:rsidR="005C377B">
        <w:rPr>
          <w:rFonts w:eastAsia="Times New Roman" w:cstheme="minorHAnsi"/>
          <w:lang w:eastAsia="en-GB"/>
        </w:rPr>
        <w:t xml:space="preserve">(T-Map) </w:t>
      </w:r>
      <w:r w:rsidRPr="001B6E8F">
        <w:rPr>
          <w:rFonts w:eastAsia="Times New Roman" w:cstheme="minorHAnsi"/>
          <w:lang w:eastAsia="en-GB"/>
        </w:rPr>
        <w:t xml:space="preserve">of </w:t>
      </w:r>
      <w:r w:rsidR="008445D1">
        <w:rPr>
          <w:rFonts w:eastAsia="Times New Roman" w:cstheme="minorHAnsi"/>
          <w:lang w:eastAsia="en-GB"/>
        </w:rPr>
        <w:t>strategic aims</w:t>
      </w:r>
      <w:r w:rsidRPr="001B6E8F">
        <w:rPr>
          <w:rFonts w:eastAsia="Times New Roman" w:cstheme="minorHAnsi"/>
          <w:lang w:eastAsia="en-GB"/>
        </w:rPr>
        <w:t xml:space="preserve"> that support the wider organisational </w:t>
      </w:r>
      <w:r w:rsidRPr="00A80C40">
        <w:t>SEPA Corporate Plan 2024-27</w:t>
      </w:r>
      <w:r w:rsidRPr="001B6E8F">
        <w:rPr>
          <w:rFonts w:eastAsia="Times New Roman" w:cstheme="minorHAnsi"/>
          <w:lang w:eastAsia="en-GB"/>
        </w:rPr>
        <w:t xml:space="preserve"> and our transformational </w:t>
      </w:r>
      <w:r w:rsidR="00E1687E">
        <w:rPr>
          <w:rFonts w:eastAsia="Times New Roman" w:cstheme="minorHAnsi"/>
          <w:lang w:eastAsia="en-GB"/>
        </w:rPr>
        <w:t xml:space="preserve">change </w:t>
      </w:r>
      <w:r w:rsidRPr="001B6E8F">
        <w:rPr>
          <w:rFonts w:eastAsia="Times New Roman" w:cstheme="minorHAnsi"/>
          <w:lang w:eastAsia="en-GB"/>
        </w:rPr>
        <w:t>objectives</w:t>
      </w:r>
      <w:r w:rsidR="00D462E3">
        <w:rPr>
          <w:rFonts w:eastAsia="Times New Roman" w:cstheme="minorHAnsi"/>
          <w:lang w:eastAsia="en-GB"/>
        </w:rPr>
        <w:t xml:space="preserve"> under </w:t>
      </w:r>
      <w:hyperlink r:id="rId11" w:anchor="systems-and-information-transformation" w:history="1">
        <w:r w:rsidR="00D462E3" w:rsidRPr="00D462E3">
          <w:rPr>
            <w:rStyle w:val="Hyperlink"/>
            <w:rFonts w:eastAsia="Times New Roman" w:cstheme="minorHAnsi"/>
            <w:lang w:eastAsia="en-GB"/>
          </w:rPr>
          <w:t>One SEPA</w:t>
        </w:r>
      </w:hyperlink>
      <w:r w:rsidRPr="001B6E8F">
        <w:rPr>
          <w:rFonts w:eastAsia="Times New Roman" w:cstheme="minorHAnsi"/>
          <w:lang w:eastAsia="en-GB"/>
        </w:rPr>
        <w:t xml:space="preserve">. </w:t>
      </w:r>
    </w:p>
    <w:p w14:paraId="3B8D04FF" w14:textId="77777777" w:rsidR="00FE331D" w:rsidRDefault="00FE331D" w:rsidP="001B6E8F">
      <w:pPr>
        <w:rPr>
          <w:rFonts w:eastAsia="Times New Roman" w:cstheme="minorHAnsi"/>
          <w:lang w:eastAsia="en-GB"/>
        </w:rPr>
      </w:pPr>
    </w:p>
    <w:p w14:paraId="0C272F1C" w14:textId="0B677FCE" w:rsidR="001B6E8F" w:rsidRDefault="005C377B" w:rsidP="001B6E8F">
      <w:pPr>
        <w:rPr>
          <w:rFonts w:eastAsia="Times New Roman" w:cstheme="minorHAnsi"/>
          <w:lang w:eastAsia="en-GB"/>
        </w:rPr>
      </w:pPr>
      <w:r>
        <w:rPr>
          <w:rFonts w:eastAsia="Times New Roman" w:cstheme="minorHAnsi"/>
          <w:lang w:eastAsia="en-GB"/>
        </w:rPr>
        <w:t xml:space="preserve">The T-Map at Appendix A includes a list of </w:t>
      </w:r>
      <w:r w:rsidR="00704EA2">
        <w:rPr>
          <w:rFonts w:eastAsia="Times New Roman" w:cstheme="minorHAnsi"/>
          <w:lang w:eastAsia="en-GB"/>
        </w:rPr>
        <w:t>activities that support strategy delivery</w:t>
      </w:r>
      <w:r w:rsidR="00FE331D">
        <w:rPr>
          <w:rFonts w:eastAsia="Times New Roman" w:cstheme="minorHAnsi"/>
          <w:lang w:eastAsia="en-GB"/>
        </w:rPr>
        <w:t xml:space="preserve"> and shows how we plan to move from a largely reactive/transactional state to a more pro-active/strategic one</w:t>
      </w:r>
      <w:r w:rsidR="00704EA2">
        <w:rPr>
          <w:rFonts w:eastAsia="Times New Roman" w:cstheme="minorHAnsi"/>
          <w:lang w:eastAsia="en-GB"/>
        </w:rPr>
        <w:t>. Th</w:t>
      </w:r>
      <w:r w:rsidR="00FE331D">
        <w:rPr>
          <w:rFonts w:eastAsia="Times New Roman" w:cstheme="minorHAnsi"/>
          <w:lang w:eastAsia="en-GB"/>
        </w:rPr>
        <w:t>e list of activities</w:t>
      </w:r>
      <w:r w:rsidR="00704EA2">
        <w:rPr>
          <w:rFonts w:eastAsia="Times New Roman" w:cstheme="minorHAnsi"/>
          <w:lang w:eastAsia="en-GB"/>
        </w:rPr>
        <w:t xml:space="preserve"> is not exhaustive and subject to continued review and change.</w:t>
      </w:r>
    </w:p>
    <w:p w14:paraId="1149FF0A" w14:textId="77777777" w:rsidR="001B6E8F" w:rsidRPr="001B6E8F" w:rsidRDefault="001B6E8F" w:rsidP="001B6E8F">
      <w:pPr>
        <w:rPr>
          <w:rFonts w:eastAsia="Times New Roman" w:cstheme="minorHAnsi"/>
          <w:lang w:eastAsia="en-GB"/>
        </w:rPr>
      </w:pPr>
    </w:p>
    <w:p w14:paraId="088488E4" w14:textId="52C336FF" w:rsidR="00080833" w:rsidRDefault="00261D3A" w:rsidP="00BC4E7D">
      <w:r w:rsidRPr="00851410">
        <w:rPr>
          <w:rFonts w:eastAsia="Times New Roman" w:cstheme="minorHAnsi"/>
          <w:lang w:eastAsia="en-GB"/>
        </w:rPr>
        <w:t xml:space="preserve">The </w:t>
      </w:r>
      <w:hyperlink r:id="rId12" w:history="1">
        <w:r w:rsidRPr="007B6A29">
          <w:rPr>
            <w:rStyle w:val="Hyperlink"/>
            <w:rFonts w:eastAsia="Times New Roman" w:cstheme="minorHAnsi"/>
            <w:lang w:eastAsia="en-GB"/>
          </w:rPr>
          <w:t>Procurement Reform (Scotland) Act 2014</w:t>
        </w:r>
      </w:hyperlink>
      <w:r w:rsidRPr="00851410">
        <w:rPr>
          <w:rFonts w:eastAsia="Times New Roman" w:cstheme="minorHAnsi"/>
          <w:lang w:eastAsia="en-GB"/>
        </w:rPr>
        <w:t xml:space="preserve"> </w:t>
      </w:r>
      <w:r w:rsidR="007844A7">
        <w:rPr>
          <w:rFonts w:eastAsia="Times New Roman" w:cstheme="minorHAnsi"/>
          <w:lang w:eastAsia="en-GB"/>
        </w:rPr>
        <w:t xml:space="preserve">governs </w:t>
      </w:r>
      <w:r w:rsidR="00F21580">
        <w:rPr>
          <w:rFonts w:eastAsia="Times New Roman" w:cstheme="minorHAnsi"/>
          <w:lang w:eastAsia="en-GB"/>
        </w:rPr>
        <w:t xml:space="preserve">our </w:t>
      </w:r>
      <w:r w:rsidRPr="00851410">
        <w:rPr>
          <w:rFonts w:eastAsia="Times New Roman" w:cstheme="minorHAnsi"/>
          <w:lang w:eastAsia="en-GB"/>
        </w:rPr>
        <w:t>contracting a</w:t>
      </w:r>
      <w:r w:rsidR="00F21580">
        <w:rPr>
          <w:rFonts w:eastAsia="Times New Roman" w:cstheme="minorHAnsi"/>
          <w:lang w:eastAsia="en-GB"/>
        </w:rPr>
        <w:t>ctivity</w:t>
      </w:r>
      <w:r w:rsidR="00F5144F">
        <w:rPr>
          <w:rFonts w:eastAsia="Times New Roman" w:cstheme="minorHAnsi"/>
          <w:lang w:eastAsia="en-GB"/>
        </w:rPr>
        <w:t xml:space="preserve"> </w:t>
      </w:r>
      <w:r w:rsidR="00B326A0">
        <w:rPr>
          <w:rFonts w:eastAsia="Times New Roman" w:cstheme="minorHAnsi"/>
          <w:lang w:eastAsia="en-GB"/>
        </w:rPr>
        <w:t>and requires</w:t>
      </w:r>
      <w:r w:rsidR="00C13D17">
        <w:rPr>
          <w:rFonts w:eastAsia="Times New Roman" w:cstheme="minorHAnsi"/>
          <w:lang w:eastAsia="en-GB"/>
        </w:rPr>
        <w:t xml:space="preserve"> SEPA</w:t>
      </w:r>
      <w:r w:rsidR="00895771">
        <w:rPr>
          <w:rFonts w:eastAsia="Times New Roman" w:cstheme="minorHAnsi"/>
          <w:lang w:eastAsia="en-GB"/>
        </w:rPr>
        <w:t xml:space="preserve"> </w:t>
      </w:r>
      <w:r w:rsidRPr="00851410">
        <w:rPr>
          <w:rFonts w:eastAsia="Times New Roman" w:cstheme="minorHAnsi"/>
          <w:lang w:eastAsia="en-GB"/>
        </w:rPr>
        <w:t xml:space="preserve">to produce a </w:t>
      </w:r>
      <w:r w:rsidR="00045B76">
        <w:rPr>
          <w:rFonts w:eastAsia="Times New Roman" w:cstheme="minorHAnsi"/>
          <w:lang w:eastAsia="en-GB"/>
        </w:rPr>
        <w:t xml:space="preserve">Corporate </w:t>
      </w:r>
      <w:r w:rsidRPr="00851410">
        <w:rPr>
          <w:rFonts w:eastAsia="Times New Roman" w:cstheme="minorHAnsi"/>
          <w:lang w:eastAsia="en-GB"/>
        </w:rPr>
        <w:t>Procurement Strategy</w:t>
      </w:r>
      <w:r w:rsidR="008F3C6E">
        <w:rPr>
          <w:rStyle w:val="FootnoteReference"/>
          <w:rFonts w:eastAsia="Times New Roman" w:cstheme="minorHAnsi"/>
          <w:lang w:eastAsia="en-GB"/>
        </w:rPr>
        <w:footnoteReference w:id="7"/>
      </w:r>
      <w:r w:rsidRPr="00851410">
        <w:rPr>
          <w:rFonts w:eastAsia="Times New Roman" w:cstheme="minorHAnsi"/>
          <w:lang w:eastAsia="en-GB"/>
        </w:rPr>
        <w:t xml:space="preserve">. </w:t>
      </w:r>
      <w:r w:rsidR="003D0108">
        <w:t xml:space="preserve">We review </w:t>
      </w:r>
      <w:r w:rsidR="00C04399">
        <w:t>this</w:t>
      </w:r>
      <w:r w:rsidR="003D0108">
        <w:t xml:space="preserve"> </w:t>
      </w:r>
      <w:r w:rsidR="004D1A87">
        <w:t xml:space="preserve">annually to ensure </w:t>
      </w:r>
      <w:r w:rsidR="00BE6D42">
        <w:t>SEPA’s</w:t>
      </w:r>
      <w:r w:rsidR="0000415C">
        <w:t xml:space="preserve"> procurement needs are being met </w:t>
      </w:r>
      <w:r w:rsidR="003D0108">
        <w:t>and</w:t>
      </w:r>
      <w:r w:rsidR="004D1A87">
        <w:t xml:space="preserve"> to</w:t>
      </w:r>
      <w:r w:rsidR="003D0108">
        <w:t xml:space="preserve"> </w:t>
      </w:r>
      <w:proofErr w:type="gramStart"/>
      <w:r w:rsidR="004A62BB">
        <w:t>adapt</w:t>
      </w:r>
      <w:r w:rsidR="00BE6D42">
        <w:t xml:space="preserve"> </w:t>
      </w:r>
      <w:r w:rsidR="004A62BB">
        <w:t xml:space="preserve"> and</w:t>
      </w:r>
      <w:proofErr w:type="gramEnd"/>
      <w:r w:rsidR="004A62BB">
        <w:t xml:space="preserve"> change</w:t>
      </w:r>
      <w:r w:rsidR="003D0108">
        <w:t xml:space="preserve"> </w:t>
      </w:r>
      <w:r>
        <w:t xml:space="preserve">accordingly. </w:t>
      </w:r>
      <w:r w:rsidR="00AC1B35">
        <w:t>Th</w:t>
      </w:r>
      <w:r w:rsidR="004A62BB">
        <w:t>e</w:t>
      </w:r>
      <w:r w:rsidR="00AC1B35">
        <w:t xml:space="preserve"> strategy will be published on SEPA’s external </w:t>
      </w:r>
      <w:hyperlink r:id="rId13" w:history="1">
        <w:r w:rsidR="00AC1B35" w:rsidRPr="00E56747">
          <w:rPr>
            <w:rStyle w:val="Hyperlink"/>
          </w:rPr>
          <w:t>website</w:t>
        </w:r>
      </w:hyperlink>
      <w:r w:rsidR="00AC1B35">
        <w:t>.</w:t>
      </w:r>
    </w:p>
    <w:p w14:paraId="6E146C54" w14:textId="77777777" w:rsidR="00080833" w:rsidRDefault="00080833" w:rsidP="00BC4E7D"/>
    <w:p w14:paraId="13E20C43" w14:textId="73F661A8" w:rsidR="00101516" w:rsidRDefault="00A4680C" w:rsidP="00BC4E7D">
      <w:pPr>
        <w:rPr>
          <w:rFonts w:eastAsia="Times New Roman" w:cstheme="minorHAnsi"/>
          <w:lang w:eastAsia="en-GB"/>
        </w:rPr>
      </w:pPr>
      <w:r>
        <w:t>T</w:t>
      </w:r>
      <w:r w:rsidR="003D0108">
        <w:t xml:space="preserve">he </w:t>
      </w:r>
      <w:r w:rsidR="00B4005A" w:rsidRPr="00A80C40">
        <w:t>SEPA</w:t>
      </w:r>
      <w:r w:rsidR="003D0108" w:rsidRPr="00A80C40">
        <w:t xml:space="preserve"> Corporate Plan 2024-27</w:t>
      </w:r>
      <w:r w:rsidR="003D0108">
        <w:t xml:space="preserve"> </w:t>
      </w:r>
      <w:r>
        <w:t>identifies the</w:t>
      </w:r>
      <w:r w:rsidR="00D305E8">
        <w:t xml:space="preserve"> contribution </w:t>
      </w:r>
      <w:r>
        <w:t xml:space="preserve">SEPA will make </w:t>
      </w:r>
      <w:r w:rsidR="000A3E94">
        <w:t xml:space="preserve">in restoring nature and ending Scotland’s </w:t>
      </w:r>
      <w:r w:rsidR="00B47B9D">
        <w:t xml:space="preserve">contribution to climate change </w:t>
      </w:r>
      <w:r w:rsidR="000A3E94">
        <w:t>ensuring</w:t>
      </w:r>
      <w:r w:rsidR="00A02008">
        <w:t xml:space="preserve"> our country is transformed for the better</w:t>
      </w:r>
      <w:r w:rsidR="007D4B5D">
        <w:t xml:space="preserve">, securing the well-being of </w:t>
      </w:r>
      <w:r w:rsidR="00B47B9D">
        <w:t>our people and</w:t>
      </w:r>
      <w:r w:rsidR="003D4666">
        <w:t xml:space="preserve"> the</w:t>
      </w:r>
      <w:r w:rsidR="00B47B9D">
        <w:t xml:space="preserve"> planet</w:t>
      </w:r>
      <w:r w:rsidR="003D0108">
        <w:t xml:space="preserve">. </w:t>
      </w:r>
      <w:r w:rsidR="00AE5352">
        <w:t xml:space="preserve">The work undertaken by SEPA does not sit in isolation and is integrated with the </w:t>
      </w:r>
      <w:hyperlink r:id="rId14" w:history="1">
        <w:r w:rsidR="00AE5352" w:rsidRPr="005201A7">
          <w:rPr>
            <w:rStyle w:val="Hyperlink"/>
          </w:rPr>
          <w:t>United Nations Sust</w:t>
        </w:r>
        <w:r w:rsidR="00C4725A" w:rsidRPr="005201A7">
          <w:rPr>
            <w:rStyle w:val="Hyperlink"/>
          </w:rPr>
          <w:t>ainable Development Goals</w:t>
        </w:r>
      </w:hyperlink>
      <w:r w:rsidR="00C4725A">
        <w:t xml:space="preserve"> and the </w:t>
      </w:r>
      <w:hyperlink r:id="rId15" w:history="1">
        <w:r w:rsidR="00C4725A" w:rsidRPr="005201A7">
          <w:rPr>
            <w:rStyle w:val="Hyperlink"/>
          </w:rPr>
          <w:t>National Performance Framework for Scotland</w:t>
        </w:r>
      </w:hyperlink>
      <w:r w:rsidR="00C4725A">
        <w:t>.</w:t>
      </w:r>
    </w:p>
    <w:p w14:paraId="02257B46" w14:textId="77777777" w:rsidR="00B611C7" w:rsidRDefault="00B611C7" w:rsidP="00BC4E7D"/>
    <w:p w14:paraId="4FFA7D60" w14:textId="43F08226" w:rsidR="00101516" w:rsidRPr="00083071" w:rsidRDefault="00FC5216" w:rsidP="00BC4E7D">
      <w:pPr>
        <w:rPr>
          <w:rFonts w:eastAsia="Times New Roman" w:cstheme="minorHAnsi"/>
          <w:lang w:eastAsia="en-GB"/>
        </w:rPr>
      </w:pPr>
      <w:r>
        <w:t>SEPA’s</w:t>
      </w:r>
      <w:r w:rsidR="00045B76">
        <w:t xml:space="preserve"> Corporate</w:t>
      </w:r>
      <w:r>
        <w:t xml:space="preserve"> </w:t>
      </w:r>
      <w:r w:rsidR="005D02ED">
        <w:t>P</w:t>
      </w:r>
      <w:r w:rsidR="003D0108">
        <w:t xml:space="preserve">rocurement </w:t>
      </w:r>
      <w:r w:rsidR="005D02ED">
        <w:t>S</w:t>
      </w:r>
      <w:r w:rsidR="003D0108">
        <w:t>trategy</w:t>
      </w:r>
      <w:r>
        <w:t xml:space="preserve"> will continue to</w:t>
      </w:r>
      <w:r w:rsidR="003D0108">
        <w:t xml:space="preserve"> evolv</w:t>
      </w:r>
      <w:r>
        <w:t>e</w:t>
      </w:r>
      <w:r w:rsidR="003D0108">
        <w:t xml:space="preserve"> to reflect developments</w:t>
      </w:r>
      <w:r>
        <w:t xml:space="preserve"> and change at both corporate and </w:t>
      </w:r>
      <w:r w:rsidR="00545C8A">
        <w:t>government levels to</w:t>
      </w:r>
      <w:r w:rsidR="003D0108">
        <w:t xml:space="preserve"> ensure compliance with national policies, legislation, tools and guidance including: </w:t>
      </w:r>
    </w:p>
    <w:p w14:paraId="7F90651E" w14:textId="77777777" w:rsidR="00101516" w:rsidRDefault="00101516" w:rsidP="00BC4E7D">
      <w:pPr>
        <w:tabs>
          <w:tab w:val="left" w:pos="720"/>
          <w:tab w:val="left" w:pos="1440"/>
          <w:tab w:val="left" w:pos="2160"/>
          <w:tab w:val="left" w:pos="2880"/>
          <w:tab w:val="left" w:pos="4680"/>
          <w:tab w:val="left" w:pos="5400"/>
          <w:tab w:val="right" w:pos="9000"/>
        </w:tabs>
        <w:spacing w:line="240" w:lineRule="atLeast"/>
        <w:ind w:left="360"/>
      </w:pPr>
    </w:p>
    <w:p w14:paraId="61BAD8EF" w14:textId="26E6323A" w:rsidR="001970B5" w:rsidRDefault="00FD68DB"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pPr>
      <w:hyperlink r:id="rId16" w:history="1">
        <w:r w:rsidRPr="00FD68DB">
          <w:rPr>
            <w:rStyle w:val="Hyperlink"/>
          </w:rPr>
          <w:t xml:space="preserve">Public </w:t>
        </w:r>
        <w:r w:rsidR="002C3627">
          <w:rPr>
            <w:rStyle w:val="Hyperlink"/>
          </w:rPr>
          <w:t>P</w:t>
        </w:r>
        <w:r w:rsidRPr="00FD68DB">
          <w:rPr>
            <w:rStyle w:val="Hyperlink"/>
          </w:rPr>
          <w:t xml:space="preserve">rocurement </w:t>
        </w:r>
        <w:r w:rsidR="002C3627">
          <w:rPr>
            <w:rStyle w:val="Hyperlink"/>
          </w:rPr>
          <w:t>S</w:t>
        </w:r>
        <w:r w:rsidRPr="00FD68DB">
          <w:rPr>
            <w:rStyle w:val="Hyperlink"/>
          </w:rPr>
          <w:t>trategy: 2023 to 2028</w:t>
        </w:r>
      </w:hyperlink>
    </w:p>
    <w:p w14:paraId="1DBA7719" w14:textId="3445F3CB" w:rsidR="006C1528" w:rsidRDefault="003D0108"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pPr>
      <w:hyperlink r:id="rId17" w:history="1">
        <w:r w:rsidRPr="00CE34E9">
          <w:rPr>
            <w:rStyle w:val="Hyperlink"/>
          </w:rPr>
          <w:t>Procurement Reform (Scotland) Act 2014</w:t>
        </w:r>
      </w:hyperlink>
      <w:r>
        <w:t xml:space="preserve"> </w:t>
      </w:r>
    </w:p>
    <w:p w14:paraId="3C90801A" w14:textId="13D4D71E" w:rsidR="00F846D6" w:rsidRPr="00A20F12" w:rsidRDefault="00A20F12"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rPr>
          <w:rStyle w:val="Hyperlink"/>
        </w:rPr>
      </w:pPr>
      <w:r>
        <w:fldChar w:fldCharType="begin"/>
      </w:r>
      <w:r>
        <w:instrText>HYPERLINK "https://www.legislation.gov.uk/sdsi/2016/9780111030868"</w:instrText>
      </w:r>
      <w:r>
        <w:fldChar w:fldCharType="separate"/>
      </w:r>
      <w:r w:rsidR="003D0108" w:rsidRPr="00A20F12">
        <w:rPr>
          <w:rStyle w:val="Hyperlink"/>
        </w:rPr>
        <w:t xml:space="preserve">Procurement (Scotland) Regulations </w:t>
      </w:r>
      <w:proofErr w:type="gramStart"/>
      <w:r w:rsidR="003D0108" w:rsidRPr="00A20F12">
        <w:rPr>
          <w:rStyle w:val="Hyperlink"/>
        </w:rPr>
        <w:t>2016;</w:t>
      </w:r>
      <w:proofErr w:type="gramEnd"/>
      <w:r w:rsidR="003D0108" w:rsidRPr="00A20F12">
        <w:rPr>
          <w:rStyle w:val="Hyperlink"/>
        </w:rPr>
        <w:t xml:space="preserve"> </w:t>
      </w:r>
    </w:p>
    <w:p w14:paraId="5A99CF3E" w14:textId="378965FD" w:rsidR="00F846D6" w:rsidRDefault="00A20F12"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pPr>
      <w:r>
        <w:fldChar w:fldCharType="end"/>
      </w:r>
      <w:hyperlink r:id="rId18" w:history="1">
        <w:r w:rsidR="003D0108" w:rsidRPr="00E9025F">
          <w:rPr>
            <w:rStyle w:val="Hyperlink"/>
          </w:rPr>
          <w:t>Public Contracts (Scotland) Regulations 2015;</w:t>
        </w:r>
      </w:hyperlink>
      <w:r w:rsidR="003D0108">
        <w:t xml:space="preserve"> </w:t>
      </w:r>
    </w:p>
    <w:p w14:paraId="33032F2A" w14:textId="4D968FA6" w:rsidR="00F846D6" w:rsidRDefault="00F846D6"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pPr>
      <w:hyperlink r:id="rId19" w:history="1">
        <w:r w:rsidRPr="00ED64EB">
          <w:rPr>
            <w:rStyle w:val="Hyperlink"/>
          </w:rPr>
          <w:t>C</w:t>
        </w:r>
        <w:r w:rsidR="003D0108" w:rsidRPr="00ED64EB">
          <w:rPr>
            <w:rStyle w:val="Hyperlink"/>
          </w:rPr>
          <w:t>oncessions Contracts (Scotland) Regulations 2016;</w:t>
        </w:r>
      </w:hyperlink>
      <w:r w:rsidR="003D0108">
        <w:t xml:space="preserve"> </w:t>
      </w:r>
    </w:p>
    <w:p w14:paraId="5E656C45" w14:textId="4BD89A77" w:rsidR="00F846D6" w:rsidRDefault="003D0108" w:rsidP="00BC4E7D">
      <w:pPr>
        <w:pStyle w:val="ListParagraph"/>
        <w:numPr>
          <w:ilvl w:val="1"/>
          <w:numId w:val="5"/>
        </w:numPr>
        <w:tabs>
          <w:tab w:val="left" w:pos="720"/>
          <w:tab w:val="left" w:pos="1440"/>
          <w:tab w:val="left" w:pos="2160"/>
          <w:tab w:val="left" w:pos="2880"/>
          <w:tab w:val="left" w:pos="4680"/>
          <w:tab w:val="left" w:pos="5400"/>
          <w:tab w:val="right" w:pos="9000"/>
        </w:tabs>
        <w:ind w:left="1077" w:hanging="357"/>
      </w:pPr>
      <w:hyperlink r:id="rId20" w:history="1">
        <w:r w:rsidRPr="002731A0">
          <w:rPr>
            <w:rStyle w:val="Hyperlink"/>
          </w:rPr>
          <w:t>The Equality Act (2010) and associated Regulations</w:t>
        </w:r>
      </w:hyperlink>
      <w:r>
        <w:t xml:space="preserve"> </w:t>
      </w:r>
    </w:p>
    <w:p w14:paraId="69C8CDD5" w14:textId="777FF560" w:rsidR="00FC5594" w:rsidRDefault="003D0108" w:rsidP="00D12521">
      <w:pPr>
        <w:pStyle w:val="ListParagraph"/>
        <w:numPr>
          <w:ilvl w:val="1"/>
          <w:numId w:val="5"/>
        </w:numPr>
        <w:tabs>
          <w:tab w:val="left" w:pos="720"/>
          <w:tab w:val="left" w:pos="1440"/>
          <w:tab w:val="left" w:pos="2160"/>
          <w:tab w:val="left" w:pos="2880"/>
          <w:tab w:val="left" w:pos="4680"/>
          <w:tab w:val="left" w:pos="5400"/>
          <w:tab w:val="right" w:pos="9000"/>
        </w:tabs>
        <w:ind w:left="1077" w:hanging="357"/>
      </w:pPr>
      <w:hyperlink r:id="rId21" w:history="1">
        <w:r w:rsidRPr="00E512B7">
          <w:rPr>
            <w:rStyle w:val="Hyperlink"/>
          </w:rPr>
          <w:t>Scottish Procurement Policy Notes;</w:t>
        </w:r>
      </w:hyperlink>
      <w:r>
        <w:t xml:space="preserve"> </w:t>
      </w:r>
    </w:p>
    <w:p w14:paraId="1B8AADB2" w14:textId="712DA5A7" w:rsidR="00F846D6" w:rsidRDefault="003D0108" w:rsidP="00D12521">
      <w:pPr>
        <w:pStyle w:val="ListParagraph"/>
        <w:numPr>
          <w:ilvl w:val="1"/>
          <w:numId w:val="5"/>
        </w:numPr>
        <w:tabs>
          <w:tab w:val="left" w:pos="720"/>
          <w:tab w:val="left" w:pos="1440"/>
          <w:tab w:val="left" w:pos="2160"/>
          <w:tab w:val="left" w:pos="2880"/>
          <w:tab w:val="left" w:pos="4680"/>
          <w:tab w:val="left" w:pos="5400"/>
          <w:tab w:val="right" w:pos="9000"/>
        </w:tabs>
        <w:ind w:left="1077" w:hanging="357"/>
      </w:pPr>
      <w:r>
        <w:lastRenderedPageBreak/>
        <w:t xml:space="preserve">The Public Procurement Strategy for Scotland </w:t>
      </w:r>
      <w:hyperlink r:id="rId22" w:history="1">
        <w:r w:rsidRPr="0080798F">
          <w:rPr>
            <w:rStyle w:val="Hyperlink"/>
          </w:rPr>
          <w:t>Procurement Commercial Improvement Programme (PCIP)</w:t>
        </w:r>
      </w:hyperlink>
      <w:r>
        <w:t xml:space="preserve"> </w:t>
      </w:r>
    </w:p>
    <w:p w14:paraId="7A892434" w14:textId="28126B51" w:rsidR="00FC5594" w:rsidRDefault="003D0108" w:rsidP="00D12521">
      <w:pPr>
        <w:pStyle w:val="ListParagraph"/>
        <w:numPr>
          <w:ilvl w:val="1"/>
          <w:numId w:val="5"/>
        </w:numPr>
        <w:tabs>
          <w:tab w:val="left" w:pos="720"/>
          <w:tab w:val="left" w:pos="1440"/>
          <w:tab w:val="left" w:pos="2160"/>
          <w:tab w:val="left" w:pos="2880"/>
          <w:tab w:val="left" w:pos="4680"/>
          <w:tab w:val="left" w:pos="5400"/>
          <w:tab w:val="right" w:pos="9000"/>
        </w:tabs>
        <w:ind w:left="1080"/>
      </w:pPr>
      <w:hyperlink r:id="rId23" w:history="1">
        <w:r w:rsidRPr="00316F34">
          <w:rPr>
            <w:rStyle w:val="Hyperlink"/>
          </w:rPr>
          <w:t>The Scottish Public Finance Manual</w:t>
        </w:r>
      </w:hyperlink>
      <w:r>
        <w:t xml:space="preserve"> </w:t>
      </w:r>
    </w:p>
    <w:p w14:paraId="7FA064D8" w14:textId="7A99254B" w:rsidR="00FC5594" w:rsidRDefault="003D0108" w:rsidP="00D12521">
      <w:pPr>
        <w:pStyle w:val="ListParagraph"/>
        <w:numPr>
          <w:ilvl w:val="1"/>
          <w:numId w:val="5"/>
        </w:numPr>
        <w:tabs>
          <w:tab w:val="left" w:pos="720"/>
          <w:tab w:val="left" w:pos="1440"/>
          <w:tab w:val="left" w:pos="2160"/>
          <w:tab w:val="left" w:pos="2880"/>
          <w:tab w:val="left" w:pos="4680"/>
          <w:tab w:val="left" w:pos="5400"/>
          <w:tab w:val="right" w:pos="9000"/>
        </w:tabs>
        <w:ind w:left="1080"/>
      </w:pPr>
      <w:hyperlink r:id="rId24" w:history="1">
        <w:r w:rsidRPr="00242695">
          <w:rPr>
            <w:rStyle w:val="Hyperlink"/>
          </w:rPr>
          <w:t>The Construction Procurement Handbook</w:t>
        </w:r>
      </w:hyperlink>
      <w:r>
        <w:t xml:space="preserve"> </w:t>
      </w:r>
    </w:p>
    <w:p w14:paraId="673F1816" w14:textId="6388C9C2" w:rsidR="00FC5594" w:rsidRDefault="003D0108" w:rsidP="00D12521">
      <w:pPr>
        <w:pStyle w:val="ListParagraph"/>
        <w:numPr>
          <w:ilvl w:val="1"/>
          <w:numId w:val="5"/>
        </w:numPr>
        <w:tabs>
          <w:tab w:val="left" w:pos="720"/>
          <w:tab w:val="left" w:pos="1440"/>
          <w:tab w:val="left" w:pos="2160"/>
          <w:tab w:val="left" w:pos="2880"/>
          <w:tab w:val="left" w:pos="4680"/>
          <w:tab w:val="left" w:pos="5400"/>
          <w:tab w:val="right" w:pos="9000"/>
        </w:tabs>
        <w:ind w:left="1080"/>
      </w:pPr>
      <w:hyperlink r:id="rId25" w:history="1">
        <w:r w:rsidRPr="00864DDA">
          <w:rPr>
            <w:rStyle w:val="Hyperlink"/>
          </w:rPr>
          <w:t>The Sustainable Procurement Duty tools developed by Scottish Government</w:t>
        </w:r>
      </w:hyperlink>
      <w:r>
        <w:t xml:space="preserve"> </w:t>
      </w:r>
    </w:p>
    <w:p w14:paraId="5CB27A69" w14:textId="6BD41656" w:rsidR="00FC5594" w:rsidRDefault="00B4005A" w:rsidP="00D12521">
      <w:pPr>
        <w:pStyle w:val="ListParagraph"/>
        <w:numPr>
          <w:ilvl w:val="1"/>
          <w:numId w:val="5"/>
        </w:numPr>
        <w:tabs>
          <w:tab w:val="left" w:pos="720"/>
          <w:tab w:val="left" w:pos="1440"/>
          <w:tab w:val="left" w:pos="2160"/>
          <w:tab w:val="left" w:pos="2880"/>
          <w:tab w:val="left" w:pos="4680"/>
          <w:tab w:val="left" w:pos="5400"/>
          <w:tab w:val="right" w:pos="9000"/>
        </w:tabs>
        <w:ind w:left="1080"/>
      </w:pPr>
      <w:r>
        <w:t>SEPA</w:t>
      </w:r>
      <w:r w:rsidR="003D0108">
        <w:t xml:space="preserve">’s Procurement Policy </w:t>
      </w:r>
    </w:p>
    <w:p w14:paraId="48281AB7" w14:textId="77777777" w:rsidR="00FC5594" w:rsidRDefault="00FC5594" w:rsidP="00CF111F">
      <w:pPr>
        <w:tabs>
          <w:tab w:val="left" w:pos="720"/>
          <w:tab w:val="left" w:pos="1440"/>
          <w:tab w:val="left" w:pos="2160"/>
          <w:tab w:val="left" w:pos="2880"/>
          <w:tab w:val="left" w:pos="4680"/>
          <w:tab w:val="left" w:pos="5400"/>
          <w:tab w:val="right" w:pos="9000"/>
        </w:tabs>
        <w:ind w:left="357"/>
      </w:pPr>
    </w:p>
    <w:p w14:paraId="139975E0" w14:textId="780C6C0A" w:rsidR="0017373B" w:rsidRDefault="00B4005A" w:rsidP="0017373B">
      <w:r>
        <w:t>SEPA</w:t>
      </w:r>
      <w:r w:rsidR="003D0108">
        <w:t xml:space="preserve"> Procurement follows the “Scottish Model of Procurement” </w:t>
      </w:r>
      <w:r w:rsidR="0062539C">
        <w:t>(</w:t>
      </w:r>
      <w:r w:rsidR="00990A0E">
        <w:t xml:space="preserve">see </w:t>
      </w:r>
      <w:r w:rsidR="0062539C">
        <w:t xml:space="preserve">Annex A) </w:t>
      </w:r>
      <w:r w:rsidR="003D0108">
        <w:t xml:space="preserve">using the </w:t>
      </w:r>
      <w:hyperlink r:id="rId26" w:history="1">
        <w:r w:rsidR="003D0108" w:rsidRPr="00D52F95">
          <w:rPr>
            <w:rStyle w:val="Hyperlink"/>
          </w:rPr>
          <w:t>Scottish Government’s Procurement Journey</w:t>
        </w:r>
      </w:hyperlink>
      <w:r w:rsidR="003D0108">
        <w:t xml:space="preserve"> as the basis for our policy and procedures</w:t>
      </w:r>
      <w:r w:rsidR="0017373B">
        <w:t xml:space="preserve"> and this document sets out how we plan to carry out our procurements over the term providing focus for the procurement function. </w:t>
      </w:r>
    </w:p>
    <w:p w14:paraId="1A0E81B6" w14:textId="77777777" w:rsidR="004B733A" w:rsidRPr="00451ED3" w:rsidRDefault="004B733A" w:rsidP="00451ED3">
      <w:pPr>
        <w:tabs>
          <w:tab w:val="left" w:pos="720"/>
          <w:tab w:val="left" w:pos="1440"/>
          <w:tab w:val="left" w:pos="2160"/>
          <w:tab w:val="left" w:pos="2880"/>
          <w:tab w:val="left" w:pos="4680"/>
          <w:tab w:val="left" w:pos="5400"/>
          <w:tab w:val="right" w:pos="9000"/>
        </w:tabs>
      </w:pPr>
      <w:bookmarkStart w:id="23" w:name="_Toc156332784"/>
      <w:bookmarkStart w:id="24" w:name="_Toc156332786"/>
    </w:p>
    <w:p w14:paraId="3660B54C" w14:textId="67E34CCC" w:rsidR="001B6E8F" w:rsidRPr="00E96B74" w:rsidRDefault="001B6E8F" w:rsidP="001B6E8F">
      <w:pPr>
        <w:pStyle w:val="Heading1"/>
        <w:numPr>
          <w:ilvl w:val="0"/>
          <w:numId w:val="3"/>
        </w:numPr>
        <w:ind w:left="709" w:hanging="709"/>
        <w:rPr>
          <w:rFonts w:eastAsia="Times New Roman"/>
        </w:rPr>
      </w:pPr>
      <w:bookmarkStart w:id="25" w:name="_Toc167875517"/>
      <w:r w:rsidRPr="00FA7BFB">
        <w:rPr>
          <w:rFonts w:eastAsia="Times New Roman"/>
        </w:rPr>
        <w:t>Procurement</w:t>
      </w:r>
      <w:r w:rsidR="008B4139">
        <w:rPr>
          <w:rFonts w:eastAsia="Times New Roman"/>
        </w:rPr>
        <w:t>’s Role in our</w:t>
      </w:r>
      <w:r w:rsidRPr="00FA7BFB">
        <w:rPr>
          <w:rFonts w:eastAsia="Times New Roman"/>
        </w:rPr>
        <w:t xml:space="preserve"> </w:t>
      </w:r>
      <w:r>
        <w:rPr>
          <w:rFonts w:eastAsia="Times New Roman"/>
        </w:rPr>
        <w:t>m</w:t>
      </w:r>
      <w:r w:rsidRPr="00FA7BFB">
        <w:rPr>
          <w:rFonts w:eastAsia="Times New Roman"/>
        </w:rPr>
        <w:t>ission</w:t>
      </w:r>
      <w:r w:rsidR="00947BD0">
        <w:rPr>
          <w:rFonts w:eastAsia="Times New Roman"/>
        </w:rPr>
        <w:t xml:space="preserve"> and</w:t>
      </w:r>
      <w:r w:rsidRPr="00FA7BFB">
        <w:rPr>
          <w:rFonts w:eastAsia="Times New Roman"/>
        </w:rPr>
        <w:t xml:space="preserve"> </w:t>
      </w:r>
      <w:r>
        <w:rPr>
          <w:rFonts w:eastAsia="Times New Roman"/>
        </w:rPr>
        <w:t>v</w:t>
      </w:r>
      <w:r w:rsidRPr="00FA7BFB">
        <w:rPr>
          <w:rFonts w:eastAsia="Times New Roman"/>
        </w:rPr>
        <w:t>ision</w:t>
      </w:r>
      <w:bookmarkEnd w:id="25"/>
      <w:r w:rsidRPr="00FA7BFB">
        <w:rPr>
          <w:rFonts w:eastAsia="Times New Roman"/>
        </w:rPr>
        <w:t xml:space="preserve"> </w:t>
      </w:r>
      <w:bookmarkEnd w:id="23"/>
    </w:p>
    <w:p w14:paraId="3717E80C" w14:textId="23C2A0C9" w:rsidR="001B6E8F" w:rsidRPr="00E96B74" w:rsidRDefault="008B4139" w:rsidP="00B62289">
      <w:pPr>
        <w:pStyle w:val="Heading3"/>
        <w:numPr>
          <w:ilvl w:val="1"/>
          <w:numId w:val="3"/>
        </w:numPr>
      </w:pPr>
      <w:r>
        <w:t>Delivery of our p</w:t>
      </w:r>
      <w:r w:rsidR="001B6E8F" w:rsidRPr="00E96B74">
        <w:t xml:space="preserve">rocurement </w:t>
      </w:r>
      <w:r w:rsidR="001B6E8F">
        <w:t>m</w:t>
      </w:r>
      <w:r w:rsidR="001B6E8F" w:rsidRPr="00E96B74">
        <w:t>ission</w:t>
      </w:r>
    </w:p>
    <w:p w14:paraId="6B165F37" w14:textId="7B7ED449" w:rsidR="001B6E8F" w:rsidRPr="00362976" w:rsidRDefault="00776353" w:rsidP="00B6588B">
      <w:r>
        <w:rPr>
          <w:rFonts w:eastAsia="Times New Roman" w:cstheme="minorHAnsi"/>
          <w:lang w:eastAsia="en-GB"/>
        </w:rPr>
        <w:t>T</w:t>
      </w:r>
      <w:r w:rsidR="001B6E8F" w:rsidRPr="00362976">
        <w:t xml:space="preserve">he team is committed to delivering a best practice </w:t>
      </w:r>
      <w:r w:rsidR="00BE6D42">
        <w:t xml:space="preserve">and enabling </w:t>
      </w:r>
      <w:r w:rsidR="001B6E8F" w:rsidRPr="00362976">
        <w:t>procurement service</w:t>
      </w:r>
      <w:r w:rsidR="001B6E8F">
        <w:t xml:space="preserve"> </w:t>
      </w:r>
      <w:r w:rsidR="001B6E8F" w:rsidRPr="00362976">
        <w:t xml:space="preserve">supporting </w:t>
      </w:r>
      <w:r w:rsidR="001B6E8F">
        <w:t>SEPA</w:t>
      </w:r>
      <w:r w:rsidR="001B6E8F" w:rsidRPr="00362976">
        <w:t xml:space="preserve"> to do great work for Scotland’s environment. </w:t>
      </w:r>
      <w:r w:rsidR="00B6588B">
        <w:t>O</w:t>
      </w:r>
      <w:r w:rsidR="001B6E8F" w:rsidRPr="00362976">
        <w:t xml:space="preserve">ur mission is aligned to our ambitious </w:t>
      </w:r>
      <w:r w:rsidR="00343959">
        <w:t xml:space="preserve">transformative </w:t>
      </w:r>
      <w:r w:rsidR="008205A0">
        <w:t>change</w:t>
      </w:r>
      <w:r w:rsidR="001B6E8F" w:rsidRPr="00362976">
        <w:t xml:space="preserve"> programme – </w:t>
      </w:r>
      <w:r w:rsidR="001B6E8F" w:rsidRPr="000F1414">
        <w:t>One SEPA Modernisation</w:t>
      </w:r>
      <w:r w:rsidR="001B6E8F" w:rsidRPr="00362976">
        <w:t xml:space="preserve"> </w:t>
      </w:r>
      <w:r w:rsidR="00A77543">
        <w:t>where p</w:t>
      </w:r>
      <w:r w:rsidR="001B6E8F" w:rsidRPr="00362976">
        <w:t xml:space="preserve">eople are viewed as our most important asset and our delivery depends wholly on the dedication and commitment of our team. </w:t>
      </w:r>
    </w:p>
    <w:p w14:paraId="544FC441" w14:textId="77777777" w:rsidR="001B6E8F" w:rsidRDefault="001B6E8F" w:rsidP="001B6E8F">
      <w:pPr>
        <w:spacing w:line="240" w:lineRule="auto"/>
        <w:jc w:val="both"/>
        <w:rPr>
          <w:i/>
          <w:iCs/>
        </w:rPr>
      </w:pPr>
    </w:p>
    <w:p w14:paraId="1328D472" w14:textId="77777777" w:rsidR="001B6E8F" w:rsidRPr="00851410" w:rsidRDefault="001B6E8F" w:rsidP="00B62289">
      <w:pPr>
        <w:pStyle w:val="Heading3"/>
        <w:numPr>
          <w:ilvl w:val="1"/>
          <w:numId w:val="3"/>
        </w:numPr>
      </w:pPr>
      <w:r w:rsidRPr="00E96B74">
        <w:t xml:space="preserve">Procurement </w:t>
      </w:r>
      <w:r>
        <w:t>v</w:t>
      </w:r>
      <w:r w:rsidRPr="00E96B74">
        <w:t xml:space="preserve">ision </w:t>
      </w:r>
      <w:r>
        <w:t>s</w:t>
      </w:r>
      <w:r w:rsidRPr="00E96B74">
        <w:t>tatement</w:t>
      </w:r>
    </w:p>
    <w:p w14:paraId="206AE34C" w14:textId="77777777" w:rsidR="001B6E8F" w:rsidRPr="00F3488F" w:rsidRDefault="001B6E8F" w:rsidP="001B6E8F">
      <w:pPr>
        <w:shd w:val="clear" w:color="auto" w:fill="FFFFFF"/>
        <w:spacing w:line="240" w:lineRule="auto"/>
        <w:jc w:val="both"/>
      </w:pPr>
      <w:r w:rsidRPr="00F3488F">
        <w:t xml:space="preserve">Our vision can be summarised </w:t>
      </w:r>
      <w:r>
        <w:t>in the following statement</w:t>
      </w:r>
      <w:r w:rsidRPr="00F3488F">
        <w:t>:</w:t>
      </w:r>
    </w:p>
    <w:p w14:paraId="3F9E91D5" w14:textId="77777777" w:rsidR="001B6E8F" w:rsidRDefault="001B6E8F" w:rsidP="001B6E8F">
      <w:pPr>
        <w:spacing w:line="240" w:lineRule="auto"/>
        <w:jc w:val="both"/>
        <w:rPr>
          <w:b/>
          <w:bCs/>
          <w:i/>
          <w:iCs/>
        </w:rPr>
      </w:pPr>
    </w:p>
    <w:p w14:paraId="414D6D33" w14:textId="4017A3C3" w:rsidR="001B6E8F" w:rsidRPr="00EF4AAF" w:rsidRDefault="001B6E8F" w:rsidP="001B6E8F">
      <w:pPr>
        <w:spacing w:line="240" w:lineRule="auto"/>
        <w:jc w:val="both"/>
        <w:rPr>
          <w:i/>
          <w:iCs/>
        </w:rPr>
      </w:pPr>
      <w:r w:rsidRPr="00EF4AAF">
        <w:rPr>
          <w:i/>
          <w:iCs/>
        </w:rPr>
        <w:t>“To be recogni</w:t>
      </w:r>
      <w:r w:rsidR="002C1E51">
        <w:rPr>
          <w:i/>
          <w:iCs/>
        </w:rPr>
        <w:t>s</w:t>
      </w:r>
      <w:r w:rsidRPr="00EF4AAF">
        <w:rPr>
          <w:i/>
          <w:iCs/>
        </w:rPr>
        <w:t xml:space="preserve">ed and engaged as a trusted delivery partner, putting procurement at the heart of the </w:t>
      </w:r>
      <w:r w:rsidRPr="0018424E">
        <w:rPr>
          <w:i/>
          <w:iCs/>
        </w:rPr>
        <w:t>SEPA Corporate Plan</w:t>
      </w:r>
      <w:r w:rsidRPr="00EF4AAF">
        <w:rPr>
          <w:i/>
          <w:iCs/>
        </w:rPr>
        <w:t xml:space="preserve">”. </w:t>
      </w:r>
    </w:p>
    <w:p w14:paraId="3C50DC2B" w14:textId="77777777" w:rsidR="001B6E8F" w:rsidRPr="00BF1A1C" w:rsidRDefault="001B6E8F" w:rsidP="00BF1A1C">
      <w:pPr>
        <w:tabs>
          <w:tab w:val="left" w:pos="720"/>
          <w:tab w:val="left" w:pos="1440"/>
          <w:tab w:val="left" w:pos="2160"/>
          <w:tab w:val="left" w:pos="2880"/>
          <w:tab w:val="left" w:pos="4680"/>
          <w:tab w:val="left" w:pos="5400"/>
          <w:tab w:val="right" w:pos="9000"/>
        </w:tabs>
      </w:pPr>
    </w:p>
    <w:p w14:paraId="12EF22A6" w14:textId="6236B5F6" w:rsidR="00E37095" w:rsidRPr="00BF33A2" w:rsidRDefault="00E37095" w:rsidP="001F00CB">
      <w:pPr>
        <w:pStyle w:val="Heading1"/>
        <w:numPr>
          <w:ilvl w:val="0"/>
          <w:numId w:val="3"/>
        </w:numPr>
        <w:ind w:left="709" w:hanging="709"/>
        <w:rPr>
          <w:rFonts w:eastAsia="Times New Roman"/>
        </w:rPr>
      </w:pPr>
      <w:bookmarkStart w:id="26" w:name="_Toc167875518"/>
      <w:r>
        <w:rPr>
          <w:rFonts w:eastAsia="Times New Roman"/>
        </w:rPr>
        <w:t xml:space="preserve">Strategic </w:t>
      </w:r>
      <w:r w:rsidR="00BF1A1C">
        <w:rPr>
          <w:rFonts w:eastAsia="Times New Roman"/>
        </w:rPr>
        <w:t>a</w:t>
      </w:r>
      <w:r>
        <w:rPr>
          <w:rFonts w:eastAsia="Times New Roman"/>
        </w:rPr>
        <w:t>ims</w:t>
      </w:r>
      <w:r w:rsidR="00E45453">
        <w:rPr>
          <w:rFonts w:eastAsia="Times New Roman"/>
        </w:rPr>
        <w:t xml:space="preserve"> and</w:t>
      </w:r>
      <w:r>
        <w:rPr>
          <w:rFonts w:eastAsia="Times New Roman"/>
        </w:rPr>
        <w:t xml:space="preserve"> </w:t>
      </w:r>
      <w:r w:rsidR="00BF1A1C">
        <w:rPr>
          <w:rFonts w:eastAsia="Times New Roman"/>
        </w:rPr>
        <w:t>o</w:t>
      </w:r>
      <w:r>
        <w:rPr>
          <w:rFonts w:eastAsia="Times New Roman"/>
        </w:rPr>
        <w:t>bjective</w:t>
      </w:r>
      <w:r w:rsidR="00E45453">
        <w:rPr>
          <w:rFonts w:eastAsia="Times New Roman"/>
        </w:rPr>
        <w:t>s</w:t>
      </w:r>
      <w:bookmarkEnd w:id="26"/>
      <w:r>
        <w:rPr>
          <w:rFonts w:eastAsia="Times New Roman"/>
        </w:rPr>
        <w:t xml:space="preserve"> </w:t>
      </w:r>
      <w:bookmarkEnd w:id="24"/>
    </w:p>
    <w:p w14:paraId="2405E6D0" w14:textId="70066A78" w:rsidR="00C14EFC" w:rsidRPr="00611F9A" w:rsidRDefault="00A30BA7" w:rsidP="00A65977">
      <w:pPr>
        <w:tabs>
          <w:tab w:val="left" w:pos="720"/>
          <w:tab w:val="left" w:pos="1440"/>
          <w:tab w:val="left" w:pos="2160"/>
          <w:tab w:val="left" w:pos="2880"/>
          <w:tab w:val="left" w:pos="4680"/>
          <w:tab w:val="left" w:pos="5400"/>
          <w:tab w:val="right" w:pos="9000"/>
        </w:tabs>
      </w:pPr>
      <w:r w:rsidRPr="00611F9A">
        <w:t xml:space="preserve">The strategic </w:t>
      </w:r>
      <w:r w:rsidR="008E4E9C">
        <w:t xml:space="preserve">intent </w:t>
      </w:r>
      <w:r w:rsidRPr="00611F9A">
        <w:t xml:space="preserve">of the </w:t>
      </w:r>
      <w:r w:rsidR="00BF1A1C">
        <w:t>p</w:t>
      </w:r>
      <w:r w:rsidR="009C3880" w:rsidRPr="00611F9A">
        <w:t>rocurement function</w:t>
      </w:r>
      <w:r w:rsidR="008E4E9C">
        <w:t xml:space="preserve"> is</w:t>
      </w:r>
      <w:r w:rsidR="009C3880" w:rsidRPr="00611F9A">
        <w:t xml:space="preserve"> to support </w:t>
      </w:r>
      <w:r w:rsidR="00001BE2">
        <w:t>SEPA’s</w:t>
      </w:r>
      <w:r w:rsidR="009C3880" w:rsidRPr="00611F9A">
        <w:t xml:space="preserve"> </w:t>
      </w:r>
      <w:r w:rsidR="000C61FB">
        <w:t xml:space="preserve">wider </w:t>
      </w:r>
      <w:r w:rsidR="000C61FB" w:rsidRPr="001F00CB">
        <w:t>Corporate Plan</w:t>
      </w:r>
      <w:r w:rsidR="000C61FB">
        <w:t xml:space="preserve"> and the </w:t>
      </w:r>
      <w:r w:rsidR="009C3880" w:rsidRPr="00611F9A">
        <w:t xml:space="preserve">delivery of SEPA’s strategic priorities </w:t>
      </w:r>
      <w:r w:rsidR="00DA3126">
        <w:t>via strategic aims</w:t>
      </w:r>
      <w:r w:rsidR="000A6481">
        <w:t xml:space="preserve"> as highlighted in the model below</w:t>
      </w:r>
      <w:r w:rsidR="00004F8D">
        <w:t xml:space="preserve">. </w:t>
      </w:r>
      <w:r w:rsidR="001D3012" w:rsidRPr="00611F9A">
        <w:t xml:space="preserve"> </w:t>
      </w:r>
    </w:p>
    <w:p w14:paraId="1A87F530" w14:textId="77777777" w:rsidR="008B7ADE" w:rsidRDefault="008B7ADE" w:rsidP="008B7ADE">
      <w:pPr>
        <w:pStyle w:val="ListParagraph"/>
        <w:tabs>
          <w:tab w:val="left" w:pos="720"/>
          <w:tab w:val="left" w:pos="1440"/>
          <w:tab w:val="left" w:pos="2160"/>
          <w:tab w:val="left" w:pos="2880"/>
          <w:tab w:val="left" w:pos="4680"/>
          <w:tab w:val="left" w:pos="5400"/>
          <w:tab w:val="right" w:pos="9000"/>
        </w:tabs>
        <w:spacing w:line="240" w:lineRule="atLeast"/>
        <w:ind w:left="1080"/>
        <w:jc w:val="both"/>
      </w:pPr>
    </w:p>
    <w:p w14:paraId="6C32CCD8" w14:textId="70951AE0" w:rsidR="00985712" w:rsidRDefault="005117F9" w:rsidP="0020162F">
      <w:pPr>
        <w:tabs>
          <w:tab w:val="left" w:pos="720"/>
          <w:tab w:val="left" w:pos="1440"/>
          <w:tab w:val="left" w:pos="2160"/>
          <w:tab w:val="left" w:pos="2880"/>
          <w:tab w:val="left" w:pos="4680"/>
          <w:tab w:val="left" w:pos="5400"/>
          <w:tab w:val="right" w:pos="9000"/>
        </w:tabs>
        <w:spacing w:line="240" w:lineRule="atLeast"/>
        <w:jc w:val="center"/>
      </w:pPr>
      <w:r>
        <w:rPr>
          <w:noProof/>
        </w:rPr>
        <w:lastRenderedPageBreak/>
        <mc:AlternateContent>
          <mc:Choice Requires="wps">
            <w:drawing>
              <wp:anchor distT="0" distB="0" distL="114300" distR="114300" simplePos="0" relativeHeight="251658242" behindDoc="0" locked="0" layoutInCell="1" allowOverlap="1" wp14:anchorId="4070DCC5" wp14:editId="5E3306EF">
                <wp:simplePos x="0" y="0"/>
                <wp:positionH relativeFrom="column">
                  <wp:posOffset>2937510</wp:posOffset>
                </wp:positionH>
                <wp:positionV relativeFrom="paragraph">
                  <wp:posOffset>1955165</wp:posOffset>
                </wp:positionV>
                <wp:extent cx="276225" cy="333375"/>
                <wp:effectExtent l="19050" t="19050" r="47625" b="28575"/>
                <wp:wrapNone/>
                <wp:docPr id="1827588391" name="Arrow: 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6225" cy="333375"/>
                        </a:xfrm>
                        <a:prstGeom prst="upArrow">
                          <a:avLst/>
                        </a:prstGeom>
                        <a:solidFill>
                          <a:schemeClr val="bg1"/>
                        </a:solidFill>
                        <a:ln w="12700" cap="flat" cmpd="sng" algn="ctr">
                          <a:solidFill>
                            <a:srgbClr val="01657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A69A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 o:spid="_x0000_s1026" type="#_x0000_t68" alt="&quot;&quot;" style="position:absolute;margin-left:231.3pt;margin-top:153.95pt;width:21.75pt;height:26.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" adj="8949" fillcolor="white [3212]" strokecolor="#00262d" strokeweight="1pt"/>
            </w:pict>
          </mc:Fallback>
        </mc:AlternateContent>
      </w:r>
      <w:r w:rsidR="00B92C86">
        <w:rPr>
          <w:noProof/>
        </w:rPr>
        <w:drawing>
          <wp:inline distT="0" distB="0" distL="0" distR="0" wp14:anchorId="54B25298" wp14:editId="418E8E72">
            <wp:extent cx="5403850" cy="4311650"/>
            <wp:effectExtent l="0" t="19050" r="0" b="12700"/>
            <wp:docPr id="1538253392" name="Diagram 11" descr="This diagram illustrates the strategic aims and objectives of the Procurement Strategy, which is to support SEPA's Corporate Plan; support delivery of SEPA's strategic priorities which are net zero, water environment, climate resilience, business environmental performance and resource efficiency.  Whilst at the heart of what we do embedding customer focus, governance and compliance, capability and capacity, technology, sustainability and CS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5A7F1EFF" w14:textId="6ED5D416" w:rsidR="00985712" w:rsidRPr="00611F9A" w:rsidRDefault="00985712" w:rsidP="00985712">
      <w:pPr>
        <w:tabs>
          <w:tab w:val="left" w:pos="720"/>
          <w:tab w:val="left" w:pos="1440"/>
          <w:tab w:val="left" w:pos="2160"/>
          <w:tab w:val="left" w:pos="2880"/>
          <w:tab w:val="left" w:pos="4680"/>
          <w:tab w:val="left" w:pos="5400"/>
          <w:tab w:val="right" w:pos="9000"/>
        </w:tabs>
        <w:spacing w:line="240" w:lineRule="atLeast"/>
        <w:jc w:val="both"/>
      </w:pPr>
    </w:p>
    <w:p w14:paraId="1CDAA66B" w14:textId="0958D338" w:rsidR="00C65CE2" w:rsidRDefault="00E74EEC" w:rsidP="00A65977">
      <w:pPr>
        <w:tabs>
          <w:tab w:val="left" w:pos="720"/>
          <w:tab w:val="left" w:pos="1440"/>
          <w:tab w:val="left" w:pos="2160"/>
          <w:tab w:val="left" w:pos="2880"/>
          <w:tab w:val="left" w:pos="4680"/>
          <w:tab w:val="left" w:pos="5400"/>
          <w:tab w:val="right" w:pos="9000"/>
        </w:tabs>
      </w:pPr>
      <w:r>
        <w:t>Furthermore, the strategy supports the implementation of our One SEPA Modernisation programme</w:t>
      </w:r>
      <w:r w:rsidR="001E7101">
        <w:t xml:space="preserve"> and the investment in a</w:t>
      </w:r>
      <w:r w:rsidR="00673DD7">
        <w:t>n</w:t>
      </w:r>
      <w:r w:rsidR="001E7101">
        <w:t xml:space="preserve">d </w:t>
      </w:r>
      <w:r w:rsidR="00930C68">
        <w:t>development</w:t>
      </w:r>
      <w:r w:rsidR="001E7101">
        <w:t xml:space="preserve"> of staff, resources and tools</w:t>
      </w:r>
      <w:r w:rsidR="00577BD3">
        <w:t xml:space="preserve"> through our procurement activity and delivery.</w:t>
      </w:r>
      <w:r w:rsidR="00F13F9E">
        <w:t xml:space="preserve"> </w:t>
      </w:r>
      <w:bookmarkStart w:id="27" w:name="_Hlk156460703"/>
      <w:r w:rsidR="0094572E">
        <w:t xml:space="preserve">The strategic aims of the procurement function are </w:t>
      </w:r>
      <w:r w:rsidR="006A444D">
        <w:t>captured in the following table:</w:t>
      </w:r>
    </w:p>
    <w:p w14:paraId="75171681" w14:textId="66C8169E" w:rsidR="00E6260C" w:rsidRDefault="00E6260C" w:rsidP="00A65977">
      <w:pPr>
        <w:tabs>
          <w:tab w:val="left" w:pos="720"/>
          <w:tab w:val="left" w:pos="1440"/>
          <w:tab w:val="left" w:pos="2160"/>
          <w:tab w:val="left" w:pos="2880"/>
          <w:tab w:val="left" w:pos="4680"/>
          <w:tab w:val="left" w:pos="5400"/>
          <w:tab w:val="right" w:pos="9000"/>
        </w:tabs>
      </w:pPr>
      <w:r>
        <w:br w:type="page"/>
      </w:r>
    </w:p>
    <w:p w14:paraId="6A23D674" w14:textId="2621A722" w:rsidR="0013263F" w:rsidRPr="00755E68" w:rsidRDefault="00755E68" w:rsidP="00755E68">
      <w:pPr>
        <w:rPr>
          <w:b/>
          <w:bCs/>
        </w:rPr>
      </w:pPr>
      <w:r w:rsidRPr="00755E68">
        <w:rPr>
          <w:b/>
          <w:bCs/>
        </w:rPr>
        <w:lastRenderedPageBreak/>
        <w:t xml:space="preserve">Table 1: </w:t>
      </w:r>
      <w:r w:rsidR="008B4139">
        <w:rPr>
          <w:b/>
          <w:bCs/>
        </w:rPr>
        <w:t>Procurement s</w:t>
      </w:r>
      <w:r w:rsidR="0041680B" w:rsidRPr="00755E68">
        <w:rPr>
          <w:b/>
          <w:bCs/>
        </w:rPr>
        <w:t xml:space="preserve">trategic </w:t>
      </w:r>
      <w:r w:rsidR="00445ED8" w:rsidRPr="00755E68">
        <w:rPr>
          <w:b/>
          <w:bCs/>
        </w:rPr>
        <w:t>a</w:t>
      </w:r>
      <w:r w:rsidR="0041680B" w:rsidRPr="00755E68">
        <w:rPr>
          <w:b/>
          <w:bCs/>
        </w:rPr>
        <w:t>ims</w:t>
      </w:r>
    </w:p>
    <w:tbl>
      <w:tblPr>
        <w:tblStyle w:val="TableGrid"/>
        <w:tblW w:w="9428" w:type="dxa"/>
        <w:tblInd w:w="421" w:type="dxa"/>
        <w:tblLook w:val="04A0" w:firstRow="1" w:lastRow="0" w:firstColumn="1" w:lastColumn="0" w:noHBand="0" w:noVBand="1"/>
        <w:tblCaption w:val="Table 1: Procurement strategic aims"/>
        <w:tblDescription w:val="This table outlines what the 6 strategic aims of the Procurement Strategy are and what it means to SEPA.  The strategic aims are as follows.  1) Customer focus.  This means that SEPA will proactively deliver the business needs and provide clear guidance and support to stakeholders.  2) Governance, compliane and assurance.  This means SEPA will deliver a strategy for managing the broad issues of procurement governance, risk management and corporate compliance with regulations. 3) Capability and capacity. This means that SEPA will ensure the procurement function is recognised as best in class and seem as an employer of choice.  4) Sustainable procurement.  This means our approach to social and ethical responsibility will minimise environmental impact through our supply chain whilst delivering sound economical solutions.  5) Use of technology.  This means ensuring supply chain engagement, internal reporting and business planning.  6) Contract and supplier management.  This means working closely with suppliers and internal customers to minimise the total cost of ownership whilst maximising supply chain efficiencies."/>
      </w:tblPr>
      <w:tblGrid>
        <w:gridCol w:w="3175"/>
        <w:gridCol w:w="6253"/>
      </w:tblGrid>
      <w:tr w:rsidR="0013263F" w14:paraId="02BE4920" w14:textId="77777777" w:rsidTr="00D97DF5">
        <w:trPr>
          <w:cantSplit/>
          <w:trHeight w:val="844"/>
          <w:tblHeader/>
        </w:trPr>
        <w:tc>
          <w:tcPr>
            <w:tcW w:w="3175" w:type="dxa"/>
            <w:shd w:val="clear" w:color="auto" w:fill="016574" w:themeFill="accent1"/>
          </w:tcPr>
          <w:p w14:paraId="32B14AEB" w14:textId="782FF255" w:rsidR="0013263F" w:rsidRPr="00886C99" w:rsidRDefault="0013263F" w:rsidP="00886C99">
            <w:pPr>
              <w:pStyle w:val="ListParagraph"/>
              <w:tabs>
                <w:tab w:val="left" w:pos="720"/>
                <w:tab w:val="left" w:pos="1440"/>
                <w:tab w:val="left" w:pos="2160"/>
                <w:tab w:val="left" w:pos="2880"/>
                <w:tab w:val="left" w:pos="4680"/>
                <w:tab w:val="left" w:pos="5400"/>
                <w:tab w:val="right" w:pos="9000"/>
              </w:tabs>
              <w:ind w:left="0"/>
              <w:jc w:val="both"/>
              <w:rPr>
                <w:b/>
                <w:color w:val="FFFFFF" w:themeColor="background1"/>
              </w:rPr>
            </w:pPr>
            <w:r w:rsidRPr="00886C99">
              <w:rPr>
                <w:b/>
                <w:color w:val="FFFFFF" w:themeColor="background1"/>
              </w:rPr>
              <w:t xml:space="preserve">Strategic </w:t>
            </w:r>
            <w:r w:rsidR="00886C99" w:rsidRPr="00886C99">
              <w:rPr>
                <w:b/>
                <w:bCs/>
                <w:color w:val="FFFFFF" w:themeColor="background1"/>
              </w:rPr>
              <w:t>a</w:t>
            </w:r>
            <w:r w:rsidRPr="00886C99">
              <w:rPr>
                <w:b/>
                <w:bCs/>
                <w:color w:val="FFFFFF" w:themeColor="background1"/>
              </w:rPr>
              <w:t>im</w:t>
            </w:r>
          </w:p>
        </w:tc>
        <w:tc>
          <w:tcPr>
            <w:tcW w:w="6253" w:type="dxa"/>
            <w:shd w:val="clear" w:color="auto" w:fill="016574" w:themeFill="accent1"/>
          </w:tcPr>
          <w:p w14:paraId="5693E4D3" w14:textId="0574C20B" w:rsidR="0013263F" w:rsidRPr="00886C99" w:rsidRDefault="0013263F" w:rsidP="00886C99">
            <w:pPr>
              <w:pStyle w:val="ListParagraph"/>
              <w:tabs>
                <w:tab w:val="left" w:pos="720"/>
                <w:tab w:val="left" w:pos="1440"/>
                <w:tab w:val="left" w:pos="2160"/>
                <w:tab w:val="left" w:pos="2880"/>
                <w:tab w:val="left" w:pos="4680"/>
                <w:tab w:val="left" w:pos="5400"/>
                <w:tab w:val="right" w:pos="9000"/>
              </w:tabs>
              <w:ind w:left="0"/>
              <w:jc w:val="both"/>
              <w:rPr>
                <w:b/>
                <w:color w:val="FFFFFF" w:themeColor="background1"/>
              </w:rPr>
            </w:pPr>
            <w:r w:rsidRPr="00886C99">
              <w:rPr>
                <w:b/>
                <w:color w:val="FFFFFF" w:themeColor="background1"/>
              </w:rPr>
              <w:t>What this means to SEPA</w:t>
            </w:r>
          </w:p>
        </w:tc>
      </w:tr>
      <w:tr w:rsidR="0013263F" w14:paraId="05E627B9" w14:textId="77777777" w:rsidTr="00D97DF5">
        <w:trPr>
          <w:cantSplit/>
        </w:trPr>
        <w:tc>
          <w:tcPr>
            <w:tcW w:w="3175" w:type="dxa"/>
          </w:tcPr>
          <w:p w14:paraId="66641041" w14:textId="2E792C8D" w:rsidR="0013263F"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4.1 </w:t>
            </w:r>
            <w:r w:rsidR="00DE04AA" w:rsidRPr="00886C99">
              <w:rPr>
                <w:color w:val="3C4741" w:themeColor="text1"/>
              </w:rPr>
              <w:t xml:space="preserve">Customer </w:t>
            </w:r>
            <w:r w:rsidR="00886C99">
              <w:rPr>
                <w:color w:val="3C4741" w:themeColor="text1"/>
              </w:rPr>
              <w:t>f</w:t>
            </w:r>
            <w:r w:rsidR="00DE04AA" w:rsidRPr="00886C99">
              <w:rPr>
                <w:color w:val="3C4741" w:themeColor="text1"/>
              </w:rPr>
              <w:t>ocus</w:t>
            </w:r>
          </w:p>
        </w:tc>
        <w:tc>
          <w:tcPr>
            <w:tcW w:w="6253" w:type="dxa"/>
          </w:tcPr>
          <w:p w14:paraId="27D08760" w14:textId="73FB1771" w:rsidR="0013263F" w:rsidRPr="00886C99" w:rsidRDefault="00D80B34"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sidRPr="00886C99">
              <w:rPr>
                <w:color w:val="3C4741" w:themeColor="text1"/>
              </w:rPr>
              <w:t>Proactively delivering the business needs</w:t>
            </w:r>
            <w:r w:rsidR="005765D9" w:rsidRPr="00886C99">
              <w:rPr>
                <w:color w:val="3C4741" w:themeColor="text1"/>
              </w:rPr>
              <w:t xml:space="preserve"> and providing clear guidance &amp; support to stakeholders</w:t>
            </w:r>
          </w:p>
        </w:tc>
      </w:tr>
      <w:tr w:rsidR="0013263F" w14:paraId="0B3ED399" w14:textId="77777777" w:rsidTr="00D97DF5">
        <w:trPr>
          <w:cantSplit/>
        </w:trPr>
        <w:tc>
          <w:tcPr>
            <w:tcW w:w="3175" w:type="dxa"/>
          </w:tcPr>
          <w:p w14:paraId="698EA05F" w14:textId="38D9FEA8" w:rsidR="0013263F"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4.2 </w:t>
            </w:r>
            <w:r w:rsidR="00DE04AA" w:rsidRPr="00886C99">
              <w:rPr>
                <w:color w:val="3C4741" w:themeColor="text1"/>
              </w:rPr>
              <w:t>Governance</w:t>
            </w:r>
            <w:r w:rsidR="00912C5B">
              <w:rPr>
                <w:color w:val="3C4741" w:themeColor="text1"/>
              </w:rPr>
              <w:t>,</w:t>
            </w:r>
            <w:r w:rsidR="00DE04AA" w:rsidRPr="00886C99">
              <w:rPr>
                <w:color w:val="3C4741" w:themeColor="text1"/>
              </w:rPr>
              <w:t xml:space="preserve"> </w:t>
            </w:r>
            <w:r w:rsidR="00505BD8">
              <w:rPr>
                <w:color w:val="3C4741" w:themeColor="text1"/>
              </w:rPr>
              <w:t>c</w:t>
            </w:r>
            <w:r w:rsidR="00DE04AA" w:rsidRPr="00886C99">
              <w:rPr>
                <w:color w:val="3C4741" w:themeColor="text1"/>
              </w:rPr>
              <w:t>ompliance</w:t>
            </w:r>
            <w:r w:rsidR="00912C5B">
              <w:rPr>
                <w:color w:val="3C4741" w:themeColor="text1"/>
              </w:rPr>
              <w:t xml:space="preserve"> and assurance</w:t>
            </w:r>
          </w:p>
        </w:tc>
        <w:tc>
          <w:tcPr>
            <w:tcW w:w="6253" w:type="dxa"/>
          </w:tcPr>
          <w:p w14:paraId="1FAB573F" w14:textId="78F70C8E" w:rsidR="0013263F" w:rsidRPr="00886C99" w:rsidRDefault="00DF6DF7"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Ensuring </w:t>
            </w:r>
            <w:r w:rsidR="00C25B64" w:rsidRPr="00886C99">
              <w:rPr>
                <w:color w:val="3C4741" w:themeColor="text1"/>
              </w:rPr>
              <w:t xml:space="preserve">procurement </w:t>
            </w:r>
            <w:r w:rsidR="00966988">
              <w:rPr>
                <w:color w:val="3C4741" w:themeColor="text1"/>
              </w:rPr>
              <w:t>policy, guidanc</w:t>
            </w:r>
            <w:r w:rsidR="00A50601">
              <w:rPr>
                <w:color w:val="3C4741" w:themeColor="text1"/>
              </w:rPr>
              <w:t>e</w:t>
            </w:r>
            <w:r w:rsidR="00A317B0">
              <w:rPr>
                <w:color w:val="3C4741" w:themeColor="text1"/>
              </w:rPr>
              <w:t xml:space="preserve"> and</w:t>
            </w:r>
            <w:r w:rsidR="00A50601">
              <w:rPr>
                <w:color w:val="3C4741" w:themeColor="text1"/>
              </w:rPr>
              <w:t xml:space="preserve"> </w:t>
            </w:r>
            <w:r w:rsidR="002D5422">
              <w:rPr>
                <w:color w:val="3C4741" w:themeColor="text1"/>
              </w:rPr>
              <w:t xml:space="preserve">templates are comprehensive and </w:t>
            </w:r>
            <w:r w:rsidR="002A4A9E">
              <w:rPr>
                <w:color w:val="3C4741" w:themeColor="text1"/>
              </w:rPr>
              <w:t>up to date</w:t>
            </w:r>
            <w:r w:rsidR="00BF338B">
              <w:rPr>
                <w:color w:val="3C4741" w:themeColor="text1"/>
              </w:rPr>
              <w:t xml:space="preserve"> and </w:t>
            </w:r>
            <w:r w:rsidR="00CD77EA">
              <w:rPr>
                <w:color w:val="3C4741" w:themeColor="text1"/>
              </w:rPr>
              <w:t xml:space="preserve">activity </w:t>
            </w:r>
            <w:r w:rsidR="00321148">
              <w:rPr>
                <w:color w:val="3C4741" w:themeColor="text1"/>
              </w:rPr>
              <w:t xml:space="preserve">consistent with </w:t>
            </w:r>
            <w:r w:rsidR="00025429">
              <w:rPr>
                <w:color w:val="3C4741" w:themeColor="text1"/>
              </w:rPr>
              <w:t xml:space="preserve">government guidance and </w:t>
            </w:r>
            <w:r w:rsidR="00261C5A" w:rsidRPr="00886C99">
              <w:rPr>
                <w:color w:val="3C4741" w:themeColor="text1"/>
              </w:rPr>
              <w:t>regulations</w:t>
            </w:r>
            <w:r w:rsidR="00846EF6">
              <w:rPr>
                <w:color w:val="3C4741" w:themeColor="text1"/>
              </w:rPr>
              <w:t>.</w:t>
            </w:r>
          </w:p>
        </w:tc>
      </w:tr>
      <w:tr w:rsidR="0013263F" w14:paraId="240B372A" w14:textId="77777777" w:rsidTr="00D97DF5">
        <w:trPr>
          <w:cantSplit/>
        </w:trPr>
        <w:tc>
          <w:tcPr>
            <w:tcW w:w="3175" w:type="dxa"/>
          </w:tcPr>
          <w:p w14:paraId="0448418B" w14:textId="22F59E06" w:rsidR="0013263F"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4.3 </w:t>
            </w:r>
            <w:r w:rsidR="005E69D7" w:rsidRPr="00886C99">
              <w:rPr>
                <w:color w:val="3C4741" w:themeColor="text1"/>
              </w:rPr>
              <w:t xml:space="preserve">Capability </w:t>
            </w:r>
            <w:r w:rsidR="008357B5">
              <w:rPr>
                <w:color w:val="3C4741" w:themeColor="text1"/>
              </w:rPr>
              <w:t>and</w:t>
            </w:r>
            <w:r w:rsidR="005E69D7" w:rsidRPr="00886C99">
              <w:rPr>
                <w:color w:val="3C4741" w:themeColor="text1"/>
              </w:rPr>
              <w:t xml:space="preserve"> </w:t>
            </w:r>
            <w:r w:rsidR="008357B5">
              <w:rPr>
                <w:color w:val="3C4741" w:themeColor="text1"/>
              </w:rPr>
              <w:t>c</w:t>
            </w:r>
            <w:r w:rsidR="005E69D7" w:rsidRPr="00886C99">
              <w:rPr>
                <w:color w:val="3C4741" w:themeColor="text1"/>
              </w:rPr>
              <w:t>apacity</w:t>
            </w:r>
          </w:p>
        </w:tc>
        <w:tc>
          <w:tcPr>
            <w:tcW w:w="6253" w:type="dxa"/>
          </w:tcPr>
          <w:p w14:paraId="6307245F" w14:textId="40AA308B" w:rsidR="0013263F" w:rsidRPr="00886C99" w:rsidRDefault="00261C5A"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sidRPr="00886C99">
              <w:rPr>
                <w:color w:val="3C4741" w:themeColor="text1"/>
              </w:rPr>
              <w:t xml:space="preserve">Ensure the procurement function is </w:t>
            </w:r>
            <w:r w:rsidR="00E640D3">
              <w:rPr>
                <w:color w:val="3C4741" w:themeColor="text1"/>
              </w:rPr>
              <w:t>adequately resourced</w:t>
            </w:r>
            <w:r w:rsidR="00602F1A">
              <w:rPr>
                <w:color w:val="3C4741" w:themeColor="text1"/>
              </w:rPr>
              <w:t>;</w:t>
            </w:r>
            <w:r w:rsidR="00E640D3">
              <w:rPr>
                <w:color w:val="3C4741" w:themeColor="text1"/>
              </w:rPr>
              <w:t xml:space="preserve"> </w:t>
            </w:r>
            <w:r w:rsidRPr="00886C99">
              <w:rPr>
                <w:color w:val="3C4741" w:themeColor="text1"/>
              </w:rPr>
              <w:t>recogni</w:t>
            </w:r>
            <w:r w:rsidR="008357B5">
              <w:rPr>
                <w:color w:val="3C4741" w:themeColor="text1"/>
              </w:rPr>
              <w:t>s</w:t>
            </w:r>
            <w:r w:rsidRPr="00886C99">
              <w:rPr>
                <w:color w:val="3C4741" w:themeColor="text1"/>
              </w:rPr>
              <w:t xml:space="preserve">ed as </w:t>
            </w:r>
            <w:r w:rsidR="009A311F" w:rsidRPr="00886C99">
              <w:rPr>
                <w:color w:val="3C4741" w:themeColor="text1"/>
              </w:rPr>
              <w:t xml:space="preserve">best in class and </w:t>
            </w:r>
            <w:r w:rsidR="00602F1A">
              <w:rPr>
                <w:color w:val="3C4741" w:themeColor="text1"/>
              </w:rPr>
              <w:t xml:space="preserve">SEPA </w:t>
            </w:r>
            <w:r w:rsidR="009A311F" w:rsidRPr="00886C99">
              <w:rPr>
                <w:color w:val="3C4741" w:themeColor="text1"/>
              </w:rPr>
              <w:t>seen as employer of choice</w:t>
            </w:r>
            <w:r w:rsidR="00376DFE">
              <w:rPr>
                <w:color w:val="3C4741" w:themeColor="text1"/>
              </w:rPr>
              <w:t xml:space="preserve"> within the procurement function.</w:t>
            </w:r>
          </w:p>
        </w:tc>
      </w:tr>
      <w:tr w:rsidR="0013263F" w14:paraId="17A2F209" w14:textId="77777777" w:rsidTr="00D97DF5">
        <w:trPr>
          <w:cantSplit/>
        </w:trPr>
        <w:tc>
          <w:tcPr>
            <w:tcW w:w="3175" w:type="dxa"/>
          </w:tcPr>
          <w:p w14:paraId="5D501A40" w14:textId="75CC9F26" w:rsidR="0013263F"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4.4 </w:t>
            </w:r>
            <w:r w:rsidR="00DE04AA" w:rsidRPr="00886C99">
              <w:rPr>
                <w:color w:val="3C4741" w:themeColor="text1"/>
              </w:rPr>
              <w:t xml:space="preserve">Sustainable </w:t>
            </w:r>
            <w:r w:rsidR="00846EF6">
              <w:rPr>
                <w:color w:val="3C4741" w:themeColor="text1"/>
              </w:rPr>
              <w:t>p</w:t>
            </w:r>
            <w:r w:rsidR="00DE04AA" w:rsidRPr="00886C99">
              <w:rPr>
                <w:color w:val="3C4741" w:themeColor="text1"/>
              </w:rPr>
              <w:t>rocurement</w:t>
            </w:r>
          </w:p>
        </w:tc>
        <w:tc>
          <w:tcPr>
            <w:tcW w:w="6253" w:type="dxa"/>
          </w:tcPr>
          <w:p w14:paraId="650BFAD7" w14:textId="46C64767" w:rsidR="0013263F" w:rsidRPr="00886C99" w:rsidRDefault="00376DFE"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Ensure</w:t>
            </w:r>
            <w:r w:rsidR="009E2D04" w:rsidRPr="00886C99">
              <w:rPr>
                <w:color w:val="3C4741" w:themeColor="text1"/>
              </w:rPr>
              <w:t xml:space="preserve"> our approach to social </w:t>
            </w:r>
            <w:r w:rsidR="00846EF6">
              <w:rPr>
                <w:color w:val="3C4741" w:themeColor="text1"/>
              </w:rPr>
              <w:t>and</w:t>
            </w:r>
            <w:r w:rsidR="009E2D04" w:rsidRPr="00886C99">
              <w:rPr>
                <w:color w:val="3C4741" w:themeColor="text1"/>
              </w:rPr>
              <w:t xml:space="preserve"> ethical responsibility</w:t>
            </w:r>
            <w:r w:rsidR="003B4A45">
              <w:rPr>
                <w:color w:val="3C4741" w:themeColor="text1"/>
              </w:rPr>
              <w:t xml:space="preserve"> is consistent</w:t>
            </w:r>
            <w:r w:rsidR="009E2D04" w:rsidRPr="00886C99">
              <w:rPr>
                <w:color w:val="3C4741" w:themeColor="text1"/>
              </w:rPr>
              <w:t>, minimising environmental impact through our supply chain</w:t>
            </w:r>
            <w:r w:rsidR="005409B8" w:rsidRPr="00886C99">
              <w:rPr>
                <w:color w:val="3C4741" w:themeColor="text1"/>
              </w:rPr>
              <w:t xml:space="preserve"> whilst delivering sound economical solutions</w:t>
            </w:r>
            <w:r w:rsidR="00450AF6">
              <w:rPr>
                <w:color w:val="3C4741" w:themeColor="text1"/>
              </w:rPr>
              <w:t>.</w:t>
            </w:r>
          </w:p>
        </w:tc>
      </w:tr>
      <w:tr w:rsidR="00743FC8" w14:paraId="54C4F95B" w14:textId="77777777" w:rsidTr="00D97DF5">
        <w:trPr>
          <w:cantSplit/>
        </w:trPr>
        <w:tc>
          <w:tcPr>
            <w:tcW w:w="3175" w:type="dxa"/>
          </w:tcPr>
          <w:p w14:paraId="494BC59D" w14:textId="361EF814" w:rsidR="00743FC8"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4.5 </w:t>
            </w:r>
            <w:r w:rsidR="00743FC8" w:rsidRPr="00886C99">
              <w:rPr>
                <w:color w:val="3C4741" w:themeColor="text1"/>
              </w:rPr>
              <w:t xml:space="preserve">Use of </w:t>
            </w:r>
            <w:r w:rsidR="00450AF6">
              <w:rPr>
                <w:color w:val="3C4741" w:themeColor="text1"/>
              </w:rPr>
              <w:t>t</w:t>
            </w:r>
            <w:r w:rsidR="00743FC8" w:rsidRPr="00886C99">
              <w:rPr>
                <w:color w:val="3C4741" w:themeColor="text1"/>
              </w:rPr>
              <w:t>echnology</w:t>
            </w:r>
          </w:p>
        </w:tc>
        <w:tc>
          <w:tcPr>
            <w:tcW w:w="6253" w:type="dxa"/>
          </w:tcPr>
          <w:p w14:paraId="7AE8EC7A" w14:textId="7CADD9C4" w:rsidR="00743FC8" w:rsidRPr="00886C99" w:rsidRDefault="00027D6F"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I</w:t>
            </w:r>
            <w:r w:rsidR="008A64E6">
              <w:rPr>
                <w:color w:val="3C4741" w:themeColor="text1"/>
              </w:rPr>
              <w:t xml:space="preserve">mproved use of data-led </w:t>
            </w:r>
            <w:r w:rsidR="0052649A">
              <w:rPr>
                <w:color w:val="3C4741" w:themeColor="text1"/>
              </w:rPr>
              <w:t>intelligence</w:t>
            </w:r>
            <w:r w:rsidR="00963445">
              <w:rPr>
                <w:color w:val="3C4741" w:themeColor="text1"/>
              </w:rPr>
              <w:t xml:space="preserve"> for </w:t>
            </w:r>
            <w:r w:rsidR="0052649A">
              <w:rPr>
                <w:color w:val="3C4741" w:themeColor="text1"/>
              </w:rPr>
              <w:t xml:space="preserve">stakeholder engagement </w:t>
            </w:r>
            <w:r w:rsidR="00755AD0" w:rsidRPr="00886C99">
              <w:rPr>
                <w:color w:val="3C4741" w:themeColor="text1"/>
              </w:rPr>
              <w:t>and business planning</w:t>
            </w:r>
            <w:r w:rsidR="00450AF6">
              <w:rPr>
                <w:color w:val="3C4741" w:themeColor="text1"/>
              </w:rPr>
              <w:t>.</w:t>
            </w:r>
            <w:r w:rsidR="00F065F1">
              <w:rPr>
                <w:color w:val="3C4741" w:themeColor="text1"/>
              </w:rPr>
              <w:t xml:space="preserve"> </w:t>
            </w:r>
            <w:r w:rsidR="00BE687D">
              <w:rPr>
                <w:color w:val="3C4741" w:themeColor="text1"/>
              </w:rPr>
              <w:t>Robust, consistent and auditable supply chain engagement.</w:t>
            </w:r>
          </w:p>
        </w:tc>
      </w:tr>
      <w:tr w:rsidR="0013263F" w14:paraId="32F1A573" w14:textId="77777777" w:rsidTr="00D97DF5">
        <w:trPr>
          <w:cantSplit/>
        </w:trPr>
        <w:tc>
          <w:tcPr>
            <w:tcW w:w="3175" w:type="dxa"/>
          </w:tcPr>
          <w:p w14:paraId="612BF445" w14:textId="1A0B410A" w:rsidR="0013263F" w:rsidRPr="00886C99" w:rsidRDefault="00E56FB2"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Pr>
                <w:color w:val="3C4741" w:themeColor="text1"/>
              </w:rPr>
              <w:t xml:space="preserve">4.6 </w:t>
            </w:r>
            <w:r w:rsidR="00014732" w:rsidRPr="00886C99">
              <w:rPr>
                <w:color w:val="3C4741" w:themeColor="text1"/>
              </w:rPr>
              <w:t xml:space="preserve">Contract </w:t>
            </w:r>
            <w:r w:rsidR="00450AF6">
              <w:rPr>
                <w:color w:val="3C4741" w:themeColor="text1"/>
              </w:rPr>
              <w:t>and</w:t>
            </w:r>
            <w:r w:rsidR="00014732" w:rsidRPr="00886C99">
              <w:rPr>
                <w:color w:val="3C4741" w:themeColor="text1"/>
              </w:rPr>
              <w:t xml:space="preserve"> </w:t>
            </w:r>
            <w:r w:rsidR="00450AF6">
              <w:rPr>
                <w:color w:val="3C4741" w:themeColor="text1"/>
              </w:rPr>
              <w:t>s</w:t>
            </w:r>
            <w:r w:rsidR="00014732" w:rsidRPr="00886C99">
              <w:rPr>
                <w:color w:val="3C4741" w:themeColor="text1"/>
              </w:rPr>
              <w:t xml:space="preserve">upplier </w:t>
            </w:r>
            <w:r w:rsidR="00450AF6">
              <w:rPr>
                <w:color w:val="3C4741" w:themeColor="text1"/>
              </w:rPr>
              <w:t>m</w:t>
            </w:r>
            <w:r w:rsidR="00014732" w:rsidRPr="00886C99">
              <w:rPr>
                <w:color w:val="3C4741" w:themeColor="text1"/>
              </w:rPr>
              <w:t>anagement</w:t>
            </w:r>
            <w:r w:rsidR="00750055">
              <w:rPr>
                <w:color w:val="3C4741" w:themeColor="text1"/>
              </w:rPr>
              <w:t xml:space="preserve"> (CSM)</w:t>
            </w:r>
          </w:p>
        </w:tc>
        <w:tc>
          <w:tcPr>
            <w:tcW w:w="6253" w:type="dxa"/>
          </w:tcPr>
          <w:p w14:paraId="6E46F353" w14:textId="731B1B65" w:rsidR="0013263F" w:rsidRPr="00886C99" w:rsidRDefault="00FE723C" w:rsidP="00886C99">
            <w:pPr>
              <w:pStyle w:val="ListParagraph"/>
              <w:tabs>
                <w:tab w:val="left" w:pos="720"/>
                <w:tab w:val="left" w:pos="1440"/>
                <w:tab w:val="left" w:pos="2160"/>
                <w:tab w:val="left" w:pos="2880"/>
                <w:tab w:val="left" w:pos="4680"/>
                <w:tab w:val="left" w:pos="5400"/>
                <w:tab w:val="right" w:pos="9000"/>
              </w:tabs>
              <w:ind w:left="0"/>
              <w:rPr>
                <w:color w:val="3C4741" w:themeColor="text1"/>
              </w:rPr>
            </w:pPr>
            <w:r w:rsidRPr="00886C99">
              <w:rPr>
                <w:color w:val="3C4741" w:themeColor="text1"/>
              </w:rPr>
              <w:t xml:space="preserve">Working closely with suppliers and internal customers to </w:t>
            </w:r>
            <w:r w:rsidR="0035002F" w:rsidRPr="00886C99">
              <w:rPr>
                <w:color w:val="3C4741" w:themeColor="text1"/>
              </w:rPr>
              <w:t>minimise the total cost of ownership whilst maximising supply chain efficiencies</w:t>
            </w:r>
            <w:r w:rsidR="00BC43FD">
              <w:rPr>
                <w:color w:val="3C4741" w:themeColor="text1"/>
              </w:rPr>
              <w:t>.</w:t>
            </w:r>
          </w:p>
        </w:tc>
      </w:tr>
    </w:tbl>
    <w:p w14:paraId="661E1D9F" w14:textId="77777777" w:rsidR="00A87141" w:rsidRDefault="00A87141" w:rsidP="00A87141">
      <w:pPr>
        <w:pStyle w:val="ListParagraph"/>
        <w:tabs>
          <w:tab w:val="left" w:pos="720"/>
          <w:tab w:val="left" w:pos="1440"/>
          <w:tab w:val="left" w:pos="2160"/>
          <w:tab w:val="left" w:pos="2880"/>
          <w:tab w:val="left" w:pos="4680"/>
          <w:tab w:val="left" w:pos="5400"/>
          <w:tab w:val="right" w:pos="9000"/>
        </w:tabs>
        <w:spacing w:line="240" w:lineRule="auto"/>
        <w:ind w:left="792"/>
        <w:jc w:val="both"/>
        <w:rPr>
          <w:color w:val="016574" w:themeColor="accent1"/>
        </w:rPr>
      </w:pPr>
    </w:p>
    <w:p w14:paraId="09E68DBA" w14:textId="282C6137" w:rsidR="00143A8B" w:rsidRPr="005A213F" w:rsidRDefault="009B394B" w:rsidP="00530A49">
      <w:pPr>
        <w:pStyle w:val="Heading3"/>
        <w:numPr>
          <w:ilvl w:val="1"/>
          <w:numId w:val="3"/>
        </w:numPr>
        <w:spacing w:after="0" w:line="360" w:lineRule="auto"/>
      </w:pPr>
      <w:r w:rsidRPr="005A213F">
        <w:t xml:space="preserve">Customer </w:t>
      </w:r>
      <w:r w:rsidR="00BC43FD">
        <w:t>f</w:t>
      </w:r>
      <w:r w:rsidRPr="005A213F">
        <w:t>ocu</w:t>
      </w:r>
      <w:r>
        <w:t>s</w:t>
      </w:r>
    </w:p>
    <w:p w14:paraId="3139AFB3" w14:textId="1CF0BE3E" w:rsidR="009B394B" w:rsidRDefault="007F6B1F" w:rsidP="00EF1362">
      <w:pPr>
        <w:tabs>
          <w:tab w:val="left" w:pos="720"/>
          <w:tab w:val="left" w:pos="1440"/>
          <w:tab w:val="left" w:pos="2160"/>
          <w:tab w:val="left" w:pos="2880"/>
          <w:tab w:val="left" w:pos="4680"/>
          <w:tab w:val="left" w:pos="5400"/>
          <w:tab w:val="right" w:pos="9000"/>
        </w:tabs>
        <w:ind w:left="720" w:hanging="720"/>
        <w:rPr>
          <w:color w:val="016574" w:themeColor="accent1"/>
        </w:rPr>
      </w:pPr>
      <w:r w:rsidRPr="007F6B1F">
        <w:t>A continued focus on the customer will be maintained by:</w:t>
      </w:r>
    </w:p>
    <w:p w14:paraId="04111234" w14:textId="0365C3DC" w:rsidR="009B5943" w:rsidRDefault="00BC43FD" w:rsidP="005A213F">
      <w:pPr>
        <w:pStyle w:val="ListParagraph"/>
        <w:numPr>
          <w:ilvl w:val="0"/>
          <w:numId w:val="7"/>
        </w:numPr>
        <w:tabs>
          <w:tab w:val="left" w:pos="720"/>
          <w:tab w:val="left" w:pos="1440"/>
          <w:tab w:val="left" w:pos="2160"/>
          <w:tab w:val="left" w:pos="2880"/>
          <w:tab w:val="left" w:pos="4680"/>
          <w:tab w:val="left" w:pos="5400"/>
          <w:tab w:val="right" w:pos="9000"/>
        </w:tabs>
        <w:ind w:left="1080"/>
      </w:pPr>
      <w:r>
        <w:t>M</w:t>
      </w:r>
      <w:r w:rsidR="009B394B" w:rsidRPr="00C95ACA">
        <w:t xml:space="preserve">aintaining a high profile </w:t>
      </w:r>
      <w:r w:rsidR="009B394B">
        <w:t>for</w:t>
      </w:r>
      <w:r w:rsidR="009B394B" w:rsidRPr="00C95ACA">
        <w:t xml:space="preserve"> </w:t>
      </w:r>
      <w:r>
        <w:t>p</w:t>
      </w:r>
      <w:r w:rsidR="009B394B" w:rsidRPr="00C95ACA">
        <w:t xml:space="preserve">rocurement within SEPA and </w:t>
      </w:r>
      <w:r w:rsidR="009B394B">
        <w:t xml:space="preserve">focusing on </w:t>
      </w:r>
      <w:r w:rsidR="007D4CF9">
        <w:t xml:space="preserve">being an enabling function </w:t>
      </w:r>
      <w:r w:rsidR="009B394B" w:rsidRPr="00C95ACA">
        <w:t xml:space="preserve">developing relationships with colleagues to </w:t>
      </w:r>
      <w:r w:rsidR="009B394B">
        <w:t>deliver effective results</w:t>
      </w:r>
      <w:r>
        <w:t>.</w:t>
      </w:r>
    </w:p>
    <w:p w14:paraId="08C1EEA3" w14:textId="7F6177BC" w:rsidR="00F443F6" w:rsidRDefault="00BC43FD" w:rsidP="005A213F">
      <w:pPr>
        <w:pStyle w:val="ListParagraph"/>
        <w:numPr>
          <w:ilvl w:val="0"/>
          <w:numId w:val="7"/>
        </w:numPr>
        <w:tabs>
          <w:tab w:val="left" w:pos="720"/>
          <w:tab w:val="left" w:pos="1440"/>
          <w:tab w:val="left" w:pos="2160"/>
          <w:tab w:val="left" w:pos="2880"/>
          <w:tab w:val="left" w:pos="4680"/>
          <w:tab w:val="left" w:pos="5400"/>
          <w:tab w:val="right" w:pos="9000"/>
        </w:tabs>
        <w:ind w:left="1080"/>
      </w:pPr>
      <w:r>
        <w:t>C</w:t>
      </w:r>
      <w:r w:rsidR="009B5943">
        <w:t xml:space="preserve">reation of a business facing </w:t>
      </w:r>
      <w:r w:rsidR="00E97D1F">
        <w:t xml:space="preserve">(partnering) </w:t>
      </w:r>
      <w:r w:rsidR="009B5943">
        <w:t>procurement team</w:t>
      </w:r>
      <w:r w:rsidR="00752A02">
        <w:t xml:space="preserve"> providing support at regular meetings with key business stakeholders</w:t>
      </w:r>
      <w:r w:rsidR="000C6138">
        <w:t>.</w:t>
      </w:r>
    </w:p>
    <w:p w14:paraId="1C0C8D22" w14:textId="588B1966" w:rsidR="00DC66FF" w:rsidRDefault="00BC43FD" w:rsidP="005A213F">
      <w:pPr>
        <w:pStyle w:val="ListParagraph"/>
        <w:numPr>
          <w:ilvl w:val="0"/>
          <w:numId w:val="7"/>
        </w:numPr>
        <w:tabs>
          <w:tab w:val="left" w:pos="720"/>
          <w:tab w:val="left" w:pos="1440"/>
          <w:tab w:val="left" w:pos="2160"/>
          <w:tab w:val="left" w:pos="2880"/>
          <w:tab w:val="left" w:pos="4680"/>
          <w:tab w:val="left" w:pos="5400"/>
          <w:tab w:val="right" w:pos="9000"/>
        </w:tabs>
        <w:ind w:left="1080"/>
      </w:pPr>
      <w:r>
        <w:t>D</w:t>
      </w:r>
      <w:r w:rsidR="00DC66FF">
        <w:t>riving commercial awar</w:t>
      </w:r>
      <w:r w:rsidR="000528DB">
        <w:t>e</w:t>
      </w:r>
      <w:r w:rsidR="00DC66FF">
        <w:t>ne</w:t>
      </w:r>
      <w:r w:rsidR="003015C4">
        <w:t>ss and improved business acumen.</w:t>
      </w:r>
    </w:p>
    <w:p w14:paraId="52B82F71" w14:textId="00208ED7" w:rsidR="002A3C3C" w:rsidRDefault="00BC43FD" w:rsidP="005A213F">
      <w:pPr>
        <w:pStyle w:val="ListParagraph"/>
        <w:numPr>
          <w:ilvl w:val="0"/>
          <w:numId w:val="7"/>
        </w:numPr>
        <w:tabs>
          <w:tab w:val="left" w:pos="720"/>
          <w:tab w:val="left" w:pos="1440"/>
          <w:tab w:val="left" w:pos="2160"/>
          <w:tab w:val="left" w:pos="2880"/>
          <w:tab w:val="left" w:pos="4680"/>
          <w:tab w:val="left" w:pos="5400"/>
          <w:tab w:val="right" w:pos="9000"/>
        </w:tabs>
        <w:ind w:left="1080"/>
      </w:pPr>
      <w:r>
        <w:t>P</w:t>
      </w:r>
      <w:r w:rsidR="002A3C3C">
        <w:t>roviding a professional and flexible procurement service to both internal managers and external suppliers through an inclusive procurement approach</w:t>
      </w:r>
      <w:r>
        <w:t>.</w:t>
      </w:r>
      <w:r w:rsidR="002A3C3C">
        <w:t xml:space="preserve"> </w:t>
      </w:r>
    </w:p>
    <w:p w14:paraId="68A1A686" w14:textId="77777777" w:rsidR="0052649A" w:rsidRDefault="0052649A" w:rsidP="00D5661C">
      <w:pPr>
        <w:pStyle w:val="ListParagraph"/>
        <w:tabs>
          <w:tab w:val="left" w:pos="720"/>
          <w:tab w:val="left" w:pos="1440"/>
          <w:tab w:val="left" w:pos="2160"/>
          <w:tab w:val="left" w:pos="2880"/>
          <w:tab w:val="left" w:pos="4680"/>
          <w:tab w:val="left" w:pos="5400"/>
          <w:tab w:val="right" w:pos="9000"/>
        </w:tabs>
        <w:ind w:left="1077"/>
      </w:pPr>
    </w:p>
    <w:p w14:paraId="751EDFA2" w14:textId="09BEAEB8" w:rsidR="00BD3300" w:rsidRDefault="00BD3300" w:rsidP="00530A49">
      <w:pPr>
        <w:pStyle w:val="Heading3"/>
        <w:numPr>
          <w:ilvl w:val="1"/>
          <w:numId w:val="3"/>
        </w:numPr>
        <w:spacing w:after="0" w:line="360" w:lineRule="auto"/>
      </w:pPr>
      <w:r w:rsidRPr="005A213F">
        <w:lastRenderedPageBreak/>
        <w:t xml:space="preserve">Governance, </w:t>
      </w:r>
      <w:r w:rsidR="00BC43FD">
        <w:t>c</w:t>
      </w:r>
      <w:r w:rsidRPr="005A213F">
        <w:t xml:space="preserve">ompliance and </w:t>
      </w:r>
      <w:r w:rsidR="00BC43FD">
        <w:t>a</w:t>
      </w:r>
      <w:r w:rsidRPr="005A213F">
        <w:t xml:space="preserve">ssurance </w:t>
      </w:r>
    </w:p>
    <w:p w14:paraId="6E8CABBD" w14:textId="04C03D18" w:rsidR="008B2ACE" w:rsidRDefault="008B2ACE" w:rsidP="008B2ACE">
      <w:pPr>
        <w:tabs>
          <w:tab w:val="left" w:pos="720"/>
          <w:tab w:val="left" w:pos="1440"/>
          <w:tab w:val="left" w:pos="2160"/>
          <w:tab w:val="left" w:pos="2880"/>
          <w:tab w:val="left" w:pos="4680"/>
          <w:tab w:val="left" w:pos="5400"/>
          <w:tab w:val="right" w:pos="9000"/>
        </w:tabs>
      </w:pPr>
      <w:r>
        <w:t xml:space="preserve">Driving </w:t>
      </w:r>
      <w:r w:rsidR="00EE2878">
        <w:t>a robust, consistent and standardised appro</w:t>
      </w:r>
      <w:r w:rsidR="00EA4F0C">
        <w:t>ach to procurement delivery</w:t>
      </w:r>
      <w:r w:rsidR="00D93B1C">
        <w:t xml:space="preserve"> by:</w:t>
      </w:r>
    </w:p>
    <w:p w14:paraId="0278B628" w14:textId="5DDC7BF7" w:rsidR="00BD3300" w:rsidRDefault="00BC43FD"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E</w:t>
      </w:r>
      <w:r w:rsidR="00BD3300">
        <w:t xml:space="preserve">nsuring </w:t>
      </w:r>
      <w:r w:rsidR="00BD3300" w:rsidRPr="00C95ACA">
        <w:t xml:space="preserve">compliance with </w:t>
      </w:r>
      <w:hyperlink r:id="rId32" w:history="1">
        <w:r w:rsidR="00BD3300" w:rsidRPr="007C4292">
          <w:rPr>
            <w:rStyle w:val="Hyperlink"/>
          </w:rPr>
          <w:t>Public Contracts (Scotland) Regulations 2015</w:t>
        </w:r>
      </w:hyperlink>
      <w:r w:rsidR="00BD3300" w:rsidRPr="00C95ACA">
        <w:t xml:space="preserve"> and the </w:t>
      </w:r>
      <w:hyperlink r:id="rId33" w:history="1">
        <w:r w:rsidR="00BD3300" w:rsidRPr="00D91EBC">
          <w:rPr>
            <w:rStyle w:val="Hyperlink"/>
          </w:rPr>
          <w:t>Procurement Reform (Scotland) Act 2014</w:t>
        </w:r>
      </w:hyperlink>
      <w:r w:rsidR="00BD3300" w:rsidRPr="00C95ACA">
        <w:t xml:space="preserve"> and associated statutory guidance</w:t>
      </w:r>
      <w:r w:rsidR="009247F9">
        <w:t>.</w:t>
      </w:r>
      <w:r w:rsidR="00BD3300" w:rsidRPr="00C95ACA">
        <w:t xml:space="preserve"> </w:t>
      </w:r>
    </w:p>
    <w:p w14:paraId="3DA23FBD" w14:textId="6100DBBE" w:rsidR="00AB5F6E" w:rsidRPr="00611F9A" w:rsidRDefault="009247F9"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E</w:t>
      </w:r>
      <w:r w:rsidR="00BD3300">
        <w:t>nsuring SEPA’s procurement practices contribute to the Scottish Government’s objective for sustainable economic growth and contribute to the achievement of relevant National Outcomes.</w:t>
      </w:r>
    </w:p>
    <w:p w14:paraId="20CA2AE3" w14:textId="0703B9B1" w:rsidR="004D0925" w:rsidRDefault="00BA2D46"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Continual r</w:t>
      </w:r>
      <w:r w:rsidR="00637A9E">
        <w:t xml:space="preserve">eview and </w:t>
      </w:r>
      <w:r w:rsidR="00143988">
        <w:t>updates to</w:t>
      </w:r>
      <w:r w:rsidR="00D92BA8">
        <w:t xml:space="preserve"> </w:t>
      </w:r>
      <w:r w:rsidR="0006590B">
        <w:t xml:space="preserve">the </w:t>
      </w:r>
      <w:r w:rsidR="00D92BA8">
        <w:t>suite of procurement documentation</w:t>
      </w:r>
      <w:r w:rsidR="0006590B">
        <w:t>.</w:t>
      </w:r>
    </w:p>
    <w:p w14:paraId="2C978C23" w14:textId="7683D2B0" w:rsidR="00A95467" w:rsidRDefault="0006590B"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E</w:t>
      </w:r>
      <w:r w:rsidR="007667EE">
        <w:t>mbed</w:t>
      </w:r>
      <w:r w:rsidR="00B677E3">
        <w:t>ding</w:t>
      </w:r>
      <w:r w:rsidR="007667EE">
        <w:t xml:space="preserve"> and support</w:t>
      </w:r>
      <w:r w:rsidR="00B677E3">
        <w:t>ing</w:t>
      </w:r>
      <w:r w:rsidR="007667EE">
        <w:t xml:space="preserve"> risk management, with emphasis on supply chain risk, w</w:t>
      </w:r>
      <w:r w:rsidR="006B20B6">
        <w:t>here</w:t>
      </w:r>
      <w:r w:rsidR="007667EE">
        <w:t xml:space="preserve"> </w:t>
      </w:r>
      <w:r w:rsidR="00A95467">
        <w:t xml:space="preserve">advice is sought from the appropriate subject matter specialists and </w:t>
      </w:r>
      <w:r w:rsidR="004D0925">
        <w:t xml:space="preserve">captured in </w:t>
      </w:r>
      <w:r w:rsidR="00A95467">
        <w:t xml:space="preserve">key documents such as the </w:t>
      </w:r>
      <w:r w:rsidR="006B20B6">
        <w:t>P</w:t>
      </w:r>
      <w:r w:rsidR="004D0925">
        <w:t xml:space="preserve">rocurement </w:t>
      </w:r>
      <w:r w:rsidR="006B20B6">
        <w:t>S</w:t>
      </w:r>
      <w:r w:rsidR="004D0925">
        <w:t>trategy</w:t>
      </w:r>
      <w:r w:rsidR="00A95467">
        <w:t xml:space="preserve">. </w:t>
      </w:r>
    </w:p>
    <w:p w14:paraId="34AAA2D4" w14:textId="77777777" w:rsidR="00530A49" w:rsidRDefault="00530A49" w:rsidP="00D5661C">
      <w:pPr>
        <w:pStyle w:val="Heading3"/>
        <w:spacing w:after="0" w:line="360" w:lineRule="auto"/>
        <w:ind w:left="709"/>
      </w:pPr>
    </w:p>
    <w:p w14:paraId="33F40DAF" w14:textId="11A21220" w:rsidR="00073DA7" w:rsidRDefault="005E69D7" w:rsidP="00530A49">
      <w:pPr>
        <w:pStyle w:val="Heading3"/>
        <w:numPr>
          <w:ilvl w:val="1"/>
          <w:numId w:val="3"/>
        </w:numPr>
        <w:spacing w:after="0" w:line="360" w:lineRule="auto"/>
      </w:pPr>
      <w:r w:rsidRPr="00DB3BD3">
        <w:t xml:space="preserve">Capability </w:t>
      </w:r>
      <w:r w:rsidR="006B20B6">
        <w:t>and c</w:t>
      </w:r>
      <w:r w:rsidRPr="00DB3BD3">
        <w:t>apacity</w:t>
      </w:r>
      <w:r w:rsidR="00513303" w:rsidRPr="00DB3BD3">
        <w:t xml:space="preserve"> </w:t>
      </w:r>
    </w:p>
    <w:p w14:paraId="49D6527C" w14:textId="39340C6D" w:rsidR="007E68BC" w:rsidRPr="00362976" w:rsidRDefault="007E68BC" w:rsidP="007E68BC">
      <w:r w:rsidRPr="00362976">
        <w:t>We will enable our people to be the best they can be at work by continuing to build skills, capability, resilience and leadership capacity</w:t>
      </w:r>
      <w:r w:rsidR="00EC2C6D">
        <w:t xml:space="preserve"> </w:t>
      </w:r>
      <w:proofErr w:type="gramStart"/>
      <w:r w:rsidR="00EC2C6D">
        <w:t>through;</w:t>
      </w:r>
      <w:proofErr w:type="gramEnd"/>
    </w:p>
    <w:p w14:paraId="256929A3" w14:textId="342D53F8" w:rsidR="000C48B0" w:rsidRDefault="006B20B6"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C</w:t>
      </w:r>
      <w:r w:rsidR="0036053B">
        <w:t xml:space="preserve">ontinued review </w:t>
      </w:r>
      <w:r w:rsidR="00513303" w:rsidRPr="00063A35">
        <w:t>that the correct operating model is in place to deliver business needs</w:t>
      </w:r>
      <w:r>
        <w:t>.</w:t>
      </w:r>
    </w:p>
    <w:p w14:paraId="7B346DE7" w14:textId="0E65D6B0" w:rsidR="000C48B0" w:rsidRPr="00063A35" w:rsidRDefault="00EC2C6D"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I</w:t>
      </w:r>
      <w:r w:rsidR="000C48B0">
        <w:t xml:space="preserve">nvestment in professional </w:t>
      </w:r>
      <w:r w:rsidR="000C48B0" w:rsidRPr="00C95ACA">
        <w:t>training</w:t>
      </w:r>
      <w:r w:rsidR="000C48B0">
        <w:t xml:space="preserve"> qualifications </w:t>
      </w:r>
      <w:r w:rsidR="007D1625">
        <w:t xml:space="preserve">for procurement team, </w:t>
      </w:r>
      <w:r w:rsidR="000C48B0">
        <w:t>such as the Chartered Institute of Purchasing and Supply (</w:t>
      </w:r>
      <w:hyperlink r:id="rId34" w:history="1">
        <w:r w:rsidR="000C48B0" w:rsidRPr="00DB3BD3">
          <w:t>CIPS</w:t>
        </w:r>
      </w:hyperlink>
      <w:r w:rsidR="000C48B0">
        <w:t xml:space="preserve">), learning </w:t>
      </w:r>
      <w:r w:rsidR="00D47027">
        <w:t>and</w:t>
      </w:r>
      <w:r w:rsidR="000C48B0">
        <w:t xml:space="preserve"> development</w:t>
      </w:r>
      <w:r w:rsidR="00517EB1">
        <w:t xml:space="preserve"> plans</w:t>
      </w:r>
      <w:r w:rsidR="000C48B0" w:rsidRPr="00C95ACA">
        <w:t xml:space="preserve">, </w:t>
      </w:r>
      <w:r w:rsidR="000C48B0">
        <w:t>coaching</w:t>
      </w:r>
      <w:r w:rsidR="000C48B0" w:rsidRPr="00C95ACA">
        <w:t xml:space="preserve"> and mentoring</w:t>
      </w:r>
      <w:r w:rsidR="00D47027">
        <w:t>,</w:t>
      </w:r>
      <w:r w:rsidR="00DD16B1">
        <w:t xml:space="preserve"> and creation of </w:t>
      </w:r>
      <w:r w:rsidR="009B7647">
        <w:t>career pathway</w:t>
      </w:r>
      <w:r w:rsidR="00DD16B1">
        <w:t xml:space="preserve"> plans</w:t>
      </w:r>
      <w:r w:rsidR="00D47027">
        <w:t>.</w:t>
      </w:r>
    </w:p>
    <w:p w14:paraId="0A723210" w14:textId="3AECB5FD" w:rsidR="00440FE7" w:rsidRDefault="00D47027"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C</w:t>
      </w:r>
      <w:r w:rsidR="00440FE7" w:rsidRPr="0064750D">
        <w:t>ontinued review of capacity constraints</w:t>
      </w:r>
      <w:r w:rsidR="00CC05F3">
        <w:t xml:space="preserve"> and diarised</w:t>
      </w:r>
      <w:r w:rsidR="00440FE7" w:rsidRPr="00063A35">
        <w:t xml:space="preserve"> review</w:t>
      </w:r>
      <w:r w:rsidR="00CC05F3">
        <w:t>s</w:t>
      </w:r>
      <w:r w:rsidR="00440FE7" w:rsidRPr="00063A35">
        <w:t xml:space="preserve"> of contract portfolio and pipeline planning</w:t>
      </w:r>
      <w:r w:rsidR="00440FE7">
        <w:t xml:space="preserve"> with business stakeholders</w:t>
      </w:r>
      <w:r>
        <w:t>.</w:t>
      </w:r>
    </w:p>
    <w:p w14:paraId="76C711F1" w14:textId="77777777" w:rsidR="002C6966" w:rsidRPr="002C6966" w:rsidRDefault="002C6966" w:rsidP="00530A49">
      <w:pPr>
        <w:pStyle w:val="Heading3"/>
        <w:spacing w:after="0" w:line="360" w:lineRule="auto"/>
        <w:ind w:left="720"/>
      </w:pPr>
    </w:p>
    <w:p w14:paraId="6EAEF8CC" w14:textId="38E8C92B" w:rsidR="00171949" w:rsidRDefault="006B38AC" w:rsidP="00530A49">
      <w:pPr>
        <w:pStyle w:val="Heading3"/>
        <w:numPr>
          <w:ilvl w:val="1"/>
          <w:numId w:val="3"/>
        </w:numPr>
        <w:spacing w:after="0" w:line="360" w:lineRule="auto"/>
      </w:pPr>
      <w:r w:rsidRPr="00DB3BD3">
        <w:t xml:space="preserve">Use of </w:t>
      </w:r>
      <w:r w:rsidR="00D47027">
        <w:t>t</w:t>
      </w:r>
      <w:r w:rsidR="00513303" w:rsidRPr="00DB3BD3">
        <w:t xml:space="preserve">echnology </w:t>
      </w:r>
    </w:p>
    <w:p w14:paraId="79C411FD" w14:textId="0FA3344D" w:rsidR="00456AF8" w:rsidRDefault="00456AF8" w:rsidP="00456AF8">
      <w:pPr>
        <w:tabs>
          <w:tab w:val="left" w:pos="720"/>
          <w:tab w:val="left" w:pos="1440"/>
          <w:tab w:val="left" w:pos="2160"/>
          <w:tab w:val="left" w:pos="2880"/>
          <w:tab w:val="left" w:pos="4680"/>
          <w:tab w:val="left" w:pos="5400"/>
          <w:tab w:val="right" w:pos="9000"/>
        </w:tabs>
      </w:pPr>
      <w:r>
        <w:t xml:space="preserve">We will utilise </w:t>
      </w:r>
      <w:r w:rsidR="0093451A">
        <w:t xml:space="preserve">technology to as full an extent possible to </w:t>
      </w:r>
      <w:r w:rsidR="00E812B4">
        <w:t>support procurement activity by:</w:t>
      </w:r>
    </w:p>
    <w:p w14:paraId="40703A1D" w14:textId="29CCA7C0" w:rsidR="004A7A8D" w:rsidRDefault="00D47027"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E</w:t>
      </w:r>
      <w:r w:rsidR="00513303" w:rsidRPr="00063A35">
        <w:t>nsur</w:t>
      </w:r>
      <w:r w:rsidR="00E812B4">
        <w:t>ing</w:t>
      </w:r>
      <w:r w:rsidR="00513303" w:rsidRPr="00063A35">
        <w:t xml:space="preserve"> use of the Public Contracts Scotland website, the Scottish Government’s national procurement portal, for issuing all its tender documents and Quick Quotes to potential suppliers. This provides </w:t>
      </w:r>
      <w:r w:rsidR="00EE0037">
        <w:t>all</w:t>
      </w:r>
      <w:r w:rsidR="00513303" w:rsidRPr="00063A35">
        <w:t xml:space="preserve"> registered </w:t>
      </w:r>
      <w:r w:rsidR="00D9466C">
        <w:t xml:space="preserve">suppliers, including </w:t>
      </w:r>
      <w:r w:rsidR="00EE0037">
        <w:t>small and medium enterprises (</w:t>
      </w:r>
      <w:r w:rsidR="00513303" w:rsidRPr="00063A35">
        <w:t>SMEs</w:t>
      </w:r>
      <w:r w:rsidR="00EE0037">
        <w:t>)</w:t>
      </w:r>
      <w:r w:rsidR="00D9466C">
        <w:t>,</w:t>
      </w:r>
      <w:r w:rsidR="00513303" w:rsidRPr="00063A35">
        <w:t xml:space="preserve"> </w:t>
      </w:r>
      <w:r w:rsidR="006905F1">
        <w:t>contract visibility and</w:t>
      </w:r>
      <w:r w:rsidR="00513303" w:rsidRPr="00063A35">
        <w:t xml:space="preserve"> the opportunity to tender for all appropriate Scottish public sector procurement requirements. </w:t>
      </w:r>
    </w:p>
    <w:p w14:paraId="6B3A9D1B" w14:textId="6D66A2D0" w:rsidR="00F87CD7" w:rsidRDefault="00E520B4"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lastRenderedPageBreak/>
        <w:t>E</w:t>
      </w:r>
      <w:r w:rsidR="00513303" w:rsidRPr="00063A35">
        <w:t>nsur</w:t>
      </w:r>
      <w:r w:rsidR="00E812B4">
        <w:t>ing</w:t>
      </w:r>
      <w:r w:rsidR="00513303" w:rsidRPr="00063A35">
        <w:t xml:space="preserve"> the use of the Agresso Business World system to enable the electronic processing of purchase orders and payment and the Government e-PC card where appropriate</w:t>
      </w:r>
      <w:r>
        <w:t>.</w:t>
      </w:r>
      <w:r w:rsidR="00513303" w:rsidRPr="00063A35">
        <w:t xml:space="preserve"> </w:t>
      </w:r>
    </w:p>
    <w:p w14:paraId="0B1CCEEA" w14:textId="0EDED7CE" w:rsidR="00F87CD7" w:rsidRDefault="00E520B4" w:rsidP="00DB3BD3">
      <w:pPr>
        <w:pStyle w:val="ListParagraph"/>
        <w:numPr>
          <w:ilvl w:val="0"/>
          <w:numId w:val="7"/>
        </w:numPr>
        <w:tabs>
          <w:tab w:val="left" w:pos="720"/>
          <w:tab w:val="left" w:pos="1440"/>
          <w:tab w:val="left" w:pos="2160"/>
          <w:tab w:val="left" w:pos="2880"/>
          <w:tab w:val="left" w:pos="4680"/>
          <w:tab w:val="left" w:pos="5400"/>
          <w:tab w:val="right" w:pos="9000"/>
        </w:tabs>
        <w:ind w:left="1080"/>
      </w:pPr>
      <w:r>
        <w:t>D</w:t>
      </w:r>
      <w:r w:rsidR="00F87CD7">
        <w:t>evelop</w:t>
      </w:r>
      <w:r w:rsidR="00E812B4">
        <w:t>ing</w:t>
      </w:r>
      <w:r w:rsidR="00F87CD7">
        <w:t xml:space="preserve"> us</w:t>
      </w:r>
      <w:r w:rsidR="00183F89">
        <w:t>e</w:t>
      </w:r>
      <w:r w:rsidR="00F87CD7">
        <w:t xml:space="preserve"> of </w:t>
      </w:r>
      <w:r w:rsidR="00117EB5">
        <w:t>data-led</w:t>
      </w:r>
      <w:r w:rsidR="00F87CD7">
        <w:t xml:space="preserve"> </w:t>
      </w:r>
      <w:r w:rsidR="00496528">
        <w:t>management information (MI)</w:t>
      </w:r>
      <w:r w:rsidR="00F87CD7">
        <w:t xml:space="preserve"> for reporting purposes</w:t>
      </w:r>
      <w:r w:rsidR="00183F89">
        <w:t xml:space="preserve"> and creation of dashboards </w:t>
      </w:r>
      <w:r w:rsidR="00F95854">
        <w:t xml:space="preserve">for planning </w:t>
      </w:r>
      <w:r>
        <w:t>and</w:t>
      </w:r>
      <w:r w:rsidR="00F95854">
        <w:t xml:space="preserve"> business engagement</w:t>
      </w:r>
      <w:r>
        <w:t>.</w:t>
      </w:r>
    </w:p>
    <w:p w14:paraId="0726211D" w14:textId="77777777" w:rsidR="00D5661C" w:rsidRPr="00063A35" w:rsidRDefault="00D5661C" w:rsidP="00AB30A0">
      <w:pPr>
        <w:pStyle w:val="ListParagraph"/>
        <w:tabs>
          <w:tab w:val="left" w:pos="720"/>
          <w:tab w:val="left" w:pos="1440"/>
          <w:tab w:val="left" w:pos="2160"/>
          <w:tab w:val="left" w:pos="2880"/>
          <w:tab w:val="left" w:pos="4680"/>
          <w:tab w:val="left" w:pos="5400"/>
          <w:tab w:val="right" w:pos="9000"/>
        </w:tabs>
        <w:ind w:left="1080"/>
      </w:pPr>
    </w:p>
    <w:bookmarkEnd w:id="27"/>
    <w:p w14:paraId="49775F55" w14:textId="0253901E" w:rsidR="004E4776" w:rsidRDefault="00CF3ECA" w:rsidP="004E4776">
      <w:pPr>
        <w:pStyle w:val="Heading3"/>
        <w:numPr>
          <w:ilvl w:val="1"/>
          <w:numId w:val="3"/>
        </w:numPr>
        <w:spacing w:after="0" w:line="360" w:lineRule="auto"/>
      </w:pPr>
      <w:r w:rsidRPr="00B4464F">
        <w:t xml:space="preserve">Sustainable </w:t>
      </w:r>
      <w:r w:rsidR="00257AD5">
        <w:t>p</w:t>
      </w:r>
      <w:r w:rsidRPr="00B4464F">
        <w:t>rocurement</w:t>
      </w:r>
    </w:p>
    <w:p w14:paraId="71E377DC" w14:textId="361093BE" w:rsidR="004E4776" w:rsidRPr="001D7B1A" w:rsidRDefault="00C84E1D" w:rsidP="004E4776">
      <w:pPr>
        <w:tabs>
          <w:tab w:val="left" w:pos="720"/>
          <w:tab w:val="left" w:pos="1440"/>
          <w:tab w:val="left" w:pos="2160"/>
          <w:tab w:val="left" w:pos="2880"/>
          <w:tab w:val="left" w:pos="4680"/>
          <w:tab w:val="left" w:pos="5400"/>
          <w:tab w:val="right" w:pos="9000"/>
        </w:tabs>
        <w:rPr>
          <w:rFonts w:asciiTheme="majorHAnsi" w:hAnsiTheme="majorHAnsi" w:cstheme="majorHAnsi"/>
        </w:rPr>
      </w:pPr>
      <w:r>
        <w:t>Our approach to delivering s</w:t>
      </w:r>
      <w:r w:rsidR="007C3321" w:rsidRPr="007C3321">
        <w:t xml:space="preserve">ustainable </w:t>
      </w:r>
      <w:r>
        <w:t>p</w:t>
      </w:r>
      <w:r w:rsidR="007C3321" w:rsidRPr="007C3321">
        <w:t xml:space="preserve">rocurement </w:t>
      </w:r>
      <w:r w:rsidR="001D7B1A">
        <w:t xml:space="preserve">aligns with </w:t>
      </w:r>
      <w:r w:rsidR="007C3321" w:rsidRPr="007C3321">
        <w:t>the</w:t>
      </w:r>
      <w:r w:rsidR="001D7B1A">
        <w:t xml:space="preserve"> </w:t>
      </w:r>
      <w:hyperlink r:id="rId35" w:history="1">
        <w:r w:rsidR="001D7B1A" w:rsidRPr="00D95247">
          <w:rPr>
            <w:rStyle w:val="Hyperlink"/>
          </w:rPr>
          <w:t>Public Procurement Strategy for Scot</w:t>
        </w:r>
        <w:r w:rsidR="004F46C8" w:rsidRPr="00D95247">
          <w:rPr>
            <w:rStyle w:val="Hyperlink"/>
          </w:rPr>
          <w:t>l</w:t>
        </w:r>
        <w:r w:rsidR="001D7B1A" w:rsidRPr="00D95247">
          <w:rPr>
            <w:rStyle w:val="Hyperlink"/>
          </w:rPr>
          <w:t>and</w:t>
        </w:r>
      </w:hyperlink>
      <w:r w:rsidR="004F46C8">
        <w:t>, where;</w:t>
      </w:r>
      <w:r w:rsidR="001D7B1A">
        <w:t xml:space="preserve"> </w:t>
      </w:r>
    </w:p>
    <w:p w14:paraId="29F2D434" w14:textId="5ACC7CFA" w:rsidR="00A34A93" w:rsidRPr="00174D97" w:rsidRDefault="00257AD5" w:rsidP="00B4464F">
      <w:pPr>
        <w:pStyle w:val="ListParagraph"/>
        <w:numPr>
          <w:ilvl w:val="0"/>
          <w:numId w:val="7"/>
        </w:numPr>
        <w:tabs>
          <w:tab w:val="left" w:pos="720"/>
          <w:tab w:val="left" w:pos="1440"/>
          <w:tab w:val="left" w:pos="2160"/>
          <w:tab w:val="left" w:pos="2880"/>
          <w:tab w:val="left" w:pos="4680"/>
          <w:tab w:val="left" w:pos="5400"/>
          <w:tab w:val="right" w:pos="9000"/>
        </w:tabs>
        <w:ind w:left="1080"/>
      </w:pPr>
      <w:r>
        <w:t>A</w:t>
      </w:r>
      <w:r w:rsidR="00A34A93">
        <w:t xml:space="preserve">ll </w:t>
      </w:r>
      <w:r w:rsidR="00380F23">
        <w:t>g</w:t>
      </w:r>
      <w:r w:rsidR="00A34A93">
        <w:t xml:space="preserve">oods, </w:t>
      </w:r>
      <w:r w:rsidR="00380F23">
        <w:t>s</w:t>
      </w:r>
      <w:r w:rsidR="00A34A93">
        <w:t xml:space="preserve">ervices and </w:t>
      </w:r>
      <w:r w:rsidR="00380F23">
        <w:t>w</w:t>
      </w:r>
      <w:r w:rsidR="00A34A93">
        <w:t>orks</w:t>
      </w:r>
      <w:r w:rsidR="0067381D">
        <w:t xml:space="preserve"> will be procured</w:t>
      </w:r>
      <w:r w:rsidR="00A34A93">
        <w:t xml:space="preserve"> </w:t>
      </w:r>
      <w:r w:rsidR="00380F23">
        <w:t>using the</w:t>
      </w:r>
      <w:r w:rsidR="00A34A93">
        <w:t xml:space="preserve"> high</w:t>
      </w:r>
      <w:r w:rsidR="00F318C9">
        <w:t>est</w:t>
      </w:r>
      <w:r w:rsidR="00A34A93">
        <w:t xml:space="preserve"> ethical standards in a way that achieves value for money (VFM) on a whole life cost basis, generating benefit not only to SEPA, but also with consideration to </w:t>
      </w:r>
      <w:r w:rsidR="00133BEB">
        <w:t>s</w:t>
      </w:r>
      <w:r w:rsidR="00A34A93">
        <w:t xml:space="preserve">ocial, </w:t>
      </w:r>
      <w:r w:rsidR="00133BEB">
        <w:t>e</w:t>
      </w:r>
      <w:r w:rsidR="00A34A93">
        <w:t xml:space="preserve">conomic and </w:t>
      </w:r>
      <w:r w:rsidR="00133BEB">
        <w:t>e</w:t>
      </w:r>
      <w:r w:rsidR="00A34A93">
        <w:t>nvironmental factors.</w:t>
      </w:r>
    </w:p>
    <w:p w14:paraId="4E66A112" w14:textId="77777777" w:rsidR="007F4A13" w:rsidRDefault="007F4A13" w:rsidP="00435922">
      <w:pPr>
        <w:pStyle w:val="ListParagraph"/>
        <w:tabs>
          <w:tab w:val="left" w:pos="720"/>
          <w:tab w:val="left" w:pos="1440"/>
          <w:tab w:val="left" w:pos="2160"/>
          <w:tab w:val="left" w:pos="2880"/>
          <w:tab w:val="left" w:pos="4680"/>
          <w:tab w:val="left" w:pos="5400"/>
          <w:tab w:val="right" w:pos="9000"/>
        </w:tabs>
        <w:spacing w:line="240" w:lineRule="auto"/>
        <w:ind w:left="1224"/>
        <w:jc w:val="both"/>
        <w:rPr>
          <w:color w:val="016574" w:themeColor="accent1"/>
        </w:rPr>
      </w:pPr>
    </w:p>
    <w:p w14:paraId="05CCB977" w14:textId="0E341BE3" w:rsidR="00D00A6C" w:rsidRPr="00B4464F" w:rsidRDefault="00014732" w:rsidP="00530A49">
      <w:pPr>
        <w:pStyle w:val="Heading3"/>
        <w:numPr>
          <w:ilvl w:val="1"/>
          <w:numId w:val="3"/>
        </w:numPr>
        <w:spacing w:after="0" w:line="360" w:lineRule="auto"/>
      </w:pPr>
      <w:r w:rsidRPr="00B4464F">
        <w:t xml:space="preserve">Contract </w:t>
      </w:r>
      <w:r w:rsidR="00133BEB">
        <w:t>and</w:t>
      </w:r>
      <w:r w:rsidRPr="00B4464F">
        <w:t xml:space="preserve"> </w:t>
      </w:r>
      <w:r w:rsidR="00133BEB">
        <w:t>s</w:t>
      </w:r>
      <w:r w:rsidRPr="00B4464F">
        <w:t xml:space="preserve">upplier </w:t>
      </w:r>
      <w:r w:rsidR="00133BEB">
        <w:t>m</w:t>
      </w:r>
      <w:r w:rsidRPr="00B4464F">
        <w:t xml:space="preserve">anagement </w:t>
      </w:r>
      <w:r w:rsidR="007659CA">
        <w:t>(CSM)</w:t>
      </w:r>
    </w:p>
    <w:p w14:paraId="6A9BD4C0" w14:textId="53CE4BC4" w:rsidR="00D37016" w:rsidRDefault="00264872" w:rsidP="00D37016">
      <w:pPr>
        <w:tabs>
          <w:tab w:val="left" w:pos="720"/>
          <w:tab w:val="left" w:pos="1440"/>
          <w:tab w:val="left" w:pos="2160"/>
          <w:tab w:val="left" w:pos="2880"/>
          <w:tab w:val="left" w:pos="4680"/>
          <w:tab w:val="left" w:pos="5400"/>
          <w:tab w:val="right" w:pos="9000"/>
        </w:tabs>
      </w:pPr>
      <w:r>
        <w:t>Procurement will ensure that all parties, in particular key stakeholders, are clear on ownership of CSM activities through:</w:t>
      </w:r>
    </w:p>
    <w:p w14:paraId="7550619B" w14:textId="5FEEA8D7" w:rsidR="00E74358" w:rsidRPr="00DA3E80" w:rsidRDefault="00234BA1" w:rsidP="00B4464F">
      <w:pPr>
        <w:pStyle w:val="ListParagraph"/>
        <w:numPr>
          <w:ilvl w:val="0"/>
          <w:numId w:val="7"/>
        </w:numPr>
        <w:tabs>
          <w:tab w:val="left" w:pos="720"/>
          <w:tab w:val="left" w:pos="1440"/>
          <w:tab w:val="left" w:pos="2160"/>
          <w:tab w:val="left" w:pos="2880"/>
          <w:tab w:val="left" w:pos="4680"/>
          <w:tab w:val="left" w:pos="5400"/>
          <w:tab w:val="right" w:pos="9000"/>
        </w:tabs>
        <w:ind w:left="1080"/>
      </w:pPr>
      <w:r>
        <w:t>The c</w:t>
      </w:r>
      <w:r w:rsidR="00FC3000" w:rsidRPr="00DA3E80">
        <w:t xml:space="preserve">reation of </w:t>
      </w:r>
      <w:r w:rsidR="00C50E13">
        <w:t>a CSM</w:t>
      </w:r>
      <w:r w:rsidR="00FC3000" w:rsidRPr="00DA3E80">
        <w:t xml:space="preserve"> policy and </w:t>
      </w:r>
      <w:r w:rsidR="00C50E13">
        <w:t xml:space="preserve">supporting </w:t>
      </w:r>
      <w:r w:rsidR="00FC3000" w:rsidRPr="00DA3E80">
        <w:t>guidance</w:t>
      </w:r>
      <w:r w:rsidR="00133BEB">
        <w:t>.</w:t>
      </w:r>
    </w:p>
    <w:p w14:paraId="182F36A6" w14:textId="6251C2DB" w:rsidR="00FC3000" w:rsidRPr="00DA3E80" w:rsidRDefault="00234BA1" w:rsidP="00B4464F">
      <w:pPr>
        <w:pStyle w:val="ListParagraph"/>
        <w:numPr>
          <w:ilvl w:val="0"/>
          <w:numId w:val="7"/>
        </w:numPr>
        <w:tabs>
          <w:tab w:val="left" w:pos="720"/>
          <w:tab w:val="left" w:pos="1440"/>
          <w:tab w:val="left" w:pos="2160"/>
          <w:tab w:val="left" w:pos="2880"/>
          <w:tab w:val="left" w:pos="4680"/>
          <w:tab w:val="left" w:pos="5400"/>
          <w:tab w:val="right" w:pos="9000"/>
        </w:tabs>
        <w:ind w:left="1080"/>
      </w:pPr>
      <w:r>
        <w:t>The d</w:t>
      </w:r>
      <w:r w:rsidR="00FC3000" w:rsidRPr="00DA3E80">
        <w:t>evelop</w:t>
      </w:r>
      <w:r w:rsidR="00C50E13">
        <w:t>ment</w:t>
      </w:r>
      <w:r w:rsidR="00FC3000" w:rsidRPr="00DA3E80">
        <w:t xml:space="preserve"> </w:t>
      </w:r>
      <w:r>
        <w:t>of a</w:t>
      </w:r>
      <w:r w:rsidR="00FC3000" w:rsidRPr="00DA3E80">
        <w:t xml:space="preserve"> standardis</w:t>
      </w:r>
      <w:r>
        <w:t>ed</w:t>
      </w:r>
      <w:r w:rsidR="00FC3000" w:rsidRPr="00DA3E80">
        <w:t xml:space="preserve"> </w:t>
      </w:r>
      <w:r w:rsidR="0091002C" w:rsidRPr="00DA3E80">
        <w:t xml:space="preserve">approach to </w:t>
      </w:r>
      <w:r w:rsidR="00B673CA">
        <w:t>CSM</w:t>
      </w:r>
      <w:r w:rsidR="00664B98">
        <w:t>.</w:t>
      </w:r>
      <w:r w:rsidR="0091002C" w:rsidRPr="00DA3E80">
        <w:t xml:space="preserve"> </w:t>
      </w:r>
    </w:p>
    <w:p w14:paraId="5A9857B0" w14:textId="1047283E" w:rsidR="00AC5B04" w:rsidRPr="00DA3E80" w:rsidRDefault="00A303C6" w:rsidP="00B4464F">
      <w:pPr>
        <w:pStyle w:val="ListParagraph"/>
        <w:numPr>
          <w:ilvl w:val="0"/>
          <w:numId w:val="7"/>
        </w:numPr>
        <w:tabs>
          <w:tab w:val="left" w:pos="720"/>
          <w:tab w:val="left" w:pos="1440"/>
          <w:tab w:val="left" w:pos="2160"/>
          <w:tab w:val="left" w:pos="2880"/>
          <w:tab w:val="left" w:pos="4680"/>
          <w:tab w:val="left" w:pos="5400"/>
          <w:tab w:val="right" w:pos="9000"/>
        </w:tabs>
        <w:ind w:left="1080"/>
      </w:pPr>
      <w:r>
        <w:t xml:space="preserve">The </w:t>
      </w:r>
      <w:r w:rsidR="00AC5B04" w:rsidRPr="00DA3E80">
        <w:t>Identif</w:t>
      </w:r>
      <w:r>
        <w:t>ication of</w:t>
      </w:r>
      <w:r w:rsidR="00AC5B04" w:rsidRPr="00DA3E80">
        <w:t xml:space="preserve"> key strategic suppliers</w:t>
      </w:r>
      <w:r w:rsidR="00027D2C">
        <w:t xml:space="preserve"> and </w:t>
      </w:r>
      <w:r>
        <w:t xml:space="preserve">creation of a </w:t>
      </w:r>
      <w:r w:rsidR="00027D2C">
        <w:t>supplier risk portfolio</w:t>
      </w:r>
      <w:r w:rsidR="00AC5B04" w:rsidRPr="00DA3E80">
        <w:t xml:space="preserve"> for reporting </w:t>
      </w:r>
      <w:r w:rsidR="00027D2C">
        <w:t xml:space="preserve">and management </w:t>
      </w:r>
      <w:r w:rsidR="00AC5B04" w:rsidRPr="00DA3E80">
        <w:t>purposes</w:t>
      </w:r>
      <w:r w:rsidR="00664B98">
        <w:t>.</w:t>
      </w:r>
    </w:p>
    <w:p w14:paraId="6157F39C" w14:textId="77777777" w:rsidR="00CF3ECA" w:rsidRPr="00BB6C1D" w:rsidRDefault="00CF3ECA" w:rsidP="00BB6C1D">
      <w:pPr>
        <w:spacing w:before="120" w:after="120" w:line="240" w:lineRule="auto"/>
        <w:jc w:val="both"/>
        <w:rPr>
          <w:rFonts w:cstheme="minorHAnsi"/>
        </w:rPr>
      </w:pPr>
    </w:p>
    <w:p w14:paraId="6C82D8A2" w14:textId="198226CB" w:rsidR="00AF177C" w:rsidRPr="00AF177C" w:rsidRDefault="007C66EB" w:rsidP="00B4464F">
      <w:pPr>
        <w:pStyle w:val="Heading1"/>
        <w:numPr>
          <w:ilvl w:val="0"/>
          <w:numId w:val="3"/>
        </w:numPr>
        <w:ind w:left="709" w:hanging="709"/>
        <w:rPr>
          <w:rFonts w:eastAsia="Times New Roman"/>
        </w:rPr>
      </w:pPr>
      <w:bookmarkStart w:id="28" w:name="_Toc167875519"/>
      <w:bookmarkStart w:id="29" w:name="_Toc156332787"/>
      <w:r>
        <w:rPr>
          <w:rFonts w:eastAsia="Times New Roman"/>
        </w:rPr>
        <w:t xml:space="preserve">Key </w:t>
      </w:r>
      <w:r w:rsidR="00664B98">
        <w:rPr>
          <w:rFonts w:eastAsia="Times New Roman"/>
        </w:rPr>
        <w:t>p</w:t>
      </w:r>
      <w:r>
        <w:rPr>
          <w:rFonts w:eastAsia="Times New Roman"/>
        </w:rPr>
        <w:t>riorities</w:t>
      </w:r>
      <w:bookmarkEnd w:id="28"/>
    </w:p>
    <w:p w14:paraId="03A7D0CD" w14:textId="31170B6B" w:rsidR="007A6A45" w:rsidRDefault="002C2752" w:rsidP="00265798">
      <w:pPr>
        <w:ind w:right="74"/>
        <w:jc w:val="both"/>
      </w:pPr>
      <w:r w:rsidRPr="004C1ADA">
        <w:t>Supportin</w:t>
      </w:r>
      <w:r w:rsidR="000C4889" w:rsidRPr="004C1ADA">
        <w:t>g</w:t>
      </w:r>
      <w:r w:rsidR="00AF177C" w:rsidRPr="004C1ADA">
        <w:t xml:space="preserve"> the </w:t>
      </w:r>
      <w:r w:rsidR="00C226FC" w:rsidRPr="004C1ADA">
        <w:t xml:space="preserve">preceding </w:t>
      </w:r>
      <w:r w:rsidR="00AF177C" w:rsidRPr="004C1ADA">
        <w:t>aims</w:t>
      </w:r>
      <w:r w:rsidR="00664B98">
        <w:t>,</w:t>
      </w:r>
      <w:r w:rsidR="00AF177C" w:rsidRPr="004C1ADA">
        <w:t xml:space="preserve"> the following key priorities </w:t>
      </w:r>
      <w:r w:rsidR="00D53992" w:rsidRPr="004C1ADA">
        <w:t>have been identified and</w:t>
      </w:r>
      <w:r w:rsidR="00AF177C" w:rsidRPr="004C1ADA">
        <w:t xml:space="preserve"> align</w:t>
      </w:r>
      <w:r w:rsidR="00D53992" w:rsidRPr="004C1ADA">
        <w:t>ed</w:t>
      </w:r>
      <w:r w:rsidR="00AF177C" w:rsidRPr="004C1ADA">
        <w:t xml:space="preserve"> </w:t>
      </w:r>
      <w:r w:rsidR="004C1ADA">
        <w:t xml:space="preserve">to support </w:t>
      </w:r>
      <w:r w:rsidR="00C73A01">
        <w:t>our</w:t>
      </w:r>
      <w:r w:rsidR="004C1ADA">
        <w:t xml:space="preserve"> strategic direction</w:t>
      </w:r>
      <w:r w:rsidR="00C73A01">
        <w:t>:</w:t>
      </w:r>
      <w:r w:rsidR="00AF177C">
        <w:t xml:space="preserve"> </w:t>
      </w:r>
    </w:p>
    <w:p w14:paraId="557439F1" w14:textId="77777777" w:rsidR="008D303C" w:rsidRDefault="008D303C" w:rsidP="00AB30A0">
      <w:pPr>
        <w:ind w:right="74"/>
        <w:jc w:val="both"/>
      </w:pPr>
    </w:p>
    <w:p w14:paraId="69A7DEEF" w14:textId="7F7E448E" w:rsidR="00686E1A" w:rsidRDefault="00A86A88" w:rsidP="00B62289">
      <w:pPr>
        <w:pStyle w:val="Heading3"/>
        <w:numPr>
          <w:ilvl w:val="1"/>
          <w:numId w:val="3"/>
        </w:numPr>
        <w:spacing w:after="0" w:line="360" w:lineRule="auto"/>
      </w:pPr>
      <w:r w:rsidRPr="004024EE">
        <w:t>W</w:t>
      </w:r>
      <w:r w:rsidR="00AF177C" w:rsidRPr="004024EE">
        <w:t xml:space="preserve">orking with </w:t>
      </w:r>
      <w:r w:rsidR="00664B98">
        <w:t>s</w:t>
      </w:r>
      <w:r w:rsidR="00AF177C" w:rsidRPr="004024EE">
        <w:t>uppliers (</w:t>
      </w:r>
      <w:r w:rsidR="00664B98">
        <w:t>i</w:t>
      </w:r>
      <w:r w:rsidR="00AF177C" w:rsidRPr="004024EE">
        <w:t xml:space="preserve">ncluding SME’s, </w:t>
      </w:r>
      <w:r w:rsidR="009E729E">
        <w:t>s</w:t>
      </w:r>
      <w:r w:rsidR="00AF177C" w:rsidRPr="004024EE">
        <w:t xml:space="preserve">upported </w:t>
      </w:r>
      <w:r w:rsidR="009E729E">
        <w:t>b</w:t>
      </w:r>
      <w:r w:rsidR="00AF177C" w:rsidRPr="004024EE">
        <w:t xml:space="preserve">usinesses </w:t>
      </w:r>
      <w:r w:rsidR="009E729E">
        <w:t>and</w:t>
      </w:r>
      <w:r w:rsidR="00AF177C" w:rsidRPr="004024EE">
        <w:t xml:space="preserve"> </w:t>
      </w:r>
      <w:r w:rsidR="009E729E">
        <w:t>t</w:t>
      </w:r>
      <w:r w:rsidR="00AF177C" w:rsidRPr="004024EE">
        <w:t xml:space="preserve">hird </w:t>
      </w:r>
      <w:r w:rsidR="009E729E">
        <w:t>s</w:t>
      </w:r>
      <w:r w:rsidR="00AF177C" w:rsidRPr="004024EE">
        <w:t xml:space="preserve">ector) </w:t>
      </w:r>
    </w:p>
    <w:p w14:paraId="1C94159C" w14:textId="0984C377" w:rsidR="00FA4A9E" w:rsidRDefault="00AF177C" w:rsidP="00265798">
      <w:pPr>
        <w:ind w:right="74"/>
      </w:pPr>
      <w:r>
        <w:t xml:space="preserve">To ensure transparency and to assist prospective suppliers, existing suppliers and other stakeholders, </w:t>
      </w:r>
      <w:r w:rsidR="00F80B64">
        <w:t>SEPA</w:t>
      </w:r>
      <w:r>
        <w:t xml:space="preserve"> has</w:t>
      </w:r>
      <w:r w:rsidR="009C3F53">
        <w:t xml:space="preserve"> a</w:t>
      </w:r>
      <w:r>
        <w:t xml:space="preserve"> </w:t>
      </w:r>
      <w:hyperlink r:id="rId36" w:history="1">
        <w:r w:rsidR="0002757F" w:rsidRPr="0083443F">
          <w:rPr>
            <w:rStyle w:val="Hyperlink"/>
          </w:rPr>
          <w:t>dedicated</w:t>
        </w:r>
        <w:r w:rsidR="0083443F" w:rsidRPr="0083443F">
          <w:rPr>
            <w:rStyle w:val="Hyperlink"/>
          </w:rPr>
          <w:t xml:space="preserve"> procurement webpage</w:t>
        </w:r>
      </w:hyperlink>
      <w:r>
        <w:t xml:space="preserve"> where </w:t>
      </w:r>
      <w:r w:rsidR="00F80B64">
        <w:t>SEPA</w:t>
      </w:r>
      <w:r>
        <w:t xml:space="preserve"> publish</w:t>
      </w:r>
      <w:r w:rsidR="007371F4">
        <w:t>es its</w:t>
      </w:r>
      <w:r>
        <w:t xml:space="preserve"> Strategy, </w:t>
      </w:r>
      <w:r w:rsidR="0083178B">
        <w:t>s</w:t>
      </w:r>
      <w:r>
        <w:t xml:space="preserve">tandard </w:t>
      </w:r>
      <w:r w:rsidR="0083178B">
        <w:t>t</w:t>
      </w:r>
      <w:r>
        <w:t xml:space="preserve">erms </w:t>
      </w:r>
      <w:r w:rsidR="0083178B">
        <w:t>and</w:t>
      </w:r>
      <w:r>
        <w:t xml:space="preserve"> </w:t>
      </w:r>
      <w:r w:rsidR="0083178B">
        <w:t>c</w:t>
      </w:r>
      <w:r>
        <w:t xml:space="preserve">onditions and has a link to </w:t>
      </w:r>
      <w:r w:rsidR="00F80B64">
        <w:t>SEPA</w:t>
      </w:r>
      <w:r>
        <w:t xml:space="preserve">’s profile on Public Contracts </w:t>
      </w:r>
      <w:r>
        <w:lastRenderedPageBreak/>
        <w:t>Scotland</w:t>
      </w:r>
      <w:r w:rsidR="0086236A">
        <w:t xml:space="preserve"> for tendering opportunities</w:t>
      </w:r>
      <w:r>
        <w:t xml:space="preserve">. This information will help suppliers to forecast when contracts </w:t>
      </w:r>
      <w:r w:rsidR="0086236A">
        <w:t>may</w:t>
      </w:r>
      <w:r>
        <w:t xml:space="preserve"> be procured and assist them in bidding for </w:t>
      </w:r>
      <w:r w:rsidR="00F80B64">
        <w:t>SEPA</w:t>
      </w:r>
      <w:r>
        <w:t xml:space="preserve"> work. </w:t>
      </w:r>
    </w:p>
    <w:p w14:paraId="36AEFFD9" w14:textId="77777777" w:rsidR="00265798" w:rsidRDefault="00265798" w:rsidP="00265798">
      <w:pPr>
        <w:ind w:right="74"/>
      </w:pPr>
    </w:p>
    <w:p w14:paraId="631D038C" w14:textId="2F64FD40" w:rsidR="002A3F51" w:rsidRDefault="00F80B64" w:rsidP="00265798">
      <w:pPr>
        <w:ind w:right="74"/>
      </w:pPr>
      <w:r>
        <w:t>SEPA</w:t>
      </w:r>
      <w:r w:rsidR="00AF177C">
        <w:t xml:space="preserve">’s </w:t>
      </w:r>
      <w:r w:rsidR="00557DCD">
        <w:t>procurement</w:t>
      </w:r>
      <w:r w:rsidR="00AF177C">
        <w:t xml:space="preserve"> strategies </w:t>
      </w:r>
      <w:r w:rsidR="00F66B11">
        <w:t>will be</w:t>
      </w:r>
      <w:r w:rsidR="00AF177C">
        <w:t xml:space="preserve"> designed to promote SME participation </w:t>
      </w:r>
      <w:r w:rsidR="00557DCD">
        <w:t>with</w:t>
      </w:r>
      <w:r w:rsidR="00AF177C">
        <w:t xml:space="preserve"> tender documentation written in a manner which is easy to understand</w:t>
      </w:r>
      <w:r w:rsidR="00802D8B">
        <w:t>.</w:t>
      </w:r>
      <w:r w:rsidR="00AF177C">
        <w:t xml:space="preserve"> </w:t>
      </w:r>
      <w:r>
        <w:t>SEPA</w:t>
      </w:r>
      <w:r w:rsidR="00AF177C">
        <w:t xml:space="preserve"> will continue to identify and reserve appropriate contracts for </w:t>
      </w:r>
      <w:r w:rsidR="0047665B">
        <w:t>s</w:t>
      </w:r>
      <w:r w:rsidR="00AF177C">
        <w:t xml:space="preserve">upported </w:t>
      </w:r>
      <w:r w:rsidR="0047665B">
        <w:t>b</w:t>
      </w:r>
      <w:r w:rsidR="00AF177C">
        <w:t>usinesses</w:t>
      </w:r>
      <w:r w:rsidR="009369FE">
        <w:t xml:space="preserve"> where applicable</w:t>
      </w:r>
      <w:r w:rsidR="00AF177C">
        <w:t xml:space="preserve">. </w:t>
      </w:r>
    </w:p>
    <w:p w14:paraId="76D8521A" w14:textId="77777777" w:rsidR="006B4950" w:rsidRDefault="006B4950" w:rsidP="00265798">
      <w:pPr>
        <w:ind w:right="74"/>
      </w:pPr>
    </w:p>
    <w:p w14:paraId="696C5BBA" w14:textId="5C68EAE4" w:rsidR="00591816" w:rsidRDefault="00AD09F4" w:rsidP="00265798">
      <w:pPr>
        <w:ind w:right="74"/>
      </w:pPr>
      <w:r>
        <w:t xml:space="preserve">Suppliers will be advised to refer to the </w:t>
      </w:r>
      <w:hyperlink r:id="rId37" w:history="1">
        <w:r w:rsidRPr="00C42D6D">
          <w:rPr>
            <w:rStyle w:val="Hyperlink"/>
          </w:rPr>
          <w:t>Public Procurement Strategy for Scotland</w:t>
        </w:r>
      </w:hyperlink>
      <w:r>
        <w:t xml:space="preserve"> in order to better understand public bodies’ priorit</w:t>
      </w:r>
      <w:r w:rsidR="00254DAD">
        <w:t>ies for their procurement activity</w:t>
      </w:r>
      <w:r w:rsidR="00AF177C">
        <w:t xml:space="preserve">. Further information about this and practical information for suppliers on bidding for public sector contracts can be found </w:t>
      </w:r>
      <w:r w:rsidR="000946F1">
        <w:t>on the</w:t>
      </w:r>
      <w:r w:rsidR="00AF177C">
        <w:t xml:space="preserve"> </w:t>
      </w:r>
      <w:hyperlink r:id="rId38" w:history="1">
        <w:r w:rsidR="000946F1" w:rsidRPr="00135760">
          <w:rPr>
            <w:rStyle w:val="Hyperlink"/>
          </w:rPr>
          <w:t>Scottish Government’s public procurement webpage</w:t>
        </w:r>
      </w:hyperlink>
      <w:r w:rsidR="00AF177C">
        <w:t xml:space="preserve">. </w:t>
      </w:r>
    </w:p>
    <w:p w14:paraId="152B841B" w14:textId="77777777" w:rsidR="00265798" w:rsidRDefault="00265798" w:rsidP="00265798">
      <w:pPr>
        <w:ind w:right="74"/>
      </w:pPr>
    </w:p>
    <w:p w14:paraId="762F8BE1" w14:textId="05F0B7A5" w:rsidR="00C95115" w:rsidRDefault="00610EA9" w:rsidP="00265798">
      <w:pPr>
        <w:ind w:right="74"/>
      </w:pPr>
      <w:r w:rsidRPr="00686E1A">
        <w:t xml:space="preserve">Business benefits </w:t>
      </w:r>
      <w:r w:rsidR="00686E1A" w:rsidRPr="00686E1A">
        <w:t>will be</w:t>
      </w:r>
      <w:r w:rsidRPr="00686E1A">
        <w:t xml:space="preserve"> delivered and realised through effective </w:t>
      </w:r>
      <w:r w:rsidR="00D304E9">
        <w:t>CSM activity</w:t>
      </w:r>
      <w:r w:rsidRPr="00686E1A">
        <w:t xml:space="preserve">. </w:t>
      </w:r>
      <w:r w:rsidR="00C95115">
        <w:t>Procurement</w:t>
      </w:r>
      <w:r w:rsidRPr="00686E1A">
        <w:t xml:space="preserve"> will put in place the enablers to embed effective contract management</w:t>
      </w:r>
      <w:r w:rsidR="00C95115">
        <w:t xml:space="preserve"> through our supporting processes</w:t>
      </w:r>
      <w:r w:rsidRPr="00686E1A">
        <w:t xml:space="preserve">. </w:t>
      </w:r>
    </w:p>
    <w:p w14:paraId="00C5B5A7" w14:textId="77777777" w:rsidR="00C95115" w:rsidRDefault="00C95115" w:rsidP="00265798">
      <w:pPr>
        <w:ind w:right="74"/>
      </w:pPr>
    </w:p>
    <w:p w14:paraId="78A47F3A" w14:textId="1848E260" w:rsidR="00F57DE4" w:rsidRDefault="00F66B11" w:rsidP="00B62289">
      <w:pPr>
        <w:pStyle w:val="Heading3"/>
        <w:numPr>
          <w:ilvl w:val="1"/>
          <w:numId w:val="3"/>
        </w:numPr>
        <w:spacing w:after="0" w:line="360" w:lineRule="auto"/>
      </w:pPr>
      <w:r w:rsidRPr="00265798">
        <w:t>R</w:t>
      </w:r>
      <w:r w:rsidR="00AF177C" w:rsidRPr="00265798">
        <w:t xml:space="preserve">ealising </w:t>
      </w:r>
      <w:r w:rsidR="00F5302C">
        <w:t>s</w:t>
      </w:r>
      <w:r w:rsidR="00AF177C" w:rsidRPr="00265798">
        <w:t xml:space="preserve">ustainability </w:t>
      </w:r>
    </w:p>
    <w:p w14:paraId="3B270B89" w14:textId="059ABC89" w:rsidR="00863A07" w:rsidRDefault="00AF177C" w:rsidP="00265798">
      <w:pPr>
        <w:ind w:right="74"/>
      </w:pPr>
      <w:r>
        <w:t xml:space="preserve">In response to the </w:t>
      </w:r>
      <w:hyperlink r:id="rId39" w:history="1">
        <w:r w:rsidRPr="00DB7306">
          <w:rPr>
            <w:rStyle w:val="Hyperlink"/>
          </w:rPr>
          <w:t>Sustainable Procurement Duty</w:t>
        </w:r>
      </w:hyperlink>
      <w:r w:rsidR="000661AA">
        <w:rPr>
          <w:rStyle w:val="Hyperlink"/>
        </w:rPr>
        <w:t>,</w:t>
      </w:r>
      <w:r>
        <w:t xml:space="preserve"> included in the Procurement Reform (Scotland) Act 2014, </w:t>
      </w:r>
      <w:r w:rsidR="00F80B64">
        <w:t>SEPA</w:t>
      </w:r>
      <w:r>
        <w:t xml:space="preserve"> will adopt </w:t>
      </w:r>
      <w:r w:rsidR="00EC5ECB">
        <w:t xml:space="preserve">a </w:t>
      </w:r>
      <w:r>
        <w:t>best practice</w:t>
      </w:r>
      <w:r w:rsidR="00EC5ECB">
        <w:t xml:space="preserve"> approach</w:t>
      </w:r>
      <w:r w:rsidR="00952133">
        <w:t xml:space="preserve"> to </w:t>
      </w:r>
      <w:r>
        <w:t>securing wider economic, social and environmental benefits</w:t>
      </w:r>
      <w:r w:rsidR="00952133">
        <w:t>;</w:t>
      </w:r>
      <w:r>
        <w:t xml:space="preserve"> including the use of community benefit clauses and encouraging the procurement of options to support the development of a low carbon economy. </w:t>
      </w:r>
    </w:p>
    <w:p w14:paraId="2FBFF314" w14:textId="77777777" w:rsidR="00095666" w:rsidRDefault="00095666" w:rsidP="00265798">
      <w:pPr>
        <w:ind w:right="74"/>
      </w:pPr>
    </w:p>
    <w:p w14:paraId="6400F763" w14:textId="4087F356" w:rsidR="00863A07" w:rsidRDefault="00AF177C" w:rsidP="00265798">
      <w:pPr>
        <w:ind w:right="74"/>
      </w:pPr>
      <w:r>
        <w:t xml:space="preserve">In response to the </w:t>
      </w:r>
      <w:r w:rsidR="00905CF8">
        <w:t>g</w:t>
      </w:r>
      <w:r>
        <w:t xml:space="preserve">lobal </w:t>
      </w:r>
      <w:r w:rsidR="00905CF8">
        <w:t>cl</w:t>
      </w:r>
      <w:r>
        <w:t xml:space="preserve">imate </w:t>
      </w:r>
      <w:r w:rsidR="00905CF8">
        <w:t>e</w:t>
      </w:r>
      <w:r>
        <w:t>mergency</w:t>
      </w:r>
      <w:r w:rsidR="005B1D94">
        <w:t>, as outlined in the Scottish Government’s policy</w:t>
      </w:r>
      <w:r w:rsidR="008C68E9">
        <w:t>,</w:t>
      </w:r>
      <w:r w:rsidR="00905CF8">
        <w:t xml:space="preserve"> </w:t>
      </w:r>
      <w:hyperlink r:id="rId40" w:history="1">
        <w:r w:rsidR="008C68E9" w:rsidRPr="00F0504C">
          <w:rPr>
            <w:rStyle w:val="Hyperlink"/>
          </w:rPr>
          <w:t>‘T</w:t>
        </w:r>
        <w:r w:rsidR="00A10131" w:rsidRPr="00F0504C">
          <w:rPr>
            <w:rStyle w:val="Hyperlink"/>
          </w:rPr>
          <w:t>aking account of climate and circular economy considerations in public procurement: SPPN1/2021</w:t>
        </w:r>
        <w:r w:rsidR="008C68E9" w:rsidRPr="00F0504C">
          <w:rPr>
            <w:rStyle w:val="Hyperlink"/>
          </w:rPr>
          <w:t>,</w:t>
        </w:r>
      </w:hyperlink>
      <w:r w:rsidR="008C68E9">
        <w:t>’</w:t>
      </w:r>
      <w:r>
        <w:t xml:space="preserve"> </w:t>
      </w:r>
      <w:r w:rsidR="005B7E47">
        <w:t>the procurement activity</w:t>
      </w:r>
      <w:r>
        <w:t xml:space="preserve"> will contribute to </w:t>
      </w:r>
      <w:r w:rsidR="00F80B64">
        <w:t>SEPA</w:t>
      </w:r>
      <w:r>
        <w:t xml:space="preserve">’s commitment to reduce indirect emissions of greenhouse gases by: </w:t>
      </w:r>
    </w:p>
    <w:p w14:paraId="333EE634" w14:textId="77777777" w:rsidR="00863A07" w:rsidRDefault="00AF177C" w:rsidP="00095666">
      <w:pPr>
        <w:pStyle w:val="ListParagraph"/>
        <w:numPr>
          <w:ilvl w:val="0"/>
          <w:numId w:val="23"/>
        </w:numPr>
        <w:ind w:right="74"/>
      </w:pPr>
      <w:r>
        <w:t xml:space="preserve">Carrying out a further review of our procurement pipeline to prioritise where to focus resources to reduce emissions, support biodiversity or a circular economy. </w:t>
      </w:r>
    </w:p>
    <w:p w14:paraId="775B7A85" w14:textId="25C98DA8" w:rsidR="00863A07" w:rsidRDefault="00524DF1" w:rsidP="00095666">
      <w:pPr>
        <w:pStyle w:val="ListParagraph"/>
        <w:numPr>
          <w:ilvl w:val="0"/>
          <w:numId w:val="23"/>
        </w:numPr>
        <w:ind w:right="74"/>
      </w:pPr>
      <w:r>
        <w:t>Continuing</w:t>
      </w:r>
      <w:r w:rsidR="00AF177C">
        <w:t xml:space="preserve"> to assess contracts for sustainability opportunities by completing a </w:t>
      </w:r>
      <w:r w:rsidR="00670570">
        <w:t>s</w:t>
      </w:r>
      <w:r w:rsidR="00AF177C">
        <w:t xml:space="preserve">ustainability test for all regulated procurements or others with scope to reduce emissions. </w:t>
      </w:r>
    </w:p>
    <w:p w14:paraId="03E40770" w14:textId="0AEABD0F" w:rsidR="00863A07" w:rsidRDefault="00AF177C" w:rsidP="00095666">
      <w:pPr>
        <w:pStyle w:val="ListParagraph"/>
        <w:numPr>
          <w:ilvl w:val="0"/>
          <w:numId w:val="23"/>
        </w:numPr>
        <w:ind w:right="74"/>
      </w:pPr>
      <w:r>
        <w:t>Driv</w:t>
      </w:r>
      <w:r w:rsidR="00EF0892">
        <w:t>ing</w:t>
      </w:r>
      <w:r>
        <w:t xml:space="preserve"> compliance </w:t>
      </w:r>
      <w:proofErr w:type="gramStart"/>
      <w:r>
        <w:t xml:space="preserve">through </w:t>
      </w:r>
      <w:r w:rsidR="00670570">
        <w:t>the</w:t>
      </w:r>
      <w:r>
        <w:t xml:space="preserve"> use of</w:t>
      </w:r>
      <w:proofErr w:type="gramEnd"/>
      <w:r>
        <w:t xml:space="preserve"> </w:t>
      </w:r>
      <w:r w:rsidR="00670570">
        <w:t>f</w:t>
      </w:r>
      <w:r>
        <w:t xml:space="preserve">rameworks which have already considered climate change. </w:t>
      </w:r>
    </w:p>
    <w:p w14:paraId="65B73E0E" w14:textId="77777777" w:rsidR="00863A07" w:rsidRDefault="00AF177C" w:rsidP="00095666">
      <w:pPr>
        <w:pStyle w:val="ListParagraph"/>
        <w:numPr>
          <w:ilvl w:val="0"/>
          <w:numId w:val="23"/>
        </w:numPr>
        <w:ind w:right="74"/>
      </w:pPr>
      <w:r>
        <w:lastRenderedPageBreak/>
        <w:t xml:space="preserve">Reviewing historical consumption patterns to help prioritise where to best focus resources internally to influence demand management, consumption and associated internal policies and ways of working. </w:t>
      </w:r>
    </w:p>
    <w:p w14:paraId="478AC6FE" w14:textId="77777777" w:rsidR="00095666" w:rsidRDefault="00095666" w:rsidP="009F7250">
      <w:pPr>
        <w:pStyle w:val="ListParagraph"/>
        <w:ind w:right="74"/>
      </w:pPr>
    </w:p>
    <w:p w14:paraId="1F450353" w14:textId="77777777" w:rsidR="00177966" w:rsidRDefault="00AF177C" w:rsidP="00095666">
      <w:pPr>
        <w:ind w:right="74"/>
      </w:pPr>
      <w:r>
        <w:t xml:space="preserve">We will continue to consider the whole life cost and environmental impact of construction projects as appropriate, encouraging recycling and the reuse of materials through waste management plans </w:t>
      </w:r>
      <w:proofErr w:type="gramStart"/>
      <w:r>
        <w:t>in order to</w:t>
      </w:r>
      <w:proofErr w:type="gramEnd"/>
      <w:r>
        <w:t xml:space="preserve"> minimise waste to landfill, look to the use of low energy equipment and environmentally friendly chemicals, and maximise use of materials from sustainable sources in accordance with government buying standards. </w:t>
      </w:r>
    </w:p>
    <w:p w14:paraId="282DC23D" w14:textId="77777777" w:rsidR="00095666" w:rsidRDefault="00095666" w:rsidP="00095666">
      <w:pPr>
        <w:ind w:right="74"/>
      </w:pPr>
    </w:p>
    <w:p w14:paraId="6CDD8123" w14:textId="6F2FFE8B" w:rsidR="00BD6C58" w:rsidRDefault="00AF177C" w:rsidP="00095666">
      <w:pPr>
        <w:ind w:right="74"/>
      </w:pPr>
      <w:r>
        <w:t xml:space="preserve">Further, </w:t>
      </w:r>
      <w:r w:rsidR="00F80B64">
        <w:t>SEPA</w:t>
      </w:r>
      <w:r>
        <w:t xml:space="preserve"> will procure fairly and ethically traded goods and services in accordance with current legislation. </w:t>
      </w:r>
    </w:p>
    <w:p w14:paraId="2EDE1B89" w14:textId="77777777" w:rsidR="00155A32" w:rsidRDefault="00155A32" w:rsidP="00095666">
      <w:pPr>
        <w:ind w:right="74"/>
      </w:pPr>
    </w:p>
    <w:p w14:paraId="150E5618" w14:textId="2597B8EA" w:rsidR="00F57DE4" w:rsidRDefault="00F66B11" w:rsidP="00B62289">
      <w:pPr>
        <w:pStyle w:val="Heading3"/>
        <w:numPr>
          <w:ilvl w:val="1"/>
          <w:numId w:val="3"/>
        </w:numPr>
        <w:spacing w:after="0" w:line="360" w:lineRule="auto"/>
      </w:pPr>
      <w:bookmarkStart w:id="30" w:name="_Ref173774761"/>
      <w:r w:rsidRPr="00155A32">
        <w:t>C</w:t>
      </w:r>
      <w:r w:rsidR="00AF177C" w:rsidRPr="00155A32">
        <w:t xml:space="preserve">ontinuous </w:t>
      </w:r>
      <w:r w:rsidR="00082EEA">
        <w:t>i</w:t>
      </w:r>
      <w:r w:rsidR="00AF177C" w:rsidRPr="00155A32">
        <w:t>mprovement</w:t>
      </w:r>
      <w:bookmarkEnd w:id="30"/>
      <w:r w:rsidR="00AF177C" w:rsidRPr="00155A32">
        <w:t xml:space="preserve"> </w:t>
      </w:r>
    </w:p>
    <w:p w14:paraId="470FB759" w14:textId="7C3D0528" w:rsidR="001043EF" w:rsidRPr="00B07E4E" w:rsidRDefault="006E67CC" w:rsidP="00B07E4E">
      <w:pPr>
        <w:spacing w:after="200" w:line="276" w:lineRule="auto"/>
        <w:ind w:right="72"/>
      </w:pPr>
      <w:r>
        <w:t>There are various sources that</w:t>
      </w:r>
      <w:r w:rsidR="003367B8">
        <w:t xml:space="preserve"> will help</w:t>
      </w:r>
      <w:r>
        <w:t xml:space="preserve"> </w:t>
      </w:r>
      <w:r w:rsidR="00FE1807">
        <w:t>drive continuous improve</w:t>
      </w:r>
      <w:r w:rsidR="00502D42">
        <w:t>ment</w:t>
      </w:r>
      <w:r w:rsidR="00FE1807">
        <w:t xml:space="preserve"> and include:</w:t>
      </w:r>
    </w:p>
    <w:p w14:paraId="33FBBFD3" w14:textId="43BA738B" w:rsidR="00BB6E89" w:rsidRPr="005A0C43" w:rsidRDefault="00FE1807" w:rsidP="008C0E7A">
      <w:pPr>
        <w:pStyle w:val="ListParagraph"/>
        <w:numPr>
          <w:ilvl w:val="2"/>
          <w:numId w:val="24"/>
        </w:numPr>
        <w:spacing w:line="240" w:lineRule="auto"/>
        <w:ind w:left="426" w:right="72" w:hanging="426"/>
        <w:rPr>
          <w:b/>
        </w:rPr>
      </w:pPr>
      <w:r w:rsidRPr="005A0C43">
        <w:rPr>
          <w:b/>
        </w:rPr>
        <w:t>Legislation</w:t>
      </w:r>
    </w:p>
    <w:p w14:paraId="3FF47744" w14:textId="77777777" w:rsidR="00BB6E89" w:rsidRDefault="00BB6E89" w:rsidP="00BB6E89">
      <w:pPr>
        <w:pStyle w:val="ListParagraph"/>
        <w:spacing w:line="240" w:lineRule="auto"/>
        <w:ind w:left="1224" w:right="72"/>
      </w:pPr>
    </w:p>
    <w:p w14:paraId="27015BFF" w14:textId="77777777" w:rsidR="00923644" w:rsidRPr="003737B8" w:rsidRDefault="005A0C43" w:rsidP="00923644">
      <w:pPr>
        <w:pStyle w:val="ListParagraph"/>
        <w:numPr>
          <w:ilvl w:val="0"/>
          <w:numId w:val="31"/>
        </w:numPr>
        <w:ind w:right="74"/>
      </w:pPr>
      <w:r w:rsidRPr="003737B8">
        <w:t>O</w:t>
      </w:r>
      <w:r w:rsidR="00AF177C" w:rsidRPr="003737B8">
        <w:t xml:space="preserve">ur processes </w:t>
      </w:r>
      <w:r w:rsidR="002B2E9F" w:rsidRPr="003737B8">
        <w:t>will be</w:t>
      </w:r>
      <w:r w:rsidR="00AF177C" w:rsidRPr="003737B8">
        <w:t xml:space="preserve"> continuously reviewed to take account of revisions to legislation, Scottish Government Procurement Policy Notes and best practice.</w:t>
      </w:r>
      <w:r w:rsidR="00046380" w:rsidRPr="003737B8">
        <w:t xml:space="preserve"> </w:t>
      </w:r>
    </w:p>
    <w:p w14:paraId="410A6B41" w14:textId="2A29C169" w:rsidR="00837CE7" w:rsidRPr="00923644" w:rsidRDefault="00C57A80" w:rsidP="00923644">
      <w:pPr>
        <w:pStyle w:val="ListParagraph"/>
        <w:numPr>
          <w:ilvl w:val="0"/>
          <w:numId w:val="31"/>
        </w:numPr>
        <w:ind w:right="74"/>
        <w:rPr>
          <w:color w:val="FF0000"/>
        </w:rPr>
      </w:pPr>
      <w:r w:rsidRPr="003737B8">
        <w:t xml:space="preserve">These include </w:t>
      </w:r>
      <w:r w:rsidR="00923644" w:rsidRPr="003737B8">
        <w:t xml:space="preserve">a range of measures aimed at helping </w:t>
      </w:r>
      <w:r w:rsidR="00717849" w:rsidRPr="003737B8">
        <w:t>reduce the risk of human trafficking and exploitation in the performance of public contracts amongst other measures</w:t>
      </w:r>
      <w:r w:rsidR="005C18D7" w:rsidRPr="003737B8">
        <w:t xml:space="preserve"> (</w:t>
      </w:r>
      <w:hyperlink r:id="rId41" w:history="1">
        <w:r w:rsidR="005C18D7" w:rsidRPr="007F4359">
          <w:rPr>
            <w:rStyle w:val="Hyperlink"/>
          </w:rPr>
          <w:t>SPPN 09/2016</w:t>
        </w:r>
      </w:hyperlink>
      <w:r w:rsidR="005C18D7" w:rsidRPr="003737B8">
        <w:t>).</w:t>
      </w:r>
    </w:p>
    <w:p w14:paraId="14B83B39" w14:textId="77777777" w:rsidR="00F554A9" w:rsidRDefault="00F554A9" w:rsidP="00BB6E89">
      <w:pPr>
        <w:pStyle w:val="ListParagraph"/>
        <w:spacing w:line="240" w:lineRule="auto"/>
        <w:ind w:left="1224" w:right="72"/>
      </w:pPr>
    </w:p>
    <w:p w14:paraId="0D9CBA8A" w14:textId="62EF77CE" w:rsidR="00BB6E89" w:rsidRPr="001604E1" w:rsidRDefault="002856E0" w:rsidP="008C0E7A">
      <w:pPr>
        <w:pStyle w:val="ListParagraph"/>
        <w:numPr>
          <w:ilvl w:val="2"/>
          <w:numId w:val="24"/>
        </w:numPr>
        <w:spacing w:line="240" w:lineRule="auto"/>
        <w:ind w:left="426" w:right="72" w:hanging="426"/>
        <w:rPr>
          <w:b/>
        </w:rPr>
      </w:pPr>
      <w:r w:rsidRPr="001604E1">
        <w:rPr>
          <w:b/>
        </w:rPr>
        <w:t xml:space="preserve">Internal </w:t>
      </w:r>
    </w:p>
    <w:p w14:paraId="50ACF987" w14:textId="77777777" w:rsidR="00BB6E89" w:rsidRDefault="00BB6E89" w:rsidP="00BB6E89">
      <w:pPr>
        <w:pStyle w:val="ListParagraph"/>
        <w:spacing w:line="240" w:lineRule="auto"/>
      </w:pPr>
    </w:p>
    <w:p w14:paraId="781767A1" w14:textId="2183A254" w:rsidR="00D213A4" w:rsidRPr="00D213A4" w:rsidRDefault="00F762CF" w:rsidP="008C0E7A">
      <w:pPr>
        <w:pStyle w:val="ListParagraph"/>
        <w:numPr>
          <w:ilvl w:val="0"/>
          <w:numId w:val="25"/>
        </w:numPr>
        <w:ind w:right="74"/>
      </w:pPr>
      <w:r>
        <w:t>A</w:t>
      </w:r>
      <w:r w:rsidR="002B2E9F">
        <w:t xml:space="preserve"> </w:t>
      </w:r>
      <w:r w:rsidR="00F150D5" w:rsidRPr="008C0E7A">
        <w:t>Voice of the Customer</w:t>
      </w:r>
      <w:r w:rsidR="002B2E9F" w:rsidRPr="008C0E7A">
        <w:t xml:space="preserve"> </w:t>
      </w:r>
      <w:r w:rsidR="00F150D5" w:rsidRPr="008C0E7A">
        <w:t xml:space="preserve">will be conducted </w:t>
      </w:r>
      <w:r w:rsidR="00484BBC" w:rsidRPr="008C0E7A">
        <w:t>to capture feedback and drive</w:t>
      </w:r>
      <w:r w:rsidR="00F150D5" w:rsidRPr="008C0E7A">
        <w:t xml:space="preserve"> benefits </w:t>
      </w:r>
      <w:r w:rsidR="00484BBC" w:rsidRPr="008C0E7A">
        <w:t>for</w:t>
      </w:r>
      <w:r w:rsidR="00F150D5" w:rsidRPr="008C0E7A">
        <w:t xml:space="preserve"> customers. </w:t>
      </w:r>
    </w:p>
    <w:p w14:paraId="7F79A4FC" w14:textId="19A85B38" w:rsidR="00F554A9" w:rsidRDefault="00905139" w:rsidP="008C0E7A">
      <w:pPr>
        <w:pStyle w:val="ListParagraph"/>
        <w:numPr>
          <w:ilvl w:val="0"/>
          <w:numId w:val="25"/>
        </w:numPr>
        <w:ind w:right="74"/>
      </w:pPr>
      <w:r>
        <w:t xml:space="preserve">Procurement Officers meet regularly with key business teams including Property, Digital, Human Resources and </w:t>
      </w:r>
      <w:r w:rsidR="00DB30C7">
        <w:t xml:space="preserve">other </w:t>
      </w:r>
      <w:r>
        <w:t>Business Managers.</w:t>
      </w:r>
    </w:p>
    <w:p w14:paraId="231A9D83" w14:textId="24B40EE7" w:rsidR="00BB6E89" w:rsidRDefault="00BB6E89" w:rsidP="008C0E7A">
      <w:pPr>
        <w:pStyle w:val="ListParagraph"/>
        <w:numPr>
          <w:ilvl w:val="0"/>
          <w:numId w:val="25"/>
        </w:numPr>
        <w:ind w:right="74"/>
      </w:pPr>
      <w:r>
        <w:t xml:space="preserve">More regular dialogue with the Chief Executive and Senior Management Team has taken place to raise the profile of Procurement within SEPA. </w:t>
      </w:r>
      <w:r w:rsidR="00D21390">
        <w:br w:type="page"/>
      </w:r>
    </w:p>
    <w:p w14:paraId="537599A1" w14:textId="2D1B0D90" w:rsidR="0068088A" w:rsidRPr="00D21390" w:rsidRDefault="00FA592A" w:rsidP="008C0E7A">
      <w:pPr>
        <w:pStyle w:val="ListParagraph"/>
        <w:numPr>
          <w:ilvl w:val="2"/>
          <w:numId w:val="24"/>
        </w:numPr>
        <w:spacing w:line="240" w:lineRule="auto"/>
        <w:ind w:left="426" w:right="72" w:hanging="426"/>
        <w:rPr>
          <w:b/>
        </w:rPr>
      </w:pPr>
      <w:r w:rsidRPr="00D21390">
        <w:rPr>
          <w:b/>
        </w:rPr>
        <w:lastRenderedPageBreak/>
        <w:t xml:space="preserve">Government </w:t>
      </w:r>
      <w:r w:rsidR="00D21390">
        <w:rPr>
          <w:b/>
          <w:bCs/>
        </w:rPr>
        <w:t>i</w:t>
      </w:r>
      <w:r w:rsidRPr="00D21390">
        <w:rPr>
          <w:b/>
          <w:bCs/>
        </w:rPr>
        <w:t>nitiatives</w:t>
      </w:r>
    </w:p>
    <w:p w14:paraId="770AC2DF" w14:textId="77777777" w:rsidR="0068088A" w:rsidRDefault="0068088A" w:rsidP="00D12964">
      <w:pPr>
        <w:pStyle w:val="ListParagraph"/>
        <w:tabs>
          <w:tab w:val="left" w:pos="993"/>
        </w:tabs>
        <w:spacing w:line="240" w:lineRule="auto"/>
        <w:ind w:left="1728" w:right="72"/>
        <w:jc w:val="both"/>
      </w:pPr>
    </w:p>
    <w:p w14:paraId="58DD7CA4" w14:textId="05465D0D" w:rsidR="0068088A" w:rsidRDefault="001D07E0" w:rsidP="00C4584E">
      <w:pPr>
        <w:pStyle w:val="ListParagraph"/>
        <w:ind w:left="426" w:right="74"/>
      </w:pPr>
      <w:r w:rsidRPr="00BF10D3">
        <w:t xml:space="preserve">The creation of this strategy is a key component of the </w:t>
      </w:r>
      <w:r w:rsidR="00327F36">
        <w:t>Procurement Commercial Improvement Programme (</w:t>
      </w:r>
      <w:hyperlink r:id="rId42" w:history="1">
        <w:r w:rsidRPr="00C4584E">
          <w:t>PCIP</w:t>
        </w:r>
      </w:hyperlink>
      <w:r w:rsidR="00327F36">
        <w:t>)</w:t>
      </w:r>
      <w:r w:rsidRPr="00BF10D3">
        <w:t>. SEPA Procurement is scheduled for its first review under the programme in August 2024. An improvement plan for monitoring purposes will be created on the back of the review.</w:t>
      </w:r>
    </w:p>
    <w:p w14:paraId="752452B8" w14:textId="77777777" w:rsidR="00BE2F62" w:rsidRDefault="00BE2F62" w:rsidP="00C4584E">
      <w:pPr>
        <w:pStyle w:val="ListParagraph"/>
        <w:ind w:left="426" w:right="74"/>
      </w:pPr>
    </w:p>
    <w:p w14:paraId="044F8E71" w14:textId="363CDF6E" w:rsidR="0068088A" w:rsidRPr="00AC091A" w:rsidRDefault="00C7579C" w:rsidP="00C4584E">
      <w:pPr>
        <w:pStyle w:val="ListParagraph"/>
        <w:numPr>
          <w:ilvl w:val="2"/>
          <w:numId w:val="24"/>
        </w:numPr>
        <w:spacing w:line="240" w:lineRule="auto"/>
        <w:ind w:left="426" w:right="72" w:hanging="426"/>
        <w:rPr>
          <w:b/>
        </w:rPr>
      </w:pPr>
      <w:r w:rsidRPr="00AC091A">
        <w:rPr>
          <w:b/>
        </w:rPr>
        <w:t xml:space="preserve">Learning </w:t>
      </w:r>
      <w:r w:rsidR="002465E2">
        <w:rPr>
          <w:b/>
          <w:bCs/>
        </w:rPr>
        <w:t>and development</w:t>
      </w:r>
    </w:p>
    <w:p w14:paraId="464A32C0" w14:textId="77777777" w:rsidR="0068088A" w:rsidRDefault="0068088A" w:rsidP="00D12964">
      <w:pPr>
        <w:pStyle w:val="ListParagraph"/>
        <w:tabs>
          <w:tab w:val="left" w:pos="993"/>
        </w:tabs>
        <w:spacing w:line="240" w:lineRule="auto"/>
        <w:ind w:left="1728" w:right="72"/>
        <w:jc w:val="both"/>
      </w:pPr>
    </w:p>
    <w:p w14:paraId="6D240AB9" w14:textId="681A1662" w:rsidR="0068088A" w:rsidRDefault="00A02AF3" w:rsidP="00C4584E">
      <w:pPr>
        <w:pStyle w:val="ListParagraph"/>
        <w:ind w:left="426" w:right="74"/>
      </w:pPr>
      <w:r w:rsidRPr="00130D86">
        <w:t xml:space="preserve">Achieving </w:t>
      </w:r>
      <w:r w:rsidR="004B2D78">
        <w:t>p</w:t>
      </w:r>
      <w:r w:rsidRPr="00130D86">
        <w:t xml:space="preserve">rofessional </w:t>
      </w:r>
      <w:r w:rsidR="004B2D78">
        <w:t>e</w:t>
      </w:r>
      <w:r w:rsidRPr="00130D86">
        <w:t>xcellence</w:t>
      </w:r>
      <w:r w:rsidR="00A12856" w:rsidRPr="00130D86">
        <w:t xml:space="preserve"> </w:t>
      </w:r>
      <w:r w:rsidR="00130D86" w:rsidRPr="00130D86">
        <w:t>will be addressed by</w:t>
      </w:r>
      <w:r w:rsidRPr="00130D86">
        <w:t xml:space="preserve"> develop</w:t>
      </w:r>
      <w:r w:rsidR="00130D86" w:rsidRPr="00130D86">
        <w:t>ing</w:t>
      </w:r>
      <w:r w:rsidRPr="00130D86">
        <w:t xml:space="preserve"> our procurement professionals through </w:t>
      </w:r>
      <w:r w:rsidR="00AC77D2">
        <w:t>a combination of w</w:t>
      </w:r>
      <w:r w:rsidRPr="00130D86">
        <w:t xml:space="preserve">ork </w:t>
      </w:r>
      <w:r w:rsidR="00AC77D2">
        <w:t>b</w:t>
      </w:r>
      <w:r w:rsidRPr="00130D86">
        <w:t xml:space="preserve">ased </w:t>
      </w:r>
      <w:r w:rsidR="00AC77D2">
        <w:t>l</w:t>
      </w:r>
      <w:r w:rsidRPr="00130D86">
        <w:t>earning and professional qualifications. Members of the procurement team will</w:t>
      </w:r>
      <w:r w:rsidR="00226A00">
        <w:t xml:space="preserve">, as required, </w:t>
      </w:r>
      <w:r w:rsidRPr="00130D86">
        <w:t xml:space="preserve">complete the National Procurement Competency Framework </w:t>
      </w:r>
      <w:r w:rsidR="00AC77D2">
        <w:t>to help</w:t>
      </w:r>
      <w:r w:rsidRPr="00130D86">
        <w:t xml:space="preserve"> identify</w:t>
      </w:r>
      <w:r w:rsidR="00AC77D2">
        <w:t xml:space="preserve"> training and </w:t>
      </w:r>
      <w:r w:rsidRPr="00130D86">
        <w:t>development opportunities</w:t>
      </w:r>
      <w:r w:rsidR="00226A00">
        <w:t xml:space="preserve"> and supporting the development of </w:t>
      </w:r>
      <w:r w:rsidR="00906597">
        <w:t>SEPAs Career Classification Framework</w:t>
      </w:r>
      <w:r w:rsidRPr="00130D86">
        <w:t>.</w:t>
      </w:r>
    </w:p>
    <w:p w14:paraId="435427A0" w14:textId="77777777" w:rsidR="0068088A" w:rsidRDefault="0068088A" w:rsidP="0068088A">
      <w:pPr>
        <w:pStyle w:val="ListParagraph"/>
        <w:tabs>
          <w:tab w:val="left" w:pos="993"/>
        </w:tabs>
        <w:spacing w:line="240" w:lineRule="auto"/>
        <w:ind w:left="1728" w:right="72"/>
        <w:jc w:val="both"/>
      </w:pPr>
    </w:p>
    <w:p w14:paraId="4EDADC40" w14:textId="2760316D" w:rsidR="00A02AF3" w:rsidRPr="00AC091A" w:rsidRDefault="0068088A" w:rsidP="00C4584E">
      <w:pPr>
        <w:pStyle w:val="ListParagraph"/>
        <w:numPr>
          <w:ilvl w:val="2"/>
          <w:numId w:val="24"/>
        </w:numPr>
        <w:spacing w:line="240" w:lineRule="auto"/>
        <w:ind w:left="426" w:right="72" w:hanging="426"/>
        <w:rPr>
          <w:b/>
        </w:rPr>
      </w:pPr>
      <w:r w:rsidRPr="00AC091A">
        <w:rPr>
          <w:b/>
        </w:rPr>
        <w:t>Collaboration</w:t>
      </w:r>
    </w:p>
    <w:p w14:paraId="3E25C0C2" w14:textId="77777777" w:rsidR="00DD344C" w:rsidRDefault="00DD344C" w:rsidP="00C72D42">
      <w:pPr>
        <w:spacing w:line="240" w:lineRule="auto"/>
        <w:ind w:right="72"/>
      </w:pPr>
    </w:p>
    <w:p w14:paraId="08CED02D" w14:textId="77777777" w:rsidR="0098270B" w:rsidRDefault="00F80B64" w:rsidP="00C4584E">
      <w:pPr>
        <w:pStyle w:val="ListParagraph"/>
        <w:numPr>
          <w:ilvl w:val="0"/>
          <w:numId w:val="25"/>
        </w:numPr>
        <w:ind w:right="74"/>
      </w:pPr>
      <w:r w:rsidRPr="00C4584E">
        <w:t>SEPA</w:t>
      </w:r>
      <w:r w:rsidR="00AF177C" w:rsidRPr="00C4584E">
        <w:t xml:space="preserve"> Procurement work closely with the </w:t>
      </w:r>
      <w:r w:rsidR="00301C7E" w:rsidRPr="00C4584E">
        <w:t xml:space="preserve">Scottish Public Procurement Group (PPG) </w:t>
      </w:r>
      <w:r w:rsidR="007E3B91">
        <w:rPr>
          <w:rStyle w:val="FootnoteReference"/>
        </w:rPr>
        <w:footnoteReference w:id="8"/>
      </w:r>
      <w:r w:rsidR="00AF177C" w:rsidRPr="00C4584E">
        <w:t xml:space="preserve">and other public sector organisations. </w:t>
      </w:r>
    </w:p>
    <w:p w14:paraId="11E456D4" w14:textId="109761D1" w:rsidR="00A674DF" w:rsidRDefault="00F80B64" w:rsidP="00C4584E">
      <w:pPr>
        <w:pStyle w:val="ListParagraph"/>
        <w:numPr>
          <w:ilvl w:val="0"/>
          <w:numId w:val="25"/>
        </w:numPr>
        <w:ind w:right="74"/>
      </w:pPr>
      <w:r w:rsidRPr="00C4584E">
        <w:t>SEPA</w:t>
      </w:r>
      <w:r w:rsidR="00AF177C" w:rsidRPr="00C4584E">
        <w:t xml:space="preserve"> collaborate with other public sector organisations through membership of a multi-agency Cluster Group which facilitates the sharing of knowledge, encourages partnership working and assists the group so that the public sector can deliver value for money, pool resources and expertise and better meet the needs of customers. </w:t>
      </w:r>
    </w:p>
    <w:p w14:paraId="25137B32" w14:textId="5DE724F7" w:rsidR="002C0D7E" w:rsidRPr="00C4584E" w:rsidRDefault="002C0D7E" w:rsidP="00C4584E">
      <w:pPr>
        <w:pStyle w:val="ListParagraph"/>
        <w:numPr>
          <w:ilvl w:val="0"/>
          <w:numId w:val="25"/>
        </w:numPr>
        <w:ind w:right="74"/>
      </w:pPr>
      <w:r w:rsidRPr="00C4584E">
        <w:t xml:space="preserve">SEPA Procurement will continue to support wider government initiatives such as the </w:t>
      </w:r>
      <w:hyperlink r:id="rId43" w:history="1">
        <w:r w:rsidRPr="00C4584E">
          <w:t xml:space="preserve">Environment </w:t>
        </w:r>
        <w:r w:rsidR="005A1141">
          <w:t>and</w:t>
        </w:r>
        <w:r w:rsidRPr="00C4584E">
          <w:t xml:space="preserve"> Economy Leaders Group (EELG)</w:t>
        </w:r>
        <w:r w:rsidR="00FA6314">
          <w:rPr>
            <w:rStyle w:val="FootnoteReference"/>
          </w:rPr>
          <w:footnoteReference w:id="9"/>
        </w:r>
      </w:hyperlink>
      <w:r w:rsidR="00F036D4">
        <w:t>.</w:t>
      </w:r>
      <w:r w:rsidRPr="00C4584E">
        <w:t xml:space="preserve"> </w:t>
      </w:r>
    </w:p>
    <w:p w14:paraId="714A2962" w14:textId="4BD99693" w:rsidR="005E0C4F" w:rsidRDefault="00F80B64" w:rsidP="00C4584E">
      <w:pPr>
        <w:pStyle w:val="ListParagraph"/>
        <w:numPr>
          <w:ilvl w:val="0"/>
          <w:numId w:val="25"/>
        </w:numPr>
        <w:ind w:right="74"/>
      </w:pPr>
      <w:r w:rsidRPr="00C4584E">
        <w:t>SEPA</w:t>
      </w:r>
      <w:r w:rsidR="007D3466" w:rsidRPr="00C4584E">
        <w:t xml:space="preserve"> Procurement</w:t>
      </w:r>
      <w:r w:rsidR="00AF177C" w:rsidRPr="00C4584E">
        <w:t xml:space="preserve"> will continue to participate in the use of Scottish Procurement collaborative frameworks as a representative of public sector organisations. </w:t>
      </w:r>
    </w:p>
    <w:p w14:paraId="4B862A34" w14:textId="77777777" w:rsidR="00E15291" w:rsidRPr="00C4584E" w:rsidRDefault="00E15291" w:rsidP="00E15291">
      <w:pPr>
        <w:pStyle w:val="ListParagraph"/>
        <w:ind w:left="1146" w:right="74"/>
      </w:pPr>
    </w:p>
    <w:p w14:paraId="49CE9645" w14:textId="3873238D" w:rsidR="00F57DE4" w:rsidRDefault="00AF177C" w:rsidP="00B62289">
      <w:pPr>
        <w:pStyle w:val="Heading3"/>
        <w:numPr>
          <w:ilvl w:val="1"/>
          <w:numId w:val="3"/>
        </w:numPr>
        <w:spacing w:after="0" w:line="360" w:lineRule="auto"/>
      </w:pPr>
      <w:r w:rsidRPr="008D4B4D">
        <w:lastRenderedPageBreak/>
        <w:t xml:space="preserve">Information </w:t>
      </w:r>
      <w:r w:rsidR="00847016">
        <w:t>g</w:t>
      </w:r>
      <w:r w:rsidRPr="008D4B4D">
        <w:t>overnance</w:t>
      </w:r>
    </w:p>
    <w:p w14:paraId="1EFAC561" w14:textId="3C58D3B0" w:rsidR="00DD6B76" w:rsidRDefault="00AF177C" w:rsidP="00EB60F9">
      <w:pPr>
        <w:pStyle w:val="ListParagraph"/>
        <w:ind w:left="0" w:right="74"/>
      </w:pPr>
      <w:r w:rsidRPr="00064999">
        <w:t>We will continue to ensure that all procurements comply with existing information governance legislation and internal policies, including the requirements of the General Data Protection</w:t>
      </w:r>
      <w:r w:rsidR="00771ADB">
        <w:t xml:space="preserve"> </w:t>
      </w:r>
      <w:r w:rsidRPr="00064999">
        <w:t>Regulation (GDPR)</w:t>
      </w:r>
      <w:r w:rsidR="00C16786">
        <w:t xml:space="preserve"> </w:t>
      </w:r>
      <w:r w:rsidR="008455AA" w:rsidRPr="003737B8">
        <w:t>and</w:t>
      </w:r>
      <w:r w:rsidR="008455AA" w:rsidRPr="008455AA">
        <w:rPr>
          <w:color w:val="FF0000"/>
        </w:rPr>
        <w:t xml:space="preserve"> </w:t>
      </w:r>
      <w:hyperlink r:id="rId44" w:history="1">
        <w:r w:rsidR="008455AA" w:rsidRPr="00DF415E">
          <w:rPr>
            <w:rStyle w:val="Hyperlink"/>
          </w:rPr>
          <w:t>SEPA’s Data Protection Policy</w:t>
        </w:r>
      </w:hyperlink>
      <w:r w:rsidR="008455AA">
        <w:t>.</w:t>
      </w:r>
    </w:p>
    <w:p w14:paraId="7C9E231A" w14:textId="51D2CC77" w:rsidR="00064999" w:rsidRPr="00064999" w:rsidRDefault="00AF177C" w:rsidP="00EB60F9">
      <w:pPr>
        <w:pStyle w:val="ListParagraph"/>
        <w:ind w:left="0" w:right="74"/>
      </w:pPr>
      <w:r w:rsidRPr="00064999">
        <w:t xml:space="preserve"> </w:t>
      </w:r>
    </w:p>
    <w:p w14:paraId="0CDB5EE7" w14:textId="5FDE0537" w:rsidR="00AF177C" w:rsidRPr="00064999" w:rsidRDefault="00AF177C" w:rsidP="00EB60F9">
      <w:pPr>
        <w:pStyle w:val="ListParagraph"/>
        <w:ind w:left="0" w:right="74"/>
      </w:pPr>
      <w:r w:rsidRPr="00064999">
        <w:t xml:space="preserve">Following the demise of the Cyber Security Procurement Support Tool (CSPST) we are currently </w:t>
      </w:r>
      <w:r w:rsidR="008F09BA" w:rsidRPr="00064999">
        <w:t xml:space="preserve">in discussion as part of wider Cluster Group activity and </w:t>
      </w:r>
      <w:r w:rsidRPr="00064999">
        <w:t>considering other options available</w:t>
      </w:r>
      <w:r w:rsidR="00962602">
        <w:t>.  O</w:t>
      </w:r>
      <w:r w:rsidRPr="00064999">
        <w:t xml:space="preserve">nce agreed </w:t>
      </w:r>
      <w:r w:rsidR="008F09BA" w:rsidRPr="00064999">
        <w:t xml:space="preserve">these </w:t>
      </w:r>
      <w:r w:rsidRPr="00064999">
        <w:t>will</w:t>
      </w:r>
      <w:r w:rsidR="008F09BA" w:rsidRPr="00064999">
        <w:t xml:space="preserve"> be</w:t>
      </w:r>
      <w:r w:rsidRPr="00064999">
        <w:t xml:space="preserve"> embed</w:t>
      </w:r>
      <w:r w:rsidR="008F09BA" w:rsidRPr="00064999">
        <w:t>ded</w:t>
      </w:r>
      <w:r w:rsidRPr="00064999">
        <w:t xml:space="preserve"> into our procurement process, to improve the cyber security and resilience of our </w:t>
      </w:r>
      <w:r w:rsidR="00962602">
        <w:t>s</w:t>
      </w:r>
      <w:r w:rsidRPr="00064999">
        <w:t>uppliers.</w:t>
      </w:r>
    </w:p>
    <w:p w14:paraId="115CC3EC" w14:textId="77777777" w:rsidR="0052634A" w:rsidRPr="00BA4A08" w:rsidRDefault="0052634A" w:rsidP="0052634A">
      <w:pPr>
        <w:pStyle w:val="ListParagraph"/>
        <w:spacing w:line="240" w:lineRule="auto"/>
        <w:ind w:left="1440" w:right="72"/>
        <w:rPr>
          <w:rFonts w:cs="Calibri"/>
        </w:rPr>
      </w:pPr>
    </w:p>
    <w:p w14:paraId="6456DD8A" w14:textId="1C975C9E" w:rsidR="007C66EB" w:rsidRDefault="007C66EB" w:rsidP="00E46453">
      <w:pPr>
        <w:pStyle w:val="Heading1"/>
        <w:numPr>
          <w:ilvl w:val="0"/>
          <w:numId w:val="3"/>
        </w:numPr>
        <w:ind w:left="709" w:hanging="709"/>
        <w:rPr>
          <w:rFonts w:eastAsia="Times New Roman"/>
        </w:rPr>
      </w:pPr>
      <w:bookmarkStart w:id="31" w:name="_Toc167875520"/>
      <w:r>
        <w:rPr>
          <w:rFonts w:eastAsia="Times New Roman"/>
        </w:rPr>
        <w:t xml:space="preserve">SEPA’s Procurement Policy </w:t>
      </w:r>
      <w:r w:rsidR="00962602">
        <w:rPr>
          <w:rFonts w:eastAsia="Times New Roman"/>
        </w:rPr>
        <w:t>and</w:t>
      </w:r>
      <w:r>
        <w:rPr>
          <w:rFonts w:eastAsia="Times New Roman"/>
        </w:rPr>
        <w:t xml:space="preserve"> </w:t>
      </w:r>
      <w:r w:rsidR="00962602">
        <w:rPr>
          <w:rFonts w:eastAsia="Times New Roman"/>
        </w:rPr>
        <w:t>p</w:t>
      </w:r>
      <w:r>
        <w:rPr>
          <w:rFonts w:eastAsia="Times New Roman"/>
        </w:rPr>
        <w:t>rocedures</w:t>
      </w:r>
      <w:bookmarkEnd w:id="31"/>
    </w:p>
    <w:p w14:paraId="602694D3" w14:textId="23C3D9AF" w:rsidR="00610CC2" w:rsidRDefault="006A0851" w:rsidP="00E46453">
      <w:pPr>
        <w:ind w:right="74"/>
      </w:pPr>
      <w:r>
        <w:t>SEPA</w:t>
      </w:r>
      <w:r w:rsidR="00F00CF1">
        <w:t>’s</w:t>
      </w:r>
      <w:r w:rsidR="0008145A">
        <w:t xml:space="preserve"> </w:t>
      </w:r>
      <w:r w:rsidR="00DD5F14">
        <w:t>P</w:t>
      </w:r>
      <w:r w:rsidR="0008145A">
        <w:t xml:space="preserve">rocurement </w:t>
      </w:r>
      <w:r w:rsidR="00DD5F14">
        <w:t>P</w:t>
      </w:r>
      <w:r w:rsidR="0008145A">
        <w:t xml:space="preserve">olicy follows the </w:t>
      </w:r>
      <w:r w:rsidR="00F4533E">
        <w:t xml:space="preserve">guidance </w:t>
      </w:r>
      <w:r w:rsidR="00DD5F14">
        <w:t>of</w:t>
      </w:r>
      <w:r w:rsidR="00F4533E">
        <w:t xml:space="preserve"> </w:t>
      </w:r>
      <w:r w:rsidR="009A065F">
        <w:t xml:space="preserve">and is aligned to the </w:t>
      </w:r>
      <w:hyperlink r:id="rId45" w:history="1">
        <w:r w:rsidR="009A065F" w:rsidRPr="009070FE">
          <w:rPr>
            <w:rStyle w:val="Hyperlink"/>
          </w:rPr>
          <w:t xml:space="preserve">Scottish </w:t>
        </w:r>
        <w:r w:rsidR="00DD5F14">
          <w:rPr>
            <w:rStyle w:val="Hyperlink"/>
          </w:rPr>
          <w:t>P</w:t>
        </w:r>
        <w:r w:rsidR="009A065F" w:rsidRPr="009070FE">
          <w:rPr>
            <w:rStyle w:val="Hyperlink"/>
          </w:rPr>
          <w:t xml:space="preserve">rocurement: </w:t>
        </w:r>
        <w:r w:rsidR="00DD5F14">
          <w:rPr>
            <w:rStyle w:val="Hyperlink"/>
          </w:rPr>
          <w:t>P</w:t>
        </w:r>
        <w:r w:rsidR="009A065F" w:rsidRPr="009070FE">
          <w:rPr>
            <w:rStyle w:val="Hyperlink"/>
          </w:rPr>
          <w:t xml:space="preserve">olicy </w:t>
        </w:r>
        <w:r w:rsidR="00DD5F14">
          <w:rPr>
            <w:rStyle w:val="Hyperlink"/>
          </w:rPr>
          <w:t>M</w:t>
        </w:r>
        <w:r w:rsidR="009A065F" w:rsidRPr="009070FE">
          <w:rPr>
            <w:rStyle w:val="Hyperlink"/>
          </w:rPr>
          <w:t>anual</w:t>
        </w:r>
      </w:hyperlink>
      <w:r w:rsidR="009A065F">
        <w:t xml:space="preserve">. </w:t>
      </w:r>
      <w:r w:rsidR="0006698C">
        <w:t>In addition, the Procurement Reform (Scotland) Act 2014, section 15, requires a</w:t>
      </w:r>
      <w:r w:rsidR="00E32F5F">
        <w:t>ll contracting authorities with a spend greater that £5m annually</w:t>
      </w:r>
      <w:r w:rsidR="005132AB">
        <w:t xml:space="preserve"> to include a statement of the authority’s general policy on a range of </w:t>
      </w:r>
      <w:r w:rsidR="006E486B">
        <w:t xml:space="preserve">government initiatives as part of the strategy. </w:t>
      </w:r>
      <w:r w:rsidR="009D0984">
        <w:t>As such, section 15 requirements have been built into</w:t>
      </w:r>
      <w:r w:rsidR="00E32F5F">
        <w:t xml:space="preserve"> </w:t>
      </w:r>
      <w:r w:rsidR="009A065F">
        <w:t>SEPA’s</w:t>
      </w:r>
      <w:r w:rsidR="00F00CF1">
        <w:t xml:space="preserve"> Procurement Policy </w:t>
      </w:r>
      <w:r w:rsidR="009D0984">
        <w:t>(</w:t>
      </w:r>
      <w:r w:rsidR="00F00CF1">
        <w:t xml:space="preserve">revised in </w:t>
      </w:r>
      <w:r w:rsidR="00610CC2">
        <w:t>May</w:t>
      </w:r>
      <w:r w:rsidR="00F00CF1">
        <w:t xml:space="preserve"> 2024</w:t>
      </w:r>
      <w:r w:rsidR="009D0984">
        <w:t>)</w:t>
      </w:r>
      <w:r w:rsidR="00F00CF1">
        <w:t xml:space="preserve"> to </w:t>
      </w:r>
      <w:r w:rsidR="00CB46FB">
        <w:t>bring it up to date with</w:t>
      </w:r>
      <w:r w:rsidR="00F00CF1">
        <w:t xml:space="preserve"> the Scottish Government Policy. </w:t>
      </w:r>
    </w:p>
    <w:p w14:paraId="118E1555" w14:textId="77777777" w:rsidR="00E46453" w:rsidRDefault="00E46453" w:rsidP="00E46453">
      <w:pPr>
        <w:ind w:right="74"/>
      </w:pPr>
    </w:p>
    <w:p w14:paraId="0B282B5F" w14:textId="1753580F" w:rsidR="00F73850" w:rsidRDefault="00F00CF1" w:rsidP="00184496">
      <w:pPr>
        <w:ind w:right="74"/>
      </w:pPr>
      <w:r>
        <w:t>The</w:t>
      </w:r>
      <w:r w:rsidR="00B215CC">
        <w:t xml:space="preserve"> </w:t>
      </w:r>
      <w:r w:rsidR="00A2797F">
        <w:t>P</w:t>
      </w:r>
      <w:r w:rsidR="00B215CC">
        <w:t xml:space="preserve">rocurement </w:t>
      </w:r>
      <w:r w:rsidR="00A2797F">
        <w:t>T</w:t>
      </w:r>
      <w:r w:rsidR="00B215CC">
        <w:t>eam</w:t>
      </w:r>
      <w:r>
        <w:t xml:space="preserve"> </w:t>
      </w:r>
      <w:r w:rsidR="00905E40">
        <w:t>promote</w:t>
      </w:r>
      <w:r>
        <w:t xml:space="preserve"> the highest standard of integrity in all business relationships by rejecting any business practice which might reasonably be deemed improper, never using authority or position for </w:t>
      </w:r>
      <w:r w:rsidR="00DF4280">
        <w:t>personal</w:t>
      </w:r>
      <w:r>
        <w:t xml:space="preserve"> financial gain, declaring any personal interest which might affect, or be seen by others to affect, impartiality in decision making and never breaching the confidentiality of information received in a professional capacity. </w:t>
      </w:r>
    </w:p>
    <w:p w14:paraId="1207EF2C" w14:textId="30C3F3A1" w:rsidR="008B5E2C" w:rsidRPr="00184496" w:rsidRDefault="00E37095" w:rsidP="00184496">
      <w:pPr>
        <w:pStyle w:val="Heading1"/>
        <w:numPr>
          <w:ilvl w:val="0"/>
          <w:numId w:val="3"/>
        </w:numPr>
        <w:ind w:left="709" w:hanging="709"/>
        <w:rPr>
          <w:rFonts w:eastAsia="Times New Roman"/>
        </w:rPr>
      </w:pPr>
      <w:bookmarkStart w:id="32" w:name="_Toc167875521"/>
      <w:r>
        <w:rPr>
          <w:rFonts w:eastAsia="Times New Roman"/>
        </w:rPr>
        <w:lastRenderedPageBreak/>
        <w:t>Spend/</w:t>
      </w:r>
      <w:r w:rsidR="00FA7A76">
        <w:rPr>
          <w:rFonts w:eastAsia="Times New Roman"/>
        </w:rPr>
        <w:t>f</w:t>
      </w:r>
      <w:r>
        <w:rPr>
          <w:rFonts w:eastAsia="Times New Roman"/>
        </w:rPr>
        <w:t>inance</w:t>
      </w:r>
      <w:bookmarkStart w:id="33" w:name="_Toc156332788"/>
      <w:bookmarkEnd w:id="29"/>
      <w:bookmarkEnd w:id="32"/>
    </w:p>
    <w:p w14:paraId="579A397A" w14:textId="6BE69B38" w:rsidR="001562AF" w:rsidRPr="00D72FEC" w:rsidRDefault="008B5E2C" w:rsidP="00B62289">
      <w:pPr>
        <w:pStyle w:val="Heading3"/>
        <w:numPr>
          <w:ilvl w:val="1"/>
          <w:numId w:val="3"/>
        </w:numPr>
        <w:spacing w:after="0" w:line="360" w:lineRule="auto"/>
      </w:pPr>
      <w:r w:rsidRPr="00184496">
        <w:t xml:space="preserve">Expenditure </w:t>
      </w:r>
      <w:r w:rsidR="00FA7A76">
        <w:t>p</w:t>
      </w:r>
      <w:r w:rsidRPr="00184496">
        <w:t>rofile</w:t>
      </w:r>
      <w:bookmarkStart w:id="34" w:name="_Toc166248575"/>
      <w:bookmarkStart w:id="35" w:name="_Toc166248666"/>
    </w:p>
    <w:p w14:paraId="20EF4E6D" w14:textId="2DB4098D" w:rsidR="008E7BA7" w:rsidRDefault="004260AD" w:rsidP="00AC755B">
      <w:pPr>
        <w:pStyle w:val="KAHead1"/>
        <w:numPr>
          <w:ilvl w:val="0"/>
          <w:numId w:val="0"/>
        </w:numPr>
        <w:tabs>
          <w:tab w:val="left" w:pos="993"/>
        </w:tabs>
        <w:spacing w:after="0" w:line="360" w:lineRule="auto"/>
        <w:rPr>
          <w:rFonts w:asciiTheme="minorHAnsi" w:eastAsiaTheme="minorEastAsia" w:hAnsiTheme="minorHAnsi" w:cstheme="minorBidi"/>
          <w:b w:val="0"/>
          <w:bCs w:val="0"/>
          <w:color w:val="auto"/>
          <w:sz w:val="24"/>
          <w:szCs w:val="24"/>
        </w:rPr>
      </w:pPr>
      <w:bookmarkStart w:id="36" w:name="_Toc166326708"/>
      <w:bookmarkStart w:id="37" w:name="_Toc167717959"/>
      <w:bookmarkStart w:id="38" w:name="_Toc167718072"/>
      <w:bookmarkStart w:id="39" w:name="_Toc167821715"/>
      <w:bookmarkStart w:id="40" w:name="_Toc167822430"/>
      <w:bookmarkStart w:id="41" w:name="_Toc167875522"/>
      <w:r>
        <w:rPr>
          <w:rFonts w:asciiTheme="minorHAnsi" w:eastAsiaTheme="minorEastAsia" w:hAnsiTheme="minorHAnsi" w:cstheme="minorBidi"/>
          <w:b w:val="0"/>
          <w:bCs w:val="0"/>
          <w:color w:val="auto"/>
          <w:sz w:val="24"/>
          <w:szCs w:val="24"/>
        </w:rPr>
        <w:t>SEPA</w:t>
      </w:r>
      <w:r w:rsidR="008E7BA7" w:rsidRPr="008E7BA7">
        <w:rPr>
          <w:rFonts w:asciiTheme="minorHAnsi" w:eastAsiaTheme="minorEastAsia" w:hAnsiTheme="minorHAnsi" w:cstheme="minorBidi"/>
          <w:b w:val="0"/>
          <w:bCs w:val="0"/>
          <w:color w:val="auto"/>
          <w:sz w:val="24"/>
          <w:szCs w:val="24"/>
        </w:rPr>
        <w:t xml:space="preserve"> spends </w:t>
      </w:r>
      <w:r w:rsidR="00BB007B">
        <w:rPr>
          <w:rFonts w:asciiTheme="minorHAnsi" w:eastAsiaTheme="minorEastAsia" w:hAnsiTheme="minorHAnsi" w:cstheme="minorBidi"/>
          <w:b w:val="0"/>
          <w:bCs w:val="0"/>
          <w:color w:val="auto"/>
          <w:sz w:val="24"/>
          <w:szCs w:val="24"/>
        </w:rPr>
        <w:t>on average c</w:t>
      </w:r>
      <w:r w:rsidR="00FA7A76">
        <w:rPr>
          <w:rFonts w:asciiTheme="minorHAnsi" w:eastAsiaTheme="minorEastAsia" w:hAnsiTheme="minorHAnsi" w:cstheme="minorBidi"/>
          <w:b w:val="0"/>
          <w:bCs w:val="0"/>
          <w:color w:val="auto"/>
          <w:sz w:val="24"/>
          <w:szCs w:val="24"/>
        </w:rPr>
        <w:t>irca</w:t>
      </w:r>
      <w:r w:rsidR="00BB007B">
        <w:rPr>
          <w:rFonts w:asciiTheme="minorHAnsi" w:eastAsiaTheme="minorEastAsia" w:hAnsiTheme="minorHAnsi" w:cstheme="minorBidi"/>
          <w:b w:val="0"/>
          <w:bCs w:val="0"/>
          <w:color w:val="auto"/>
          <w:sz w:val="24"/>
          <w:szCs w:val="24"/>
        </w:rPr>
        <w:t xml:space="preserve"> £16m</w:t>
      </w:r>
      <w:r w:rsidR="008E7BA7" w:rsidRPr="008E7BA7">
        <w:rPr>
          <w:rFonts w:asciiTheme="minorHAnsi" w:eastAsiaTheme="minorEastAsia" w:hAnsiTheme="minorHAnsi" w:cstheme="minorBidi"/>
          <w:b w:val="0"/>
          <w:bCs w:val="0"/>
          <w:color w:val="auto"/>
          <w:sz w:val="24"/>
          <w:szCs w:val="24"/>
        </w:rPr>
        <w:t xml:space="preserve"> per annum on a broad range of goods, services and works related requirements.  All spend is processed through the </w:t>
      </w:r>
      <w:r>
        <w:rPr>
          <w:rFonts w:asciiTheme="minorHAnsi" w:eastAsiaTheme="minorEastAsia" w:hAnsiTheme="minorHAnsi" w:cstheme="minorBidi"/>
          <w:b w:val="0"/>
          <w:bCs w:val="0"/>
          <w:color w:val="auto"/>
          <w:sz w:val="24"/>
          <w:szCs w:val="24"/>
        </w:rPr>
        <w:t xml:space="preserve">Agresso </w:t>
      </w:r>
      <w:r w:rsidR="008E7BA7" w:rsidRPr="008E7BA7">
        <w:rPr>
          <w:rFonts w:asciiTheme="minorHAnsi" w:eastAsiaTheme="minorEastAsia" w:hAnsiTheme="minorHAnsi" w:cstheme="minorBidi"/>
          <w:b w:val="0"/>
          <w:bCs w:val="0"/>
          <w:color w:val="auto"/>
          <w:sz w:val="24"/>
          <w:szCs w:val="24"/>
        </w:rPr>
        <w:t xml:space="preserve">ERP system. </w:t>
      </w:r>
      <w:bookmarkStart w:id="42" w:name="_Toc166248581"/>
      <w:bookmarkStart w:id="43" w:name="_Toc166248672"/>
      <w:bookmarkEnd w:id="34"/>
      <w:bookmarkEnd w:id="35"/>
      <w:r w:rsidR="0025677F">
        <w:rPr>
          <w:rFonts w:asciiTheme="minorHAnsi" w:eastAsiaTheme="minorEastAsia" w:hAnsiTheme="minorHAnsi" w:cstheme="minorBidi"/>
          <w:b w:val="0"/>
          <w:bCs w:val="0"/>
          <w:color w:val="auto"/>
          <w:sz w:val="24"/>
          <w:szCs w:val="24"/>
        </w:rPr>
        <w:t>Spend analysis is based on the</w:t>
      </w:r>
      <w:r w:rsidR="008E7BA7" w:rsidRPr="008E7BA7">
        <w:rPr>
          <w:rFonts w:asciiTheme="minorHAnsi" w:eastAsiaTheme="minorEastAsia" w:hAnsiTheme="minorHAnsi" w:cstheme="minorBidi"/>
          <w:b w:val="0"/>
          <w:bCs w:val="0"/>
          <w:color w:val="auto"/>
          <w:sz w:val="24"/>
          <w:szCs w:val="24"/>
        </w:rPr>
        <w:t xml:space="preserve"> last 3 years of </w:t>
      </w:r>
      <w:r w:rsidR="0025677F">
        <w:rPr>
          <w:rFonts w:asciiTheme="minorHAnsi" w:eastAsiaTheme="minorEastAsia" w:hAnsiTheme="minorHAnsi" w:cstheme="minorBidi"/>
          <w:b w:val="0"/>
          <w:bCs w:val="0"/>
          <w:color w:val="auto"/>
          <w:sz w:val="24"/>
          <w:szCs w:val="24"/>
        </w:rPr>
        <w:t>data</w:t>
      </w:r>
      <w:r w:rsidR="008E7BA7" w:rsidRPr="008E7BA7">
        <w:rPr>
          <w:rFonts w:asciiTheme="minorHAnsi" w:eastAsiaTheme="minorEastAsia" w:hAnsiTheme="minorHAnsi" w:cstheme="minorBidi"/>
          <w:b w:val="0"/>
          <w:bCs w:val="0"/>
          <w:color w:val="auto"/>
          <w:sz w:val="24"/>
          <w:szCs w:val="24"/>
        </w:rPr>
        <w:t>:</w:t>
      </w:r>
      <w:bookmarkEnd w:id="36"/>
      <w:bookmarkEnd w:id="37"/>
      <w:bookmarkEnd w:id="38"/>
      <w:bookmarkEnd w:id="39"/>
      <w:bookmarkEnd w:id="40"/>
      <w:bookmarkEnd w:id="41"/>
      <w:bookmarkEnd w:id="42"/>
      <w:bookmarkEnd w:id="43"/>
    </w:p>
    <w:p w14:paraId="4E48747F" w14:textId="77777777" w:rsidR="00A90BF4" w:rsidRPr="008E7BA7" w:rsidRDefault="00A90BF4" w:rsidP="006E2AEC">
      <w:pPr>
        <w:pStyle w:val="KAHead1"/>
        <w:numPr>
          <w:ilvl w:val="0"/>
          <w:numId w:val="0"/>
        </w:numPr>
        <w:tabs>
          <w:tab w:val="left" w:pos="993"/>
        </w:tabs>
        <w:spacing w:after="0" w:line="240" w:lineRule="auto"/>
        <w:jc w:val="both"/>
        <w:rPr>
          <w:rFonts w:asciiTheme="minorHAnsi" w:eastAsiaTheme="minorEastAsia" w:hAnsiTheme="minorHAnsi" w:cstheme="minorBidi"/>
          <w:b w:val="0"/>
          <w:bCs w:val="0"/>
          <w:color w:val="auto"/>
          <w:sz w:val="24"/>
          <w:szCs w:val="24"/>
        </w:rPr>
      </w:pPr>
    </w:p>
    <w:p w14:paraId="56140663" w14:textId="124CD607" w:rsidR="0059777C" w:rsidRPr="003705DE" w:rsidRDefault="0059777C" w:rsidP="003705DE">
      <w:pPr>
        <w:pStyle w:val="KAHead1"/>
        <w:numPr>
          <w:ilvl w:val="0"/>
          <w:numId w:val="0"/>
        </w:numPr>
        <w:tabs>
          <w:tab w:val="left" w:pos="993"/>
        </w:tabs>
        <w:spacing w:after="0" w:line="480" w:lineRule="auto"/>
        <w:jc w:val="both"/>
        <w:rPr>
          <w:rFonts w:asciiTheme="minorHAnsi" w:eastAsiaTheme="minorEastAsia" w:hAnsiTheme="minorHAnsi" w:cstheme="minorBidi"/>
          <w:color w:val="auto"/>
          <w:sz w:val="24"/>
          <w:szCs w:val="24"/>
        </w:rPr>
      </w:pPr>
      <w:r w:rsidRPr="003705DE">
        <w:rPr>
          <w:rFonts w:asciiTheme="minorHAnsi" w:eastAsiaTheme="minorEastAsia" w:hAnsiTheme="minorHAnsi" w:cstheme="minorBidi"/>
          <w:color w:val="auto"/>
          <w:sz w:val="24"/>
          <w:szCs w:val="24"/>
        </w:rPr>
        <w:t xml:space="preserve">Table 2: </w:t>
      </w:r>
      <w:r w:rsidR="001F437B" w:rsidRPr="003705DE">
        <w:rPr>
          <w:rFonts w:asciiTheme="minorHAnsi" w:eastAsiaTheme="minorEastAsia" w:hAnsiTheme="minorHAnsi" w:cstheme="minorBidi"/>
          <w:color w:val="auto"/>
          <w:sz w:val="24"/>
          <w:szCs w:val="24"/>
        </w:rPr>
        <w:t>Summary</w:t>
      </w:r>
      <w:r w:rsidR="001C479C" w:rsidRPr="003705DE">
        <w:rPr>
          <w:rFonts w:asciiTheme="minorHAnsi" w:eastAsiaTheme="minorEastAsia" w:hAnsiTheme="minorHAnsi" w:cstheme="minorBidi"/>
          <w:color w:val="auto"/>
          <w:sz w:val="24"/>
          <w:szCs w:val="24"/>
        </w:rPr>
        <w:t xml:space="preserve"> o</w:t>
      </w:r>
      <w:r w:rsidR="001C7A4D" w:rsidRPr="003705DE">
        <w:rPr>
          <w:rFonts w:asciiTheme="minorHAnsi" w:eastAsiaTheme="minorEastAsia" w:hAnsiTheme="minorHAnsi" w:cstheme="minorBidi"/>
          <w:color w:val="auto"/>
          <w:sz w:val="24"/>
          <w:szCs w:val="24"/>
        </w:rPr>
        <w:t xml:space="preserve">f </w:t>
      </w:r>
      <w:r w:rsidR="008F756D" w:rsidRPr="003705DE">
        <w:rPr>
          <w:rFonts w:asciiTheme="minorHAnsi" w:eastAsiaTheme="minorEastAsia" w:hAnsiTheme="minorHAnsi" w:cstheme="minorBidi"/>
          <w:color w:val="auto"/>
          <w:sz w:val="24"/>
          <w:szCs w:val="24"/>
        </w:rPr>
        <w:t>procurement spend</w:t>
      </w:r>
    </w:p>
    <w:tbl>
      <w:tblPr>
        <w:tblStyle w:val="TableGrid"/>
        <w:tblW w:w="0" w:type="auto"/>
        <w:tblInd w:w="-5" w:type="dxa"/>
        <w:tblLook w:val="04A0" w:firstRow="1" w:lastRow="0" w:firstColumn="1" w:lastColumn="0" w:noHBand="0" w:noVBand="1"/>
        <w:tblCaption w:val="Table 2: Summary of procurement spend"/>
        <w:tblDescription w:val="This table provides SEPAs spend analysis over 3 years on procurement activity as follows:&#10;&#10;Financial year: 2022-2023&#10;Total spend: £19.7 million.&#10;Number of transactions: 6132&#10;Number of suppliers: 693&#10;Number of SMEs: 362&#10;SME spend: 39.7%&#10;&#10;Financial year: 2021-2022&#10;Total spend: £17.4 million&#10;Number of transactions: 4570&#10;Number of suppliers: 580&#10;Number of SMEs: 268&#10;SME spend: 37.6%&#10;&#10;Financial year: 2020-2021&#10;Total spend: £12.4 million&#10;Number of transactions: 1919&#10;Number of suppliers: 583&#10;Number of SMEs: 266&#10;SME spend: 38.5%"/>
      </w:tblPr>
      <w:tblGrid>
        <w:gridCol w:w="1531"/>
        <w:gridCol w:w="1730"/>
        <w:gridCol w:w="1644"/>
        <w:gridCol w:w="1531"/>
        <w:gridCol w:w="1531"/>
        <w:gridCol w:w="1531"/>
      </w:tblGrid>
      <w:tr w:rsidR="008C59AB" w14:paraId="08C3F413" w14:textId="77777777" w:rsidTr="00D97DF5">
        <w:trPr>
          <w:cantSplit/>
          <w:trHeight w:val="608"/>
          <w:tblHeader/>
        </w:trPr>
        <w:tc>
          <w:tcPr>
            <w:tcW w:w="1531" w:type="dxa"/>
            <w:shd w:val="clear" w:color="auto" w:fill="016574" w:themeFill="accent1"/>
          </w:tcPr>
          <w:p w14:paraId="0350EB3F" w14:textId="66EA4185"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44" w:name="_Toc166326709"/>
            <w:bookmarkStart w:id="45" w:name="_Toc167717960"/>
            <w:bookmarkStart w:id="46" w:name="_Toc167718073"/>
            <w:bookmarkStart w:id="47" w:name="_Toc167821716"/>
            <w:bookmarkStart w:id="48" w:name="_Toc167822431"/>
            <w:bookmarkStart w:id="49" w:name="_Toc167875523"/>
            <w:r w:rsidRPr="0062461E">
              <w:rPr>
                <w:rFonts w:ascii="Arial" w:eastAsia="Times New Roman" w:hAnsi="Arial" w:cs="Arial"/>
                <w:color w:val="FFFFFF" w:themeColor="background1"/>
                <w:sz w:val="24"/>
                <w:szCs w:val="24"/>
                <w:lang w:eastAsia="en-GB"/>
              </w:rPr>
              <w:t>F</w:t>
            </w:r>
            <w:r w:rsidR="0062461E">
              <w:rPr>
                <w:rFonts w:ascii="Arial" w:eastAsia="Times New Roman" w:hAnsi="Arial" w:cs="Arial"/>
                <w:color w:val="FFFFFF" w:themeColor="background1"/>
                <w:sz w:val="24"/>
                <w:szCs w:val="24"/>
                <w:lang w:eastAsia="en-GB"/>
              </w:rPr>
              <w:t xml:space="preserve">inancial </w:t>
            </w:r>
            <w:bookmarkEnd w:id="44"/>
            <w:r w:rsidR="0062461E">
              <w:rPr>
                <w:rFonts w:ascii="Arial" w:eastAsia="Times New Roman" w:hAnsi="Arial" w:cs="Arial"/>
                <w:color w:val="FFFFFF" w:themeColor="background1"/>
                <w:sz w:val="24"/>
                <w:szCs w:val="24"/>
                <w:lang w:eastAsia="en-GB"/>
              </w:rPr>
              <w:t>year</w:t>
            </w:r>
            <w:bookmarkEnd w:id="45"/>
            <w:bookmarkEnd w:id="46"/>
            <w:bookmarkEnd w:id="47"/>
            <w:bookmarkEnd w:id="48"/>
            <w:bookmarkEnd w:id="49"/>
          </w:p>
        </w:tc>
        <w:tc>
          <w:tcPr>
            <w:tcW w:w="1730" w:type="dxa"/>
            <w:shd w:val="clear" w:color="auto" w:fill="016574" w:themeFill="accent1"/>
          </w:tcPr>
          <w:p w14:paraId="525D707B" w14:textId="358D998F"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50" w:name="_Toc166326710"/>
            <w:bookmarkStart w:id="51" w:name="_Toc167717961"/>
            <w:bookmarkStart w:id="52" w:name="_Toc167718074"/>
            <w:bookmarkStart w:id="53" w:name="_Toc167821717"/>
            <w:bookmarkStart w:id="54" w:name="_Toc167822432"/>
            <w:bookmarkStart w:id="55" w:name="_Toc167875524"/>
            <w:proofErr w:type="gramStart"/>
            <w:r w:rsidRPr="0062461E">
              <w:rPr>
                <w:rFonts w:ascii="Arial" w:eastAsia="Times New Roman" w:hAnsi="Arial" w:cs="Arial"/>
                <w:color w:val="FFFFFF" w:themeColor="background1"/>
                <w:sz w:val="24"/>
                <w:szCs w:val="24"/>
                <w:lang w:eastAsia="en-GB"/>
              </w:rPr>
              <w:t>Total</w:t>
            </w:r>
            <w:proofErr w:type="gramEnd"/>
            <w:r w:rsidRPr="0062461E">
              <w:rPr>
                <w:rFonts w:ascii="Arial" w:eastAsia="Times New Roman" w:hAnsi="Arial" w:cs="Arial"/>
                <w:color w:val="FFFFFF" w:themeColor="background1"/>
                <w:sz w:val="24"/>
                <w:szCs w:val="24"/>
                <w:lang w:eastAsia="en-GB"/>
              </w:rPr>
              <w:t xml:space="preserve"> </w:t>
            </w:r>
            <w:r w:rsidR="0062461E">
              <w:rPr>
                <w:rFonts w:ascii="Arial" w:eastAsia="Times New Roman" w:hAnsi="Arial" w:cs="Arial"/>
                <w:color w:val="FFFFFF" w:themeColor="background1"/>
                <w:sz w:val="24"/>
                <w:szCs w:val="24"/>
                <w:lang w:eastAsia="en-GB"/>
              </w:rPr>
              <w:t>s</w:t>
            </w:r>
            <w:r w:rsidRPr="0062461E">
              <w:rPr>
                <w:rFonts w:ascii="Arial" w:eastAsia="Times New Roman" w:hAnsi="Arial" w:cs="Arial"/>
                <w:color w:val="FFFFFF" w:themeColor="background1"/>
                <w:sz w:val="24"/>
                <w:szCs w:val="24"/>
                <w:lang w:eastAsia="en-GB"/>
              </w:rPr>
              <w:t>pend (m</w:t>
            </w:r>
            <w:r w:rsidR="0062461E">
              <w:rPr>
                <w:rFonts w:ascii="Arial" w:eastAsia="Times New Roman" w:hAnsi="Arial" w:cs="Arial"/>
                <w:color w:val="FFFFFF" w:themeColor="background1"/>
                <w:sz w:val="24"/>
                <w:szCs w:val="24"/>
                <w:lang w:eastAsia="en-GB"/>
              </w:rPr>
              <w:t>illion</w:t>
            </w:r>
            <w:r w:rsidRPr="0062461E">
              <w:rPr>
                <w:rFonts w:ascii="Arial" w:eastAsia="Times New Roman" w:hAnsi="Arial" w:cs="Arial"/>
                <w:color w:val="FFFFFF" w:themeColor="background1"/>
                <w:sz w:val="24"/>
                <w:szCs w:val="24"/>
                <w:lang w:eastAsia="en-GB"/>
              </w:rPr>
              <w:t>)</w:t>
            </w:r>
            <w:bookmarkEnd w:id="50"/>
            <w:bookmarkEnd w:id="51"/>
            <w:bookmarkEnd w:id="52"/>
            <w:bookmarkEnd w:id="53"/>
            <w:bookmarkEnd w:id="54"/>
            <w:bookmarkEnd w:id="55"/>
          </w:p>
        </w:tc>
        <w:tc>
          <w:tcPr>
            <w:tcW w:w="1644" w:type="dxa"/>
            <w:shd w:val="clear" w:color="auto" w:fill="016574" w:themeFill="accent1"/>
          </w:tcPr>
          <w:p w14:paraId="65B0F90C" w14:textId="07152E33"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56" w:name="_Toc166326711"/>
            <w:bookmarkStart w:id="57" w:name="_Toc167717962"/>
            <w:bookmarkStart w:id="58" w:name="_Toc167718075"/>
            <w:bookmarkStart w:id="59" w:name="_Toc167821718"/>
            <w:bookmarkStart w:id="60" w:name="_Toc167822433"/>
            <w:bookmarkStart w:id="61" w:name="_Toc167875525"/>
            <w:r w:rsidRPr="0062461E">
              <w:rPr>
                <w:rFonts w:ascii="Arial" w:eastAsia="Times New Roman" w:hAnsi="Arial" w:cs="Arial"/>
                <w:color w:val="FFFFFF" w:themeColor="background1"/>
                <w:sz w:val="24"/>
                <w:szCs w:val="24"/>
                <w:lang w:eastAsia="en-GB"/>
              </w:rPr>
              <w:t>N</w:t>
            </w:r>
            <w:r w:rsidR="0062461E">
              <w:rPr>
                <w:rFonts w:ascii="Arial" w:eastAsia="Times New Roman" w:hAnsi="Arial" w:cs="Arial"/>
                <w:color w:val="FFFFFF" w:themeColor="background1"/>
                <w:sz w:val="24"/>
                <w:szCs w:val="24"/>
                <w:lang w:eastAsia="en-GB"/>
              </w:rPr>
              <w:t>umber</w:t>
            </w:r>
            <w:r w:rsidRPr="0062461E">
              <w:rPr>
                <w:rFonts w:ascii="Arial" w:eastAsia="Times New Roman" w:hAnsi="Arial" w:cs="Arial"/>
                <w:color w:val="FFFFFF" w:themeColor="background1"/>
                <w:sz w:val="24"/>
                <w:szCs w:val="24"/>
                <w:lang w:eastAsia="en-GB"/>
              </w:rPr>
              <w:t xml:space="preserve"> of </w:t>
            </w:r>
            <w:r w:rsidR="0062461E">
              <w:rPr>
                <w:rFonts w:ascii="Arial" w:eastAsia="Times New Roman" w:hAnsi="Arial" w:cs="Arial"/>
                <w:color w:val="FFFFFF" w:themeColor="background1"/>
                <w:sz w:val="24"/>
                <w:szCs w:val="24"/>
                <w:lang w:eastAsia="en-GB"/>
              </w:rPr>
              <w:t>tr</w:t>
            </w:r>
            <w:r w:rsidRPr="0062461E">
              <w:rPr>
                <w:rFonts w:ascii="Arial" w:eastAsia="Times New Roman" w:hAnsi="Arial" w:cs="Arial"/>
                <w:color w:val="FFFFFF" w:themeColor="background1"/>
                <w:sz w:val="24"/>
                <w:szCs w:val="24"/>
                <w:lang w:eastAsia="en-GB"/>
              </w:rPr>
              <w:t>ansaction</w:t>
            </w:r>
            <w:bookmarkEnd w:id="56"/>
            <w:r w:rsidR="0062461E">
              <w:rPr>
                <w:rFonts w:ascii="Arial" w:eastAsia="Times New Roman" w:hAnsi="Arial" w:cs="Arial"/>
                <w:color w:val="FFFFFF" w:themeColor="background1"/>
                <w:sz w:val="24"/>
                <w:szCs w:val="24"/>
                <w:lang w:eastAsia="en-GB"/>
              </w:rPr>
              <w:t>s</w:t>
            </w:r>
            <w:bookmarkEnd w:id="57"/>
            <w:bookmarkEnd w:id="58"/>
            <w:bookmarkEnd w:id="59"/>
            <w:bookmarkEnd w:id="60"/>
            <w:bookmarkEnd w:id="61"/>
          </w:p>
        </w:tc>
        <w:tc>
          <w:tcPr>
            <w:tcW w:w="1531" w:type="dxa"/>
            <w:shd w:val="clear" w:color="auto" w:fill="016574" w:themeFill="accent1"/>
          </w:tcPr>
          <w:p w14:paraId="5BDCC75A" w14:textId="78D335A7"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62" w:name="_Toc166326712"/>
            <w:bookmarkStart w:id="63" w:name="_Toc167717963"/>
            <w:bookmarkStart w:id="64" w:name="_Toc167718076"/>
            <w:bookmarkStart w:id="65" w:name="_Toc167821719"/>
            <w:bookmarkStart w:id="66" w:name="_Toc167822434"/>
            <w:bookmarkStart w:id="67" w:name="_Toc167875526"/>
            <w:r w:rsidRPr="0062461E">
              <w:rPr>
                <w:rFonts w:ascii="Arial" w:eastAsia="Times New Roman" w:hAnsi="Arial" w:cs="Arial"/>
                <w:color w:val="FFFFFF" w:themeColor="background1"/>
                <w:sz w:val="24"/>
                <w:szCs w:val="24"/>
                <w:lang w:eastAsia="en-GB"/>
              </w:rPr>
              <w:t>N</w:t>
            </w:r>
            <w:r w:rsidR="0062461E">
              <w:rPr>
                <w:rFonts w:ascii="Arial" w:eastAsia="Times New Roman" w:hAnsi="Arial" w:cs="Arial"/>
                <w:color w:val="FFFFFF" w:themeColor="background1"/>
                <w:sz w:val="24"/>
                <w:szCs w:val="24"/>
                <w:lang w:eastAsia="en-GB"/>
              </w:rPr>
              <w:t>umber</w:t>
            </w:r>
            <w:r w:rsidRPr="0062461E">
              <w:rPr>
                <w:rFonts w:ascii="Arial" w:eastAsia="Times New Roman" w:hAnsi="Arial" w:cs="Arial"/>
                <w:color w:val="FFFFFF" w:themeColor="background1"/>
                <w:sz w:val="24"/>
                <w:szCs w:val="24"/>
                <w:lang w:eastAsia="en-GB"/>
              </w:rPr>
              <w:t xml:space="preserve"> of </w:t>
            </w:r>
            <w:r w:rsidR="0062461E">
              <w:rPr>
                <w:rFonts w:ascii="Arial" w:eastAsia="Times New Roman" w:hAnsi="Arial" w:cs="Arial"/>
                <w:color w:val="FFFFFF" w:themeColor="background1"/>
                <w:sz w:val="24"/>
                <w:szCs w:val="24"/>
                <w:lang w:eastAsia="en-GB"/>
              </w:rPr>
              <w:t>s</w:t>
            </w:r>
            <w:r w:rsidRPr="0062461E">
              <w:rPr>
                <w:rFonts w:ascii="Arial" w:eastAsia="Times New Roman" w:hAnsi="Arial" w:cs="Arial"/>
                <w:color w:val="FFFFFF" w:themeColor="background1"/>
                <w:sz w:val="24"/>
                <w:szCs w:val="24"/>
                <w:lang w:eastAsia="en-GB"/>
              </w:rPr>
              <w:t>uppliers</w:t>
            </w:r>
            <w:bookmarkEnd w:id="62"/>
            <w:bookmarkEnd w:id="63"/>
            <w:bookmarkEnd w:id="64"/>
            <w:bookmarkEnd w:id="65"/>
            <w:bookmarkEnd w:id="66"/>
            <w:bookmarkEnd w:id="67"/>
          </w:p>
        </w:tc>
        <w:tc>
          <w:tcPr>
            <w:tcW w:w="1531" w:type="dxa"/>
            <w:shd w:val="clear" w:color="auto" w:fill="016574" w:themeFill="accent1"/>
          </w:tcPr>
          <w:p w14:paraId="6528AE34" w14:textId="247E5C89" w:rsidR="008C59AB" w:rsidRPr="0062461E" w:rsidRDefault="0062461E"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68" w:name="_Toc166326713"/>
            <w:bookmarkStart w:id="69" w:name="_Toc167717964"/>
            <w:bookmarkStart w:id="70" w:name="_Toc167718077"/>
            <w:bookmarkStart w:id="71" w:name="_Toc167821720"/>
            <w:bookmarkStart w:id="72" w:name="_Toc167822435"/>
            <w:bookmarkStart w:id="73" w:name="_Toc167875527"/>
            <w:r>
              <w:rPr>
                <w:rFonts w:ascii="Arial" w:eastAsia="Times New Roman" w:hAnsi="Arial" w:cs="Arial"/>
                <w:color w:val="FFFFFF" w:themeColor="background1"/>
                <w:sz w:val="24"/>
                <w:szCs w:val="24"/>
                <w:lang w:eastAsia="en-GB"/>
              </w:rPr>
              <w:t>Number</w:t>
            </w:r>
            <w:r w:rsidR="008C59AB">
              <w:rPr>
                <w:rFonts w:ascii="Arial" w:eastAsia="Times New Roman" w:hAnsi="Arial" w:cs="Arial"/>
                <w:color w:val="FFFFFF" w:themeColor="background1"/>
                <w:sz w:val="24"/>
                <w:szCs w:val="24"/>
                <w:lang w:eastAsia="en-GB"/>
              </w:rPr>
              <w:t xml:space="preserve"> of</w:t>
            </w:r>
            <w:r w:rsidR="008C59AB" w:rsidRPr="0062461E">
              <w:rPr>
                <w:rFonts w:ascii="Arial" w:eastAsia="Times New Roman" w:hAnsi="Arial" w:cs="Arial"/>
                <w:color w:val="FFFFFF" w:themeColor="background1"/>
                <w:sz w:val="24"/>
                <w:szCs w:val="24"/>
                <w:lang w:eastAsia="en-GB"/>
              </w:rPr>
              <w:t xml:space="preserve"> SMEs</w:t>
            </w:r>
            <w:bookmarkEnd w:id="68"/>
            <w:r w:rsidR="0087271C" w:rsidRPr="0087271C">
              <w:rPr>
                <w:rStyle w:val="FootnoteReference"/>
                <w:rFonts w:ascii="Arial" w:eastAsia="Times New Roman" w:hAnsi="Arial" w:cs="Arial"/>
                <w:color w:val="FFFFFF" w:themeColor="background1"/>
                <w:sz w:val="24"/>
                <w:szCs w:val="24"/>
                <w:lang w:eastAsia="en-GB"/>
              </w:rPr>
              <w:footnoteReference w:id="10"/>
            </w:r>
            <w:bookmarkEnd w:id="69"/>
            <w:bookmarkEnd w:id="70"/>
            <w:bookmarkEnd w:id="71"/>
            <w:bookmarkEnd w:id="72"/>
            <w:bookmarkEnd w:id="73"/>
          </w:p>
        </w:tc>
        <w:tc>
          <w:tcPr>
            <w:tcW w:w="1531" w:type="dxa"/>
            <w:shd w:val="clear" w:color="auto" w:fill="016574" w:themeFill="accent1"/>
          </w:tcPr>
          <w:p w14:paraId="514F3473" w14:textId="36D6AFF2"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color w:val="FFFFFF" w:themeColor="background1"/>
                <w:sz w:val="24"/>
                <w:szCs w:val="24"/>
                <w:lang w:eastAsia="en-GB"/>
              </w:rPr>
            </w:pPr>
            <w:bookmarkStart w:id="74" w:name="_Toc166326714"/>
            <w:bookmarkStart w:id="75" w:name="_Toc167717965"/>
            <w:bookmarkStart w:id="76" w:name="_Toc167718078"/>
            <w:bookmarkStart w:id="77" w:name="_Toc167821721"/>
            <w:bookmarkStart w:id="78" w:name="_Toc167822436"/>
            <w:bookmarkStart w:id="79" w:name="_Toc167875528"/>
            <w:r w:rsidRPr="0062461E">
              <w:rPr>
                <w:rFonts w:ascii="Arial" w:eastAsia="Times New Roman" w:hAnsi="Arial" w:cs="Arial"/>
                <w:color w:val="FFFFFF" w:themeColor="background1"/>
                <w:sz w:val="24"/>
                <w:szCs w:val="24"/>
                <w:lang w:eastAsia="en-GB"/>
              </w:rPr>
              <w:t>SME spend</w:t>
            </w:r>
            <w:bookmarkEnd w:id="74"/>
            <w:bookmarkEnd w:id="75"/>
            <w:bookmarkEnd w:id="76"/>
            <w:bookmarkEnd w:id="77"/>
            <w:bookmarkEnd w:id="78"/>
            <w:bookmarkEnd w:id="79"/>
          </w:p>
        </w:tc>
      </w:tr>
      <w:tr w:rsidR="008C59AB" w14:paraId="03C9291D" w14:textId="77777777" w:rsidTr="00D97DF5">
        <w:trPr>
          <w:cantSplit/>
          <w:trHeight w:val="309"/>
        </w:trPr>
        <w:tc>
          <w:tcPr>
            <w:tcW w:w="1531" w:type="dxa"/>
          </w:tcPr>
          <w:p w14:paraId="60772FED" w14:textId="07F65F97" w:rsidR="008C59AB" w:rsidRPr="0062461E" w:rsidRDefault="00CB2470"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80" w:name="_Toc166326715"/>
            <w:bookmarkStart w:id="81" w:name="_Toc167717966"/>
            <w:bookmarkStart w:id="82" w:name="_Toc167718079"/>
            <w:bookmarkStart w:id="83" w:name="_Toc167821722"/>
            <w:bookmarkStart w:id="84" w:name="_Toc167822437"/>
            <w:bookmarkStart w:id="85" w:name="_Toc167875529"/>
            <w:r>
              <w:rPr>
                <w:rFonts w:ascii="Arial" w:eastAsia="Times New Roman" w:hAnsi="Arial" w:cs="Arial"/>
                <w:b w:val="0"/>
                <w:bCs w:val="0"/>
                <w:color w:val="auto"/>
                <w:sz w:val="24"/>
                <w:szCs w:val="24"/>
                <w:lang w:eastAsia="en-GB"/>
              </w:rPr>
              <w:t>20</w:t>
            </w:r>
            <w:r w:rsidR="008C59AB" w:rsidRPr="0062461E">
              <w:rPr>
                <w:rFonts w:ascii="Arial" w:eastAsia="Times New Roman" w:hAnsi="Arial" w:cs="Arial"/>
                <w:b w:val="0"/>
                <w:bCs w:val="0"/>
                <w:color w:val="auto"/>
                <w:sz w:val="24"/>
                <w:szCs w:val="24"/>
                <w:lang w:eastAsia="en-GB"/>
              </w:rPr>
              <w:t>22</w:t>
            </w:r>
            <w:r w:rsidR="008C59AB" w:rsidRPr="0062461E">
              <w:rPr>
                <w:rFonts w:ascii="Arial" w:eastAsia="Times New Roman" w:hAnsi="Arial" w:cs="Arial"/>
                <w:b w:val="0"/>
                <w:color w:val="auto"/>
                <w:sz w:val="24"/>
                <w:szCs w:val="24"/>
                <w:lang w:eastAsia="en-GB"/>
              </w:rPr>
              <w:t>/23</w:t>
            </w:r>
            <w:bookmarkEnd w:id="80"/>
            <w:bookmarkEnd w:id="81"/>
            <w:bookmarkEnd w:id="82"/>
            <w:bookmarkEnd w:id="83"/>
            <w:bookmarkEnd w:id="84"/>
            <w:bookmarkEnd w:id="85"/>
          </w:p>
        </w:tc>
        <w:tc>
          <w:tcPr>
            <w:tcW w:w="1730" w:type="dxa"/>
          </w:tcPr>
          <w:p w14:paraId="57768BAF" w14:textId="2E86DBAE"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86" w:name="_Toc166326716"/>
            <w:bookmarkStart w:id="87" w:name="_Toc167717967"/>
            <w:bookmarkStart w:id="88" w:name="_Toc167718080"/>
            <w:bookmarkStart w:id="89" w:name="_Toc167821723"/>
            <w:bookmarkStart w:id="90" w:name="_Toc167822438"/>
            <w:bookmarkStart w:id="91" w:name="_Toc167875530"/>
            <w:r w:rsidRPr="0062461E">
              <w:rPr>
                <w:rFonts w:ascii="Arial" w:eastAsia="Times New Roman" w:hAnsi="Arial" w:cs="Arial"/>
                <w:b w:val="0"/>
                <w:color w:val="auto"/>
                <w:sz w:val="24"/>
                <w:szCs w:val="24"/>
                <w:lang w:eastAsia="en-GB"/>
              </w:rPr>
              <w:t>£19.7</w:t>
            </w:r>
            <w:bookmarkEnd w:id="86"/>
            <w:bookmarkEnd w:id="87"/>
            <w:bookmarkEnd w:id="88"/>
            <w:bookmarkEnd w:id="89"/>
            <w:bookmarkEnd w:id="90"/>
            <w:bookmarkEnd w:id="91"/>
          </w:p>
        </w:tc>
        <w:tc>
          <w:tcPr>
            <w:tcW w:w="1644" w:type="dxa"/>
          </w:tcPr>
          <w:p w14:paraId="79D9AAB0" w14:textId="4BF89E6F"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92" w:name="_Toc166326717"/>
            <w:bookmarkStart w:id="93" w:name="_Toc167717968"/>
            <w:bookmarkStart w:id="94" w:name="_Toc167718081"/>
            <w:bookmarkStart w:id="95" w:name="_Toc167821724"/>
            <w:bookmarkStart w:id="96" w:name="_Toc167822439"/>
            <w:bookmarkStart w:id="97" w:name="_Toc167875531"/>
            <w:r w:rsidRPr="0062461E">
              <w:rPr>
                <w:rFonts w:ascii="Arial" w:eastAsia="Times New Roman" w:hAnsi="Arial" w:cs="Arial"/>
                <w:b w:val="0"/>
                <w:color w:val="auto"/>
                <w:sz w:val="24"/>
                <w:szCs w:val="24"/>
                <w:lang w:eastAsia="en-GB"/>
              </w:rPr>
              <w:t>6132</w:t>
            </w:r>
            <w:bookmarkEnd w:id="92"/>
            <w:bookmarkEnd w:id="93"/>
            <w:bookmarkEnd w:id="94"/>
            <w:bookmarkEnd w:id="95"/>
            <w:bookmarkEnd w:id="96"/>
            <w:bookmarkEnd w:id="97"/>
          </w:p>
        </w:tc>
        <w:tc>
          <w:tcPr>
            <w:tcW w:w="1531" w:type="dxa"/>
          </w:tcPr>
          <w:p w14:paraId="198BDE6A" w14:textId="7552DFDC"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98" w:name="_Toc166326718"/>
            <w:bookmarkStart w:id="99" w:name="_Toc167717969"/>
            <w:bookmarkStart w:id="100" w:name="_Toc167718082"/>
            <w:bookmarkStart w:id="101" w:name="_Toc167821725"/>
            <w:bookmarkStart w:id="102" w:name="_Toc167822440"/>
            <w:bookmarkStart w:id="103" w:name="_Toc167875532"/>
            <w:r w:rsidRPr="0062461E">
              <w:rPr>
                <w:rFonts w:ascii="Arial" w:eastAsia="Times New Roman" w:hAnsi="Arial" w:cs="Arial"/>
                <w:b w:val="0"/>
                <w:color w:val="auto"/>
                <w:sz w:val="24"/>
                <w:szCs w:val="24"/>
                <w:lang w:eastAsia="en-GB"/>
              </w:rPr>
              <w:t>693</w:t>
            </w:r>
            <w:bookmarkEnd w:id="98"/>
            <w:bookmarkEnd w:id="99"/>
            <w:bookmarkEnd w:id="100"/>
            <w:bookmarkEnd w:id="101"/>
            <w:bookmarkEnd w:id="102"/>
            <w:bookmarkEnd w:id="103"/>
          </w:p>
        </w:tc>
        <w:tc>
          <w:tcPr>
            <w:tcW w:w="1531" w:type="dxa"/>
          </w:tcPr>
          <w:p w14:paraId="44EDA8B8" w14:textId="6D6176D0"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04" w:name="_Toc166326719"/>
            <w:bookmarkStart w:id="105" w:name="_Toc167717970"/>
            <w:bookmarkStart w:id="106" w:name="_Toc167718083"/>
            <w:bookmarkStart w:id="107" w:name="_Toc167821726"/>
            <w:bookmarkStart w:id="108" w:name="_Toc167822441"/>
            <w:bookmarkStart w:id="109" w:name="_Toc167875533"/>
            <w:r w:rsidRPr="0062461E">
              <w:rPr>
                <w:rFonts w:ascii="Arial" w:eastAsia="Times New Roman" w:hAnsi="Arial" w:cs="Arial"/>
                <w:b w:val="0"/>
                <w:color w:val="auto"/>
                <w:sz w:val="24"/>
                <w:szCs w:val="24"/>
                <w:lang w:eastAsia="en-GB"/>
              </w:rPr>
              <w:t>362</w:t>
            </w:r>
            <w:bookmarkEnd w:id="104"/>
            <w:bookmarkEnd w:id="105"/>
            <w:bookmarkEnd w:id="106"/>
            <w:bookmarkEnd w:id="107"/>
            <w:bookmarkEnd w:id="108"/>
            <w:bookmarkEnd w:id="109"/>
          </w:p>
        </w:tc>
        <w:tc>
          <w:tcPr>
            <w:tcW w:w="1531" w:type="dxa"/>
          </w:tcPr>
          <w:p w14:paraId="2E761448" w14:textId="1F973044" w:rsidR="008C59AB" w:rsidRPr="0062461E" w:rsidRDefault="008C59A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10" w:name="_Toc166326720"/>
            <w:bookmarkStart w:id="111" w:name="_Toc167717971"/>
            <w:bookmarkStart w:id="112" w:name="_Toc167718084"/>
            <w:bookmarkStart w:id="113" w:name="_Toc167821727"/>
            <w:bookmarkStart w:id="114" w:name="_Toc167822442"/>
            <w:bookmarkStart w:id="115" w:name="_Toc167875534"/>
            <w:r w:rsidRPr="0062461E">
              <w:rPr>
                <w:rFonts w:ascii="Arial" w:eastAsia="Times New Roman" w:hAnsi="Arial" w:cs="Arial"/>
                <w:b w:val="0"/>
                <w:color w:val="auto"/>
                <w:sz w:val="24"/>
                <w:szCs w:val="24"/>
                <w:lang w:eastAsia="en-GB"/>
              </w:rPr>
              <w:t>39.7%</w:t>
            </w:r>
            <w:bookmarkEnd w:id="110"/>
            <w:bookmarkEnd w:id="111"/>
            <w:bookmarkEnd w:id="112"/>
            <w:bookmarkEnd w:id="113"/>
            <w:bookmarkEnd w:id="114"/>
            <w:bookmarkEnd w:id="115"/>
          </w:p>
        </w:tc>
      </w:tr>
      <w:tr w:rsidR="008C59AB" w14:paraId="6DAACC06" w14:textId="77777777" w:rsidTr="00D97DF5">
        <w:trPr>
          <w:cantSplit/>
          <w:trHeight w:val="309"/>
        </w:trPr>
        <w:tc>
          <w:tcPr>
            <w:tcW w:w="1531" w:type="dxa"/>
          </w:tcPr>
          <w:p w14:paraId="26BBF052" w14:textId="3C5959C6" w:rsidR="008C59AB" w:rsidRPr="0062461E" w:rsidRDefault="00CB2470"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16" w:name="_Toc166326721"/>
            <w:bookmarkStart w:id="117" w:name="_Toc167717972"/>
            <w:bookmarkStart w:id="118" w:name="_Toc167718085"/>
            <w:bookmarkStart w:id="119" w:name="_Toc167821728"/>
            <w:bookmarkStart w:id="120" w:name="_Toc167822443"/>
            <w:bookmarkStart w:id="121" w:name="_Toc167875535"/>
            <w:r>
              <w:rPr>
                <w:rFonts w:ascii="Arial" w:eastAsia="Times New Roman" w:hAnsi="Arial" w:cs="Arial"/>
                <w:b w:val="0"/>
                <w:bCs w:val="0"/>
                <w:color w:val="auto"/>
                <w:sz w:val="24"/>
                <w:szCs w:val="24"/>
                <w:lang w:eastAsia="en-GB"/>
              </w:rPr>
              <w:t>20</w:t>
            </w:r>
            <w:r w:rsidR="0054080B" w:rsidRPr="0062461E">
              <w:rPr>
                <w:rFonts w:ascii="Arial" w:eastAsia="Times New Roman" w:hAnsi="Arial" w:cs="Arial"/>
                <w:b w:val="0"/>
                <w:bCs w:val="0"/>
                <w:color w:val="auto"/>
                <w:sz w:val="24"/>
                <w:szCs w:val="24"/>
                <w:lang w:eastAsia="en-GB"/>
              </w:rPr>
              <w:t>21</w:t>
            </w:r>
            <w:r w:rsidR="0054080B" w:rsidRPr="0062461E">
              <w:rPr>
                <w:rFonts w:ascii="Arial" w:eastAsia="Times New Roman" w:hAnsi="Arial" w:cs="Arial"/>
                <w:b w:val="0"/>
                <w:color w:val="auto"/>
                <w:sz w:val="24"/>
                <w:szCs w:val="24"/>
                <w:lang w:eastAsia="en-GB"/>
              </w:rPr>
              <w:t>/22</w:t>
            </w:r>
            <w:bookmarkEnd w:id="116"/>
            <w:bookmarkEnd w:id="117"/>
            <w:bookmarkEnd w:id="118"/>
            <w:bookmarkEnd w:id="119"/>
            <w:bookmarkEnd w:id="120"/>
            <w:bookmarkEnd w:id="121"/>
          </w:p>
        </w:tc>
        <w:tc>
          <w:tcPr>
            <w:tcW w:w="1730" w:type="dxa"/>
          </w:tcPr>
          <w:p w14:paraId="12FF47A5" w14:textId="0638E7A2" w:rsidR="008C59AB" w:rsidRPr="0062461E" w:rsidRDefault="0054080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22" w:name="_Toc166326722"/>
            <w:bookmarkStart w:id="123" w:name="_Toc167717973"/>
            <w:bookmarkStart w:id="124" w:name="_Toc167718086"/>
            <w:bookmarkStart w:id="125" w:name="_Toc167821729"/>
            <w:bookmarkStart w:id="126" w:name="_Toc167822444"/>
            <w:bookmarkStart w:id="127" w:name="_Toc167875536"/>
            <w:r w:rsidRPr="0062461E">
              <w:rPr>
                <w:rFonts w:ascii="Arial" w:eastAsia="Times New Roman" w:hAnsi="Arial" w:cs="Arial"/>
                <w:b w:val="0"/>
                <w:color w:val="auto"/>
                <w:sz w:val="24"/>
                <w:szCs w:val="24"/>
                <w:lang w:eastAsia="en-GB"/>
              </w:rPr>
              <w:t>£17.4</w:t>
            </w:r>
            <w:bookmarkEnd w:id="122"/>
            <w:bookmarkEnd w:id="123"/>
            <w:bookmarkEnd w:id="124"/>
            <w:bookmarkEnd w:id="125"/>
            <w:bookmarkEnd w:id="126"/>
            <w:bookmarkEnd w:id="127"/>
          </w:p>
        </w:tc>
        <w:tc>
          <w:tcPr>
            <w:tcW w:w="1644" w:type="dxa"/>
          </w:tcPr>
          <w:p w14:paraId="666C2DDA" w14:textId="0B054944" w:rsidR="008C59AB" w:rsidRPr="0062461E" w:rsidRDefault="0054080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28" w:name="_Toc166326723"/>
            <w:bookmarkStart w:id="129" w:name="_Toc167717974"/>
            <w:bookmarkStart w:id="130" w:name="_Toc167718087"/>
            <w:bookmarkStart w:id="131" w:name="_Toc167821730"/>
            <w:bookmarkStart w:id="132" w:name="_Toc167822445"/>
            <w:bookmarkStart w:id="133" w:name="_Toc167875537"/>
            <w:r w:rsidRPr="0062461E">
              <w:rPr>
                <w:rFonts w:ascii="Arial" w:eastAsia="Times New Roman" w:hAnsi="Arial" w:cs="Arial"/>
                <w:b w:val="0"/>
                <w:color w:val="auto"/>
                <w:sz w:val="24"/>
                <w:szCs w:val="24"/>
                <w:lang w:eastAsia="en-GB"/>
              </w:rPr>
              <w:t>4570</w:t>
            </w:r>
            <w:bookmarkEnd w:id="128"/>
            <w:bookmarkEnd w:id="129"/>
            <w:bookmarkEnd w:id="130"/>
            <w:bookmarkEnd w:id="131"/>
            <w:bookmarkEnd w:id="132"/>
            <w:bookmarkEnd w:id="133"/>
          </w:p>
        </w:tc>
        <w:tc>
          <w:tcPr>
            <w:tcW w:w="1531" w:type="dxa"/>
          </w:tcPr>
          <w:p w14:paraId="5F27E4C7" w14:textId="283BA391" w:rsidR="008C59AB" w:rsidRPr="0062461E" w:rsidRDefault="0054080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34" w:name="_Toc166326724"/>
            <w:bookmarkStart w:id="135" w:name="_Toc167717975"/>
            <w:bookmarkStart w:id="136" w:name="_Toc167718088"/>
            <w:bookmarkStart w:id="137" w:name="_Toc167821731"/>
            <w:bookmarkStart w:id="138" w:name="_Toc167822446"/>
            <w:bookmarkStart w:id="139" w:name="_Toc167875538"/>
            <w:r w:rsidRPr="0062461E">
              <w:rPr>
                <w:rFonts w:ascii="Arial" w:eastAsia="Times New Roman" w:hAnsi="Arial" w:cs="Arial"/>
                <w:b w:val="0"/>
                <w:color w:val="auto"/>
                <w:sz w:val="24"/>
                <w:szCs w:val="24"/>
                <w:lang w:eastAsia="en-GB"/>
              </w:rPr>
              <w:t>580</w:t>
            </w:r>
            <w:bookmarkEnd w:id="134"/>
            <w:bookmarkEnd w:id="135"/>
            <w:bookmarkEnd w:id="136"/>
            <w:bookmarkEnd w:id="137"/>
            <w:bookmarkEnd w:id="138"/>
            <w:bookmarkEnd w:id="139"/>
          </w:p>
        </w:tc>
        <w:tc>
          <w:tcPr>
            <w:tcW w:w="1531" w:type="dxa"/>
          </w:tcPr>
          <w:p w14:paraId="1880854E" w14:textId="5A131044" w:rsidR="008C59AB" w:rsidRPr="0062461E" w:rsidRDefault="0054080B"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40" w:name="_Toc166326725"/>
            <w:bookmarkStart w:id="141" w:name="_Toc167717976"/>
            <w:bookmarkStart w:id="142" w:name="_Toc167718089"/>
            <w:bookmarkStart w:id="143" w:name="_Toc167821732"/>
            <w:bookmarkStart w:id="144" w:name="_Toc167822447"/>
            <w:bookmarkStart w:id="145" w:name="_Toc167875539"/>
            <w:r w:rsidRPr="0062461E">
              <w:rPr>
                <w:rFonts w:ascii="Arial" w:eastAsia="Times New Roman" w:hAnsi="Arial" w:cs="Arial"/>
                <w:b w:val="0"/>
                <w:color w:val="auto"/>
                <w:sz w:val="24"/>
                <w:szCs w:val="24"/>
                <w:lang w:eastAsia="en-GB"/>
              </w:rPr>
              <w:t>268</w:t>
            </w:r>
            <w:bookmarkEnd w:id="140"/>
            <w:bookmarkEnd w:id="141"/>
            <w:bookmarkEnd w:id="142"/>
            <w:bookmarkEnd w:id="143"/>
            <w:bookmarkEnd w:id="144"/>
            <w:bookmarkEnd w:id="145"/>
          </w:p>
        </w:tc>
        <w:tc>
          <w:tcPr>
            <w:tcW w:w="1531" w:type="dxa"/>
          </w:tcPr>
          <w:p w14:paraId="1586C11A" w14:textId="48C3EE3B" w:rsidR="008C59AB" w:rsidRPr="0062461E" w:rsidRDefault="001B41C1"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46" w:name="_Toc166326726"/>
            <w:bookmarkStart w:id="147" w:name="_Toc167717977"/>
            <w:bookmarkStart w:id="148" w:name="_Toc167718090"/>
            <w:bookmarkStart w:id="149" w:name="_Toc167821733"/>
            <w:bookmarkStart w:id="150" w:name="_Toc167822448"/>
            <w:bookmarkStart w:id="151" w:name="_Toc167875540"/>
            <w:r w:rsidRPr="0062461E">
              <w:rPr>
                <w:rFonts w:ascii="Arial" w:eastAsia="Times New Roman" w:hAnsi="Arial" w:cs="Arial"/>
                <w:b w:val="0"/>
                <w:color w:val="auto"/>
                <w:sz w:val="24"/>
                <w:szCs w:val="24"/>
                <w:lang w:eastAsia="en-GB"/>
              </w:rPr>
              <w:t>37.6%</w:t>
            </w:r>
            <w:bookmarkEnd w:id="146"/>
            <w:bookmarkEnd w:id="147"/>
            <w:bookmarkEnd w:id="148"/>
            <w:bookmarkEnd w:id="149"/>
            <w:bookmarkEnd w:id="150"/>
            <w:bookmarkEnd w:id="151"/>
          </w:p>
        </w:tc>
      </w:tr>
      <w:tr w:rsidR="008C59AB" w14:paraId="56354046" w14:textId="77777777" w:rsidTr="00D97DF5">
        <w:trPr>
          <w:cantSplit/>
          <w:trHeight w:val="309"/>
        </w:trPr>
        <w:tc>
          <w:tcPr>
            <w:tcW w:w="1531" w:type="dxa"/>
          </w:tcPr>
          <w:p w14:paraId="108B74FE" w14:textId="088A1100" w:rsidR="008C59AB" w:rsidRPr="0062461E" w:rsidRDefault="00CB2470"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52" w:name="_Toc166326727"/>
            <w:bookmarkStart w:id="153" w:name="_Toc167717978"/>
            <w:bookmarkStart w:id="154" w:name="_Toc167718091"/>
            <w:bookmarkStart w:id="155" w:name="_Toc167821734"/>
            <w:bookmarkStart w:id="156" w:name="_Toc167822449"/>
            <w:bookmarkStart w:id="157" w:name="_Toc167875541"/>
            <w:r>
              <w:rPr>
                <w:rFonts w:ascii="Arial" w:eastAsia="Times New Roman" w:hAnsi="Arial" w:cs="Arial"/>
                <w:b w:val="0"/>
                <w:bCs w:val="0"/>
                <w:color w:val="auto"/>
                <w:sz w:val="24"/>
                <w:szCs w:val="24"/>
                <w:lang w:eastAsia="en-GB"/>
              </w:rPr>
              <w:t>20</w:t>
            </w:r>
            <w:r w:rsidR="00E60B8A" w:rsidRPr="0062461E">
              <w:rPr>
                <w:rFonts w:ascii="Arial" w:eastAsia="Times New Roman" w:hAnsi="Arial" w:cs="Arial"/>
                <w:b w:val="0"/>
                <w:bCs w:val="0"/>
                <w:color w:val="auto"/>
                <w:sz w:val="24"/>
                <w:szCs w:val="24"/>
                <w:lang w:eastAsia="en-GB"/>
              </w:rPr>
              <w:t>20</w:t>
            </w:r>
            <w:r w:rsidR="00E60B8A" w:rsidRPr="0062461E">
              <w:rPr>
                <w:rFonts w:ascii="Arial" w:eastAsia="Times New Roman" w:hAnsi="Arial" w:cs="Arial"/>
                <w:b w:val="0"/>
                <w:color w:val="auto"/>
                <w:sz w:val="24"/>
                <w:szCs w:val="24"/>
                <w:lang w:eastAsia="en-GB"/>
              </w:rPr>
              <w:t>/21</w:t>
            </w:r>
            <w:bookmarkEnd w:id="152"/>
            <w:bookmarkEnd w:id="153"/>
            <w:bookmarkEnd w:id="154"/>
            <w:bookmarkEnd w:id="155"/>
            <w:bookmarkEnd w:id="156"/>
            <w:bookmarkEnd w:id="157"/>
          </w:p>
        </w:tc>
        <w:tc>
          <w:tcPr>
            <w:tcW w:w="1730" w:type="dxa"/>
          </w:tcPr>
          <w:p w14:paraId="5113DC5C" w14:textId="1A7AC79B" w:rsidR="008C59AB" w:rsidRPr="0062461E" w:rsidRDefault="00E60B8A"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58" w:name="_Toc166326728"/>
            <w:bookmarkStart w:id="159" w:name="_Toc167717979"/>
            <w:bookmarkStart w:id="160" w:name="_Toc167718092"/>
            <w:bookmarkStart w:id="161" w:name="_Toc167821735"/>
            <w:bookmarkStart w:id="162" w:name="_Toc167822450"/>
            <w:bookmarkStart w:id="163" w:name="_Toc167875542"/>
            <w:r w:rsidRPr="0062461E">
              <w:rPr>
                <w:rFonts w:ascii="Arial" w:eastAsia="Times New Roman" w:hAnsi="Arial" w:cs="Arial"/>
                <w:b w:val="0"/>
                <w:color w:val="auto"/>
                <w:sz w:val="24"/>
                <w:szCs w:val="24"/>
                <w:lang w:eastAsia="en-GB"/>
              </w:rPr>
              <w:t>£12.4</w:t>
            </w:r>
            <w:bookmarkEnd w:id="158"/>
            <w:bookmarkEnd w:id="159"/>
            <w:bookmarkEnd w:id="160"/>
            <w:bookmarkEnd w:id="161"/>
            <w:bookmarkEnd w:id="162"/>
            <w:bookmarkEnd w:id="163"/>
          </w:p>
        </w:tc>
        <w:tc>
          <w:tcPr>
            <w:tcW w:w="1644" w:type="dxa"/>
          </w:tcPr>
          <w:p w14:paraId="01F99615" w14:textId="19C31C9B" w:rsidR="008C59AB" w:rsidRPr="0062461E" w:rsidRDefault="00E60B8A"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64" w:name="_Toc166326729"/>
            <w:bookmarkStart w:id="165" w:name="_Toc167717980"/>
            <w:bookmarkStart w:id="166" w:name="_Toc167718093"/>
            <w:bookmarkStart w:id="167" w:name="_Toc167821736"/>
            <w:bookmarkStart w:id="168" w:name="_Toc167822451"/>
            <w:bookmarkStart w:id="169" w:name="_Toc167875543"/>
            <w:r w:rsidRPr="0062461E">
              <w:rPr>
                <w:rFonts w:ascii="Arial" w:eastAsia="Times New Roman" w:hAnsi="Arial" w:cs="Arial"/>
                <w:b w:val="0"/>
                <w:color w:val="auto"/>
                <w:sz w:val="24"/>
                <w:szCs w:val="24"/>
                <w:lang w:eastAsia="en-GB"/>
              </w:rPr>
              <w:t>1919</w:t>
            </w:r>
            <w:bookmarkEnd w:id="164"/>
            <w:bookmarkEnd w:id="165"/>
            <w:bookmarkEnd w:id="166"/>
            <w:bookmarkEnd w:id="167"/>
            <w:bookmarkEnd w:id="168"/>
            <w:bookmarkEnd w:id="169"/>
          </w:p>
        </w:tc>
        <w:tc>
          <w:tcPr>
            <w:tcW w:w="1531" w:type="dxa"/>
          </w:tcPr>
          <w:p w14:paraId="5EFF633E" w14:textId="6425A048" w:rsidR="008C59AB" w:rsidRPr="0062461E" w:rsidRDefault="004F1EAA"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70" w:name="_Toc166326730"/>
            <w:bookmarkStart w:id="171" w:name="_Toc167717981"/>
            <w:bookmarkStart w:id="172" w:name="_Toc167718094"/>
            <w:bookmarkStart w:id="173" w:name="_Toc167821737"/>
            <w:bookmarkStart w:id="174" w:name="_Toc167822452"/>
            <w:bookmarkStart w:id="175" w:name="_Toc167875544"/>
            <w:r w:rsidRPr="0062461E">
              <w:rPr>
                <w:rFonts w:ascii="Arial" w:eastAsia="Times New Roman" w:hAnsi="Arial" w:cs="Arial"/>
                <w:b w:val="0"/>
                <w:color w:val="auto"/>
                <w:sz w:val="24"/>
                <w:szCs w:val="24"/>
                <w:lang w:eastAsia="en-GB"/>
              </w:rPr>
              <w:t>583</w:t>
            </w:r>
            <w:bookmarkEnd w:id="170"/>
            <w:bookmarkEnd w:id="171"/>
            <w:bookmarkEnd w:id="172"/>
            <w:bookmarkEnd w:id="173"/>
            <w:bookmarkEnd w:id="174"/>
            <w:bookmarkEnd w:id="175"/>
          </w:p>
        </w:tc>
        <w:tc>
          <w:tcPr>
            <w:tcW w:w="1531" w:type="dxa"/>
          </w:tcPr>
          <w:p w14:paraId="068F2389" w14:textId="564A1F44" w:rsidR="008C59AB" w:rsidRPr="0062461E" w:rsidRDefault="004F1EAA"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76" w:name="_Toc166326731"/>
            <w:bookmarkStart w:id="177" w:name="_Toc167717982"/>
            <w:bookmarkStart w:id="178" w:name="_Toc167718095"/>
            <w:bookmarkStart w:id="179" w:name="_Toc167821738"/>
            <w:bookmarkStart w:id="180" w:name="_Toc167822453"/>
            <w:bookmarkStart w:id="181" w:name="_Toc167875545"/>
            <w:r w:rsidRPr="0062461E">
              <w:rPr>
                <w:rFonts w:ascii="Arial" w:eastAsia="Times New Roman" w:hAnsi="Arial" w:cs="Arial"/>
                <w:b w:val="0"/>
                <w:color w:val="auto"/>
                <w:sz w:val="24"/>
                <w:szCs w:val="24"/>
                <w:lang w:eastAsia="en-GB"/>
              </w:rPr>
              <w:t>266</w:t>
            </w:r>
            <w:bookmarkEnd w:id="176"/>
            <w:bookmarkEnd w:id="177"/>
            <w:bookmarkEnd w:id="178"/>
            <w:bookmarkEnd w:id="179"/>
            <w:bookmarkEnd w:id="180"/>
            <w:bookmarkEnd w:id="181"/>
          </w:p>
        </w:tc>
        <w:tc>
          <w:tcPr>
            <w:tcW w:w="1531" w:type="dxa"/>
          </w:tcPr>
          <w:p w14:paraId="3C52F95D" w14:textId="3730C071" w:rsidR="008C59AB" w:rsidRPr="0062461E" w:rsidRDefault="004F1EAA" w:rsidP="0062461E">
            <w:pPr>
              <w:pStyle w:val="KAHead1"/>
              <w:numPr>
                <w:ilvl w:val="0"/>
                <w:numId w:val="0"/>
              </w:numPr>
              <w:tabs>
                <w:tab w:val="left" w:pos="993"/>
              </w:tabs>
              <w:spacing w:after="0" w:line="240" w:lineRule="auto"/>
              <w:rPr>
                <w:rFonts w:ascii="Arial" w:eastAsia="Times New Roman" w:hAnsi="Arial" w:cs="Arial"/>
                <w:b w:val="0"/>
                <w:color w:val="auto"/>
                <w:sz w:val="24"/>
                <w:szCs w:val="24"/>
                <w:lang w:eastAsia="en-GB"/>
              </w:rPr>
            </w:pPr>
            <w:bookmarkStart w:id="182" w:name="_Toc166326732"/>
            <w:bookmarkStart w:id="183" w:name="_Toc167717983"/>
            <w:bookmarkStart w:id="184" w:name="_Toc167718096"/>
            <w:bookmarkStart w:id="185" w:name="_Toc167821739"/>
            <w:bookmarkStart w:id="186" w:name="_Toc167822454"/>
            <w:bookmarkStart w:id="187" w:name="_Toc167875546"/>
            <w:r w:rsidRPr="0062461E">
              <w:rPr>
                <w:rFonts w:ascii="Arial" w:eastAsia="Times New Roman" w:hAnsi="Arial" w:cs="Arial"/>
                <w:b w:val="0"/>
                <w:color w:val="auto"/>
                <w:sz w:val="24"/>
                <w:szCs w:val="24"/>
                <w:lang w:eastAsia="en-GB"/>
              </w:rPr>
              <w:t>38.5%</w:t>
            </w:r>
            <w:bookmarkEnd w:id="182"/>
            <w:bookmarkEnd w:id="183"/>
            <w:bookmarkEnd w:id="184"/>
            <w:bookmarkEnd w:id="185"/>
            <w:bookmarkEnd w:id="186"/>
            <w:bookmarkEnd w:id="187"/>
          </w:p>
        </w:tc>
      </w:tr>
    </w:tbl>
    <w:p w14:paraId="1266342B" w14:textId="77777777" w:rsidR="008E7BA7" w:rsidRPr="00D300FA" w:rsidRDefault="008E7BA7" w:rsidP="00EF5FF2">
      <w:pPr>
        <w:pStyle w:val="KAHead1"/>
        <w:numPr>
          <w:ilvl w:val="0"/>
          <w:numId w:val="0"/>
        </w:numPr>
        <w:tabs>
          <w:tab w:val="left" w:pos="993"/>
        </w:tabs>
        <w:spacing w:after="0" w:line="360" w:lineRule="auto"/>
        <w:ind w:left="357"/>
        <w:jc w:val="both"/>
        <w:rPr>
          <w:rFonts w:ascii="Helvetica" w:eastAsia="Times New Roman" w:hAnsi="Helvetica" w:cs="Times New Roman"/>
          <w:b w:val="0"/>
          <w:bCs w:val="0"/>
          <w:color w:val="auto"/>
          <w:sz w:val="24"/>
          <w:szCs w:val="24"/>
          <w:lang w:eastAsia="en-GB"/>
        </w:rPr>
      </w:pPr>
    </w:p>
    <w:p w14:paraId="667E8238" w14:textId="344E2594" w:rsidR="00483C94" w:rsidRPr="00BF33A2" w:rsidRDefault="00483C94" w:rsidP="00AC755B">
      <w:pPr>
        <w:pStyle w:val="Heading1"/>
        <w:numPr>
          <w:ilvl w:val="0"/>
          <w:numId w:val="3"/>
        </w:numPr>
        <w:ind w:left="709" w:hanging="709"/>
        <w:rPr>
          <w:rFonts w:eastAsia="Times New Roman"/>
        </w:rPr>
      </w:pPr>
      <w:bookmarkStart w:id="188" w:name="_Toc156332789"/>
      <w:bookmarkStart w:id="189" w:name="_Toc166248585"/>
      <w:bookmarkStart w:id="190" w:name="_Toc167875547"/>
      <w:bookmarkEnd w:id="33"/>
      <w:r>
        <w:rPr>
          <w:rFonts w:eastAsia="Times New Roman"/>
        </w:rPr>
        <w:t xml:space="preserve">Monitoring, </w:t>
      </w:r>
      <w:r w:rsidR="00CD0E48">
        <w:rPr>
          <w:rFonts w:eastAsia="Times New Roman"/>
        </w:rPr>
        <w:t>r</w:t>
      </w:r>
      <w:r>
        <w:rPr>
          <w:rFonts w:eastAsia="Times New Roman"/>
        </w:rPr>
        <w:t xml:space="preserve">eviewing </w:t>
      </w:r>
      <w:r w:rsidR="00CD0E48">
        <w:rPr>
          <w:rFonts w:eastAsia="Times New Roman"/>
        </w:rPr>
        <w:t>and</w:t>
      </w:r>
      <w:r>
        <w:rPr>
          <w:rFonts w:eastAsia="Times New Roman"/>
        </w:rPr>
        <w:t xml:space="preserve"> </w:t>
      </w:r>
      <w:r w:rsidR="00CD0E48">
        <w:rPr>
          <w:rFonts w:eastAsia="Times New Roman"/>
        </w:rPr>
        <w:t>r</w:t>
      </w:r>
      <w:r>
        <w:rPr>
          <w:rFonts w:eastAsia="Times New Roman"/>
        </w:rPr>
        <w:t xml:space="preserve">eporting </w:t>
      </w:r>
      <w:r w:rsidR="006C6AED">
        <w:rPr>
          <w:rFonts w:eastAsia="Times New Roman"/>
        </w:rPr>
        <w:t xml:space="preserve">on </w:t>
      </w:r>
      <w:bookmarkEnd w:id="188"/>
      <w:bookmarkEnd w:id="189"/>
      <w:bookmarkEnd w:id="190"/>
      <w:r w:rsidR="00BF02E5">
        <w:rPr>
          <w:rFonts w:eastAsia="Times New Roman"/>
        </w:rPr>
        <w:t>progress</w:t>
      </w:r>
      <w:r w:rsidR="006C6AED">
        <w:rPr>
          <w:rFonts w:eastAsia="Times New Roman"/>
        </w:rPr>
        <w:t xml:space="preserve"> </w:t>
      </w:r>
    </w:p>
    <w:p w14:paraId="1AE54EC2" w14:textId="0E207A7A" w:rsidR="007C02E4" w:rsidRPr="003737B8" w:rsidRDefault="007126BD" w:rsidP="00AC755B">
      <w:pPr>
        <w:rPr>
          <w:lang w:eastAsia="x-none"/>
        </w:rPr>
      </w:pPr>
      <w:r>
        <w:rPr>
          <w:lang w:eastAsia="x-none"/>
        </w:rPr>
        <w:t>SEPA has a comprehensive range of procurement performance measures</w:t>
      </w:r>
      <w:r w:rsidR="007F3A04">
        <w:rPr>
          <w:lang w:eastAsia="x-none"/>
        </w:rPr>
        <w:t xml:space="preserve"> and has</w:t>
      </w:r>
      <w:r>
        <w:rPr>
          <w:lang w:eastAsia="x-none"/>
        </w:rPr>
        <w:t xml:space="preserve"> published four Annual Procurement Reports</w:t>
      </w:r>
      <w:r w:rsidR="007C02E4" w:rsidRPr="003737B8">
        <w:rPr>
          <w:lang w:eastAsia="x-none"/>
        </w:rPr>
        <w:t xml:space="preserve"> (</w:t>
      </w:r>
      <w:r w:rsidR="00BF02E5" w:rsidRPr="003737B8">
        <w:rPr>
          <w:lang w:eastAsia="x-none"/>
        </w:rPr>
        <w:fldChar w:fldCharType="begin"/>
      </w:r>
      <w:r w:rsidR="00BF02E5" w:rsidRPr="003737B8">
        <w:rPr>
          <w:lang w:eastAsia="x-none"/>
        </w:rPr>
        <w:instrText xml:space="preserve"> REF _Ref173829271 \w \h </w:instrText>
      </w:r>
      <w:r w:rsidR="00BF02E5" w:rsidRPr="003737B8">
        <w:rPr>
          <w:lang w:eastAsia="x-none"/>
        </w:rPr>
      </w:r>
      <w:r w:rsidR="00BF02E5" w:rsidRPr="003737B8">
        <w:rPr>
          <w:lang w:eastAsia="x-none"/>
        </w:rPr>
        <w:fldChar w:fldCharType="separate"/>
      </w:r>
      <w:r w:rsidR="00BF02E5" w:rsidRPr="003737B8">
        <w:rPr>
          <w:lang w:eastAsia="x-none"/>
        </w:rPr>
        <w:t>9.1</w:t>
      </w:r>
      <w:r w:rsidR="00BF02E5" w:rsidRPr="003737B8">
        <w:rPr>
          <w:lang w:eastAsia="x-none"/>
        </w:rPr>
        <w:fldChar w:fldCharType="end"/>
      </w:r>
      <w:r w:rsidR="007C02E4" w:rsidRPr="003737B8">
        <w:rPr>
          <w:lang w:eastAsia="x-none"/>
        </w:rPr>
        <w:t>)</w:t>
      </w:r>
      <w:r w:rsidRPr="003737B8">
        <w:rPr>
          <w:lang w:eastAsia="x-none"/>
        </w:rPr>
        <w:t xml:space="preserve"> which detail SME expenditure and </w:t>
      </w:r>
      <w:r w:rsidR="001C78BC" w:rsidRPr="003737B8">
        <w:rPr>
          <w:lang w:eastAsia="x-none"/>
        </w:rPr>
        <w:t>v</w:t>
      </w:r>
      <w:r w:rsidRPr="003737B8">
        <w:rPr>
          <w:lang w:eastAsia="x-none"/>
        </w:rPr>
        <w:t xml:space="preserve">alue for </w:t>
      </w:r>
      <w:r w:rsidR="001C78BC" w:rsidRPr="003737B8">
        <w:rPr>
          <w:lang w:eastAsia="x-none"/>
        </w:rPr>
        <w:t>m</w:t>
      </w:r>
      <w:r w:rsidRPr="003737B8">
        <w:rPr>
          <w:lang w:eastAsia="x-none"/>
        </w:rPr>
        <w:t xml:space="preserve">oney </w:t>
      </w:r>
      <w:r w:rsidR="001C78BC" w:rsidRPr="003737B8">
        <w:rPr>
          <w:lang w:eastAsia="x-none"/>
        </w:rPr>
        <w:t>s</w:t>
      </w:r>
      <w:r w:rsidRPr="003737B8">
        <w:rPr>
          <w:lang w:eastAsia="x-none"/>
        </w:rPr>
        <w:t xml:space="preserve">avings. </w:t>
      </w:r>
      <w:r w:rsidR="007C02E4" w:rsidRPr="003737B8">
        <w:rPr>
          <w:lang w:eastAsia="x-none"/>
        </w:rPr>
        <w:t xml:space="preserve">These will be further developed with annual savings targets of between three to five percent of </w:t>
      </w:r>
      <w:r w:rsidR="00BD115B" w:rsidRPr="003737B8">
        <w:rPr>
          <w:lang w:eastAsia="x-none"/>
        </w:rPr>
        <w:t>influenceable</w:t>
      </w:r>
      <w:r w:rsidR="007C02E4" w:rsidRPr="003737B8">
        <w:rPr>
          <w:lang w:eastAsia="x-none"/>
        </w:rPr>
        <w:t xml:space="preserve"> spend set depending on requirement profile. </w:t>
      </w:r>
      <w:r w:rsidR="001A690E" w:rsidRPr="003737B8">
        <w:rPr>
          <w:lang w:eastAsia="x-none"/>
        </w:rPr>
        <w:t>In addition</w:t>
      </w:r>
      <w:r w:rsidR="00EB2619">
        <w:rPr>
          <w:lang w:eastAsia="x-none"/>
        </w:rPr>
        <w:t>,</w:t>
      </w:r>
      <w:r w:rsidR="001A690E" w:rsidRPr="003737B8">
        <w:rPr>
          <w:lang w:eastAsia="x-none"/>
        </w:rPr>
        <w:t xml:space="preserve"> the procurement team will run annual customer feedback </w:t>
      </w:r>
      <w:r w:rsidR="00C36B3F" w:rsidRPr="003737B8">
        <w:rPr>
          <w:lang w:eastAsia="x-none"/>
        </w:rPr>
        <w:t>reports focused on capturing information to help us improve:</w:t>
      </w:r>
    </w:p>
    <w:p w14:paraId="79D38181" w14:textId="77777777" w:rsidR="00C36B3F" w:rsidRPr="003737B8" w:rsidRDefault="00C36B3F" w:rsidP="00AC755B">
      <w:pPr>
        <w:rPr>
          <w:lang w:eastAsia="x-none"/>
        </w:rPr>
      </w:pPr>
    </w:p>
    <w:p w14:paraId="5A0BAA92" w14:textId="2F7990BD" w:rsidR="00A87B85" w:rsidRPr="003737B8" w:rsidRDefault="00A87B85" w:rsidP="00C36B3F">
      <w:pPr>
        <w:pStyle w:val="ListParagraph"/>
        <w:numPr>
          <w:ilvl w:val="0"/>
          <w:numId w:val="32"/>
        </w:numPr>
        <w:rPr>
          <w:lang w:eastAsia="x-none"/>
        </w:rPr>
      </w:pPr>
      <w:r w:rsidRPr="003737B8">
        <w:rPr>
          <w:lang w:eastAsia="x-none"/>
        </w:rPr>
        <w:t>Customer Satisfaction</w:t>
      </w:r>
    </w:p>
    <w:p w14:paraId="6CF2093E" w14:textId="60488B0F" w:rsidR="00CA6C58" w:rsidRPr="003737B8" w:rsidRDefault="00A87B85" w:rsidP="00C36B3F">
      <w:pPr>
        <w:pStyle w:val="ListParagraph"/>
        <w:numPr>
          <w:ilvl w:val="0"/>
          <w:numId w:val="32"/>
        </w:numPr>
        <w:rPr>
          <w:lang w:eastAsia="x-none"/>
        </w:rPr>
      </w:pPr>
      <w:r w:rsidRPr="003737B8">
        <w:rPr>
          <w:lang w:eastAsia="x-none"/>
        </w:rPr>
        <w:t>Understanding Business Need</w:t>
      </w:r>
    </w:p>
    <w:p w14:paraId="0B3C8DBA" w14:textId="5D2498B2" w:rsidR="00A87B85" w:rsidRPr="003737B8" w:rsidRDefault="00A87B85" w:rsidP="00C36B3F">
      <w:pPr>
        <w:pStyle w:val="ListParagraph"/>
        <w:numPr>
          <w:ilvl w:val="0"/>
          <w:numId w:val="32"/>
        </w:numPr>
        <w:rPr>
          <w:lang w:eastAsia="x-none"/>
        </w:rPr>
      </w:pPr>
      <w:r w:rsidRPr="003737B8">
        <w:rPr>
          <w:lang w:eastAsia="x-none"/>
        </w:rPr>
        <w:t>Clarity of Communication</w:t>
      </w:r>
    </w:p>
    <w:p w14:paraId="64F1456C" w14:textId="2FB47F97" w:rsidR="00A87B85" w:rsidRPr="003737B8" w:rsidRDefault="00A87B85" w:rsidP="00C36B3F">
      <w:pPr>
        <w:pStyle w:val="ListParagraph"/>
        <w:numPr>
          <w:ilvl w:val="0"/>
          <w:numId w:val="32"/>
        </w:numPr>
        <w:rPr>
          <w:lang w:eastAsia="x-none"/>
        </w:rPr>
      </w:pPr>
      <w:r w:rsidRPr="003737B8">
        <w:rPr>
          <w:lang w:eastAsia="x-none"/>
        </w:rPr>
        <w:t>Team Effectiveness</w:t>
      </w:r>
    </w:p>
    <w:p w14:paraId="6AD74A41" w14:textId="77777777" w:rsidR="00A87B85" w:rsidRDefault="00A87B85" w:rsidP="00AC755B">
      <w:pPr>
        <w:rPr>
          <w:color w:val="FF0000"/>
          <w:lang w:eastAsia="x-none"/>
        </w:rPr>
      </w:pPr>
    </w:p>
    <w:p w14:paraId="3757483D" w14:textId="366E4BD6" w:rsidR="00924B09" w:rsidRDefault="007126BD" w:rsidP="00924B09">
      <w:pPr>
        <w:rPr>
          <w:lang w:eastAsia="x-none"/>
        </w:rPr>
      </w:pPr>
      <w:r>
        <w:rPr>
          <w:lang w:eastAsia="x-none"/>
        </w:rPr>
        <w:t xml:space="preserve">Significant improvements have been put in place within the SEPA Finance Management System in relation to the contracts register module. </w:t>
      </w:r>
      <w:r w:rsidR="007C02E4" w:rsidRPr="003737B8">
        <w:rPr>
          <w:lang w:eastAsia="x-none"/>
        </w:rPr>
        <w:t xml:space="preserve">This has allowed the </w:t>
      </w:r>
      <w:r w:rsidR="00E46D2F">
        <w:rPr>
          <w:lang w:eastAsia="x-none"/>
        </w:rPr>
        <w:t>creat</w:t>
      </w:r>
      <w:r w:rsidR="007C02E4">
        <w:rPr>
          <w:lang w:eastAsia="x-none"/>
        </w:rPr>
        <w:t>ion</w:t>
      </w:r>
      <w:r w:rsidR="00E46D2F">
        <w:rPr>
          <w:lang w:eastAsia="x-none"/>
        </w:rPr>
        <w:t xml:space="preserve"> </w:t>
      </w:r>
      <w:r w:rsidR="007C02E4">
        <w:rPr>
          <w:lang w:eastAsia="x-none"/>
        </w:rPr>
        <w:t xml:space="preserve">of </w:t>
      </w:r>
      <w:r w:rsidR="00E46D2F">
        <w:rPr>
          <w:lang w:eastAsia="x-none"/>
        </w:rPr>
        <w:t>a series of procurement dashboards</w:t>
      </w:r>
      <w:r w:rsidR="003737B8">
        <w:rPr>
          <w:lang w:eastAsia="x-none"/>
        </w:rPr>
        <w:t xml:space="preserve"> </w:t>
      </w:r>
      <w:r w:rsidR="00F11F6F">
        <w:rPr>
          <w:lang w:eastAsia="x-none"/>
        </w:rPr>
        <w:t xml:space="preserve">to enable and support clearer reviews of procurement pipelines for planning purposes with key </w:t>
      </w:r>
      <w:r w:rsidR="001E2911">
        <w:rPr>
          <w:lang w:eastAsia="x-none"/>
        </w:rPr>
        <w:t>internal stakeholders.</w:t>
      </w:r>
      <w:bookmarkStart w:id="191" w:name="_Toc166248586"/>
      <w:bookmarkStart w:id="192" w:name="_Toc166248677"/>
      <w:bookmarkStart w:id="193" w:name="_Toc166326737"/>
    </w:p>
    <w:p w14:paraId="610382E0" w14:textId="77777777" w:rsidR="00924B09" w:rsidRDefault="00924B09" w:rsidP="00924B09">
      <w:pPr>
        <w:rPr>
          <w:lang w:eastAsia="x-none"/>
        </w:rPr>
      </w:pPr>
    </w:p>
    <w:p w14:paraId="15ACD23A" w14:textId="4396AC14" w:rsidR="00924B09" w:rsidRDefault="00EA04D6" w:rsidP="00924B09">
      <w:pPr>
        <w:rPr>
          <w:lang w:eastAsia="x-none"/>
        </w:rPr>
      </w:pPr>
      <w:r w:rsidRPr="00924B09">
        <w:rPr>
          <w:lang w:eastAsia="x-none"/>
        </w:rPr>
        <w:lastRenderedPageBreak/>
        <w:t xml:space="preserve">This Strategy </w:t>
      </w:r>
      <w:r w:rsidR="004F2B9C" w:rsidRPr="00924B09">
        <w:rPr>
          <w:lang w:eastAsia="x-none"/>
        </w:rPr>
        <w:t>will be</w:t>
      </w:r>
      <w:r w:rsidRPr="00924B09">
        <w:rPr>
          <w:lang w:eastAsia="x-none"/>
        </w:rPr>
        <w:t xml:space="preserve"> implemented on a day</w:t>
      </w:r>
      <w:r w:rsidR="00EE0A49" w:rsidRPr="00924B09">
        <w:rPr>
          <w:lang w:eastAsia="x-none"/>
        </w:rPr>
        <w:t>-</w:t>
      </w:r>
      <w:r w:rsidRPr="00924B09">
        <w:rPr>
          <w:lang w:eastAsia="x-none"/>
        </w:rPr>
        <w:t>to</w:t>
      </w:r>
      <w:r w:rsidR="00EE0A49" w:rsidRPr="00924B09">
        <w:rPr>
          <w:lang w:eastAsia="x-none"/>
        </w:rPr>
        <w:t>-</w:t>
      </w:r>
      <w:r w:rsidRPr="00924B09">
        <w:rPr>
          <w:lang w:eastAsia="x-none"/>
        </w:rPr>
        <w:t xml:space="preserve">day basis by the </w:t>
      </w:r>
      <w:r w:rsidR="004F2B9C" w:rsidRPr="00924B09">
        <w:rPr>
          <w:lang w:eastAsia="x-none"/>
        </w:rPr>
        <w:t>team in daily interaction with wider business stakeholders</w:t>
      </w:r>
      <w:r w:rsidR="00D80E15" w:rsidRPr="00924B09">
        <w:rPr>
          <w:lang w:eastAsia="x-none"/>
        </w:rPr>
        <w:t>, both internal and external</w:t>
      </w:r>
      <w:r w:rsidRPr="00924B09">
        <w:rPr>
          <w:lang w:eastAsia="x-none"/>
        </w:rPr>
        <w:t xml:space="preserve">. The priorities set out in the Strategy are translated into specific actions which are included in </w:t>
      </w:r>
      <w:r w:rsidR="00AB6CC1" w:rsidRPr="00924B09">
        <w:rPr>
          <w:lang w:eastAsia="x-none"/>
        </w:rPr>
        <w:t xml:space="preserve">team objectives and progress reviewed </w:t>
      </w:r>
      <w:r w:rsidR="004478DB">
        <w:rPr>
          <w:lang w:eastAsia="x-none"/>
        </w:rPr>
        <w:t>via regular</w:t>
      </w:r>
      <w:r w:rsidR="002C5FE6" w:rsidRPr="00924B09">
        <w:rPr>
          <w:lang w:eastAsia="x-none"/>
        </w:rPr>
        <w:t xml:space="preserve"> meetings</w:t>
      </w:r>
      <w:r w:rsidRPr="00924B09">
        <w:rPr>
          <w:lang w:eastAsia="x-none"/>
        </w:rPr>
        <w:t>.</w:t>
      </w:r>
      <w:bookmarkStart w:id="194" w:name="_Toc166248587"/>
      <w:bookmarkStart w:id="195" w:name="_Toc166248678"/>
      <w:bookmarkStart w:id="196" w:name="_Toc166326738"/>
      <w:bookmarkEnd w:id="191"/>
      <w:bookmarkEnd w:id="192"/>
      <w:bookmarkEnd w:id="193"/>
    </w:p>
    <w:p w14:paraId="69DB929F" w14:textId="77777777" w:rsidR="00924B09" w:rsidRDefault="00924B09" w:rsidP="00924B09">
      <w:pPr>
        <w:rPr>
          <w:lang w:eastAsia="x-none"/>
        </w:rPr>
      </w:pPr>
    </w:p>
    <w:p w14:paraId="79529F85" w14:textId="778F15B3" w:rsidR="00C822F5" w:rsidRPr="00924B09" w:rsidRDefault="00EA04D6" w:rsidP="00924B09">
      <w:pPr>
        <w:rPr>
          <w:lang w:eastAsia="x-none"/>
        </w:rPr>
      </w:pPr>
      <w:r w:rsidRPr="00924B09">
        <w:rPr>
          <w:lang w:eastAsia="x-none"/>
        </w:rPr>
        <w:t xml:space="preserve">The </w:t>
      </w:r>
      <w:r w:rsidR="004478DB">
        <w:rPr>
          <w:lang w:eastAsia="x-none"/>
        </w:rPr>
        <w:t>p</w:t>
      </w:r>
      <w:r w:rsidRPr="00924B09">
        <w:rPr>
          <w:lang w:eastAsia="x-none"/>
        </w:rPr>
        <w:t xml:space="preserve">rocurement function is subject to periodic </w:t>
      </w:r>
      <w:r w:rsidR="00055D7A">
        <w:rPr>
          <w:lang w:eastAsia="x-none"/>
        </w:rPr>
        <w:t>i</w:t>
      </w:r>
      <w:r w:rsidRPr="00924B09">
        <w:rPr>
          <w:lang w:eastAsia="x-none"/>
        </w:rPr>
        <w:t xml:space="preserve">nternal </w:t>
      </w:r>
      <w:r w:rsidR="00055D7A">
        <w:rPr>
          <w:lang w:eastAsia="x-none"/>
        </w:rPr>
        <w:t>a</w:t>
      </w:r>
      <w:r w:rsidRPr="00924B09">
        <w:rPr>
          <w:lang w:eastAsia="x-none"/>
        </w:rPr>
        <w:t xml:space="preserve">udit review with any recommendations for improvement considered by the </w:t>
      </w:r>
      <w:r w:rsidR="00055D7A">
        <w:rPr>
          <w:lang w:eastAsia="x-none"/>
        </w:rPr>
        <w:t>Corporate Leadership Team</w:t>
      </w:r>
      <w:r w:rsidR="00FE4428">
        <w:rPr>
          <w:lang w:eastAsia="x-none"/>
        </w:rPr>
        <w:t xml:space="preserve"> (</w:t>
      </w:r>
      <w:r w:rsidR="00114335" w:rsidRPr="00924B09">
        <w:rPr>
          <w:lang w:eastAsia="x-none"/>
        </w:rPr>
        <w:t>CLT</w:t>
      </w:r>
      <w:r w:rsidR="00FE4428">
        <w:rPr>
          <w:lang w:eastAsia="x-none"/>
        </w:rPr>
        <w:t>)</w:t>
      </w:r>
      <w:r w:rsidR="00422EBD" w:rsidRPr="00924B09">
        <w:rPr>
          <w:lang w:eastAsia="x-none"/>
        </w:rPr>
        <w:t>.</w:t>
      </w:r>
      <w:r w:rsidRPr="00924B09">
        <w:rPr>
          <w:lang w:eastAsia="x-none"/>
        </w:rPr>
        <w:t xml:space="preserve"> </w:t>
      </w:r>
      <w:r w:rsidR="006232E3" w:rsidRPr="00924B09">
        <w:rPr>
          <w:lang w:eastAsia="x-none"/>
        </w:rPr>
        <w:t>P</w:t>
      </w:r>
      <w:r w:rsidR="0065755C" w:rsidRPr="00924B09">
        <w:rPr>
          <w:lang w:eastAsia="x-none"/>
        </w:rPr>
        <w:t>rogress</w:t>
      </w:r>
      <w:r w:rsidR="006232E3" w:rsidRPr="00924B09">
        <w:rPr>
          <w:lang w:eastAsia="x-none"/>
        </w:rPr>
        <w:t xml:space="preserve"> against the </w:t>
      </w:r>
      <w:r w:rsidR="00F51BC5">
        <w:rPr>
          <w:lang w:eastAsia="x-none"/>
        </w:rPr>
        <w:t>S</w:t>
      </w:r>
      <w:r w:rsidR="006232E3" w:rsidRPr="00924B09">
        <w:rPr>
          <w:lang w:eastAsia="x-none"/>
        </w:rPr>
        <w:t>trategy</w:t>
      </w:r>
      <w:r w:rsidR="0065755C" w:rsidRPr="00924B09">
        <w:rPr>
          <w:lang w:eastAsia="x-none"/>
        </w:rPr>
        <w:t xml:space="preserve"> is</w:t>
      </w:r>
      <w:r w:rsidRPr="00924B09">
        <w:rPr>
          <w:lang w:eastAsia="x-none"/>
        </w:rPr>
        <w:t xml:space="preserve"> reviewed </w:t>
      </w:r>
      <w:proofErr w:type="gramStart"/>
      <w:r w:rsidRPr="00924B09">
        <w:rPr>
          <w:lang w:eastAsia="x-none"/>
        </w:rPr>
        <w:t>annually</w:t>
      </w:r>
      <w:proofErr w:type="gramEnd"/>
      <w:r w:rsidRPr="00924B09">
        <w:rPr>
          <w:lang w:eastAsia="x-none"/>
        </w:rPr>
        <w:t xml:space="preserve"> and the outcome of the reviews are reported to the </w:t>
      </w:r>
      <w:r w:rsidR="00114335" w:rsidRPr="00924B09">
        <w:rPr>
          <w:lang w:eastAsia="x-none"/>
        </w:rPr>
        <w:t>CLT</w:t>
      </w:r>
      <w:r w:rsidRPr="00924B09">
        <w:rPr>
          <w:lang w:eastAsia="x-none"/>
        </w:rPr>
        <w:t xml:space="preserve"> including information on key contracts awarded in the year, annual spend information and changes in legislation.</w:t>
      </w:r>
      <w:bookmarkEnd w:id="194"/>
      <w:bookmarkEnd w:id="195"/>
      <w:bookmarkEnd w:id="196"/>
      <w:r w:rsidRPr="00924B09">
        <w:rPr>
          <w:lang w:eastAsia="x-none"/>
        </w:rPr>
        <w:t xml:space="preserve"> </w:t>
      </w:r>
    </w:p>
    <w:p w14:paraId="0C56689A" w14:textId="77777777" w:rsidR="00FE4428" w:rsidRPr="00924B09" w:rsidRDefault="00FE4428" w:rsidP="00924B09">
      <w:pPr>
        <w:rPr>
          <w:lang w:eastAsia="x-none"/>
        </w:rPr>
      </w:pPr>
    </w:p>
    <w:p w14:paraId="66B90444" w14:textId="5B93093E" w:rsidR="0070552C" w:rsidRPr="006D4A47" w:rsidRDefault="00EA04D6" w:rsidP="00AC755B">
      <w:pPr>
        <w:pStyle w:val="KAHead1"/>
        <w:numPr>
          <w:ilvl w:val="0"/>
          <w:numId w:val="0"/>
        </w:numPr>
        <w:tabs>
          <w:tab w:val="left" w:pos="993"/>
        </w:tabs>
        <w:spacing w:after="0" w:line="360" w:lineRule="auto"/>
        <w:rPr>
          <w:rFonts w:asciiTheme="minorHAnsi" w:eastAsiaTheme="minorEastAsia" w:hAnsiTheme="minorHAnsi" w:cstheme="minorBidi"/>
          <w:b w:val="0"/>
          <w:bCs w:val="0"/>
          <w:color w:val="FF0000"/>
          <w:sz w:val="24"/>
          <w:szCs w:val="24"/>
        </w:rPr>
      </w:pPr>
      <w:bookmarkStart w:id="197" w:name="_Toc166248588"/>
      <w:bookmarkStart w:id="198" w:name="_Toc166248679"/>
      <w:bookmarkStart w:id="199" w:name="_Toc166326739"/>
      <w:bookmarkStart w:id="200" w:name="_Toc167718098"/>
      <w:bookmarkStart w:id="201" w:name="_Toc167821741"/>
      <w:bookmarkStart w:id="202" w:name="_Toc167822456"/>
      <w:bookmarkStart w:id="203" w:name="_Toc167875548"/>
      <w:r w:rsidRPr="00F435EC">
        <w:rPr>
          <w:rFonts w:asciiTheme="minorHAnsi" w:eastAsiaTheme="minorEastAsia" w:hAnsiTheme="minorHAnsi" w:cstheme="minorBidi"/>
          <w:b w:val="0"/>
          <w:bCs w:val="0"/>
          <w:color w:val="auto"/>
          <w:sz w:val="24"/>
          <w:szCs w:val="24"/>
        </w:rPr>
        <w:t>Team actions</w:t>
      </w:r>
      <w:r w:rsidR="006D4A47">
        <w:rPr>
          <w:rFonts w:asciiTheme="minorHAnsi" w:eastAsiaTheme="minorEastAsia" w:hAnsiTheme="minorHAnsi" w:cstheme="minorBidi"/>
          <w:b w:val="0"/>
          <w:bCs w:val="0"/>
          <w:color w:val="auto"/>
          <w:sz w:val="24"/>
          <w:szCs w:val="24"/>
        </w:rPr>
        <w:t xml:space="preserve"> plans</w:t>
      </w:r>
      <w:r w:rsidRPr="00F435EC">
        <w:rPr>
          <w:rFonts w:asciiTheme="minorHAnsi" w:eastAsiaTheme="minorEastAsia" w:hAnsiTheme="minorHAnsi" w:cstheme="minorBidi"/>
          <w:b w:val="0"/>
          <w:bCs w:val="0"/>
          <w:color w:val="auto"/>
          <w:sz w:val="24"/>
          <w:szCs w:val="24"/>
        </w:rPr>
        <w:t xml:space="preserve"> are also included in the Corporate and Business Plan process and the actions are monitored regularly.</w:t>
      </w:r>
      <w:bookmarkEnd w:id="197"/>
      <w:bookmarkEnd w:id="198"/>
      <w:bookmarkEnd w:id="199"/>
      <w:bookmarkEnd w:id="200"/>
      <w:bookmarkEnd w:id="201"/>
      <w:bookmarkEnd w:id="202"/>
      <w:bookmarkEnd w:id="203"/>
      <w:r w:rsidR="006D4A47">
        <w:rPr>
          <w:rFonts w:asciiTheme="minorHAnsi" w:eastAsiaTheme="minorEastAsia" w:hAnsiTheme="minorHAnsi" w:cstheme="minorBidi"/>
          <w:b w:val="0"/>
          <w:bCs w:val="0"/>
          <w:color w:val="auto"/>
          <w:sz w:val="24"/>
          <w:szCs w:val="24"/>
        </w:rPr>
        <w:t xml:space="preserve"> </w:t>
      </w:r>
      <w:r w:rsidR="006D4A47" w:rsidRPr="003737B8">
        <w:rPr>
          <w:rFonts w:asciiTheme="minorHAnsi" w:eastAsiaTheme="minorEastAsia" w:hAnsiTheme="minorHAnsi" w:cstheme="minorBidi"/>
          <w:b w:val="0"/>
          <w:bCs w:val="0"/>
          <w:color w:val="auto"/>
          <w:sz w:val="24"/>
          <w:szCs w:val="24"/>
        </w:rPr>
        <w:t xml:space="preserve">These will be further reviewed and developed to capture </w:t>
      </w:r>
      <w:r w:rsidR="006E0B0F" w:rsidRPr="003737B8">
        <w:rPr>
          <w:rFonts w:asciiTheme="minorHAnsi" w:eastAsiaTheme="minorEastAsia" w:hAnsiTheme="minorHAnsi" w:cstheme="minorBidi"/>
          <w:b w:val="0"/>
          <w:bCs w:val="0"/>
          <w:color w:val="auto"/>
          <w:sz w:val="24"/>
          <w:szCs w:val="24"/>
        </w:rPr>
        <w:t xml:space="preserve">commercial theme </w:t>
      </w:r>
      <w:r w:rsidR="00821BDB" w:rsidRPr="003737B8">
        <w:rPr>
          <w:rFonts w:asciiTheme="minorHAnsi" w:eastAsiaTheme="minorEastAsia" w:hAnsiTheme="minorHAnsi" w:cstheme="minorBidi"/>
          <w:b w:val="0"/>
          <w:bCs w:val="0"/>
          <w:color w:val="auto"/>
          <w:sz w:val="24"/>
          <w:szCs w:val="24"/>
        </w:rPr>
        <w:t>improvements identified as part of the scheduled PCIP review</w:t>
      </w:r>
      <w:r w:rsidR="005E1D12" w:rsidRPr="003737B8">
        <w:rPr>
          <w:rFonts w:asciiTheme="minorHAnsi" w:eastAsiaTheme="minorEastAsia" w:hAnsiTheme="minorHAnsi" w:cstheme="minorBidi"/>
          <w:b w:val="0"/>
          <w:bCs w:val="0"/>
          <w:color w:val="auto"/>
          <w:sz w:val="24"/>
          <w:szCs w:val="24"/>
        </w:rPr>
        <w:t xml:space="preserve"> (</w:t>
      </w:r>
      <w:r w:rsidR="004968A5" w:rsidRPr="003737B8">
        <w:rPr>
          <w:rFonts w:asciiTheme="minorHAnsi" w:eastAsiaTheme="minorEastAsia" w:hAnsiTheme="minorHAnsi" w:cstheme="minorBidi"/>
          <w:b w:val="0"/>
          <w:bCs w:val="0"/>
          <w:color w:val="auto"/>
          <w:sz w:val="24"/>
          <w:szCs w:val="24"/>
        </w:rPr>
        <w:fldChar w:fldCharType="begin"/>
      </w:r>
      <w:r w:rsidR="004968A5" w:rsidRPr="003737B8">
        <w:rPr>
          <w:rFonts w:asciiTheme="minorHAnsi" w:eastAsiaTheme="minorEastAsia" w:hAnsiTheme="minorHAnsi" w:cstheme="minorBidi"/>
          <w:b w:val="0"/>
          <w:bCs w:val="0"/>
          <w:color w:val="auto"/>
          <w:sz w:val="24"/>
          <w:szCs w:val="24"/>
        </w:rPr>
        <w:instrText xml:space="preserve"> REF _Ref173774761 \w \h </w:instrText>
      </w:r>
      <w:r w:rsidR="004968A5" w:rsidRPr="003737B8">
        <w:rPr>
          <w:rFonts w:asciiTheme="minorHAnsi" w:eastAsiaTheme="minorEastAsia" w:hAnsiTheme="minorHAnsi" w:cstheme="minorBidi"/>
          <w:b w:val="0"/>
          <w:bCs w:val="0"/>
          <w:color w:val="auto"/>
          <w:sz w:val="24"/>
          <w:szCs w:val="24"/>
        </w:rPr>
      </w:r>
      <w:r w:rsidR="004968A5" w:rsidRPr="003737B8">
        <w:rPr>
          <w:rFonts w:asciiTheme="minorHAnsi" w:eastAsiaTheme="minorEastAsia" w:hAnsiTheme="minorHAnsi" w:cstheme="minorBidi"/>
          <w:b w:val="0"/>
          <w:bCs w:val="0"/>
          <w:color w:val="auto"/>
          <w:sz w:val="24"/>
          <w:szCs w:val="24"/>
        </w:rPr>
        <w:fldChar w:fldCharType="separate"/>
      </w:r>
      <w:r w:rsidR="004968A5" w:rsidRPr="003737B8">
        <w:rPr>
          <w:rFonts w:asciiTheme="minorHAnsi" w:eastAsiaTheme="minorEastAsia" w:hAnsiTheme="minorHAnsi" w:cstheme="minorBidi"/>
          <w:b w:val="0"/>
          <w:bCs w:val="0"/>
          <w:color w:val="auto"/>
          <w:sz w:val="24"/>
          <w:szCs w:val="24"/>
        </w:rPr>
        <w:t>6.3</w:t>
      </w:r>
      <w:r w:rsidR="004968A5" w:rsidRPr="003737B8">
        <w:rPr>
          <w:rFonts w:asciiTheme="minorHAnsi" w:eastAsiaTheme="minorEastAsia" w:hAnsiTheme="minorHAnsi" w:cstheme="minorBidi"/>
          <w:b w:val="0"/>
          <w:bCs w:val="0"/>
          <w:color w:val="auto"/>
          <w:sz w:val="24"/>
          <w:szCs w:val="24"/>
        </w:rPr>
        <w:fldChar w:fldCharType="end"/>
      </w:r>
      <w:r w:rsidR="005E1D12" w:rsidRPr="003737B8">
        <w:rPr>
          <w:rFonts w:asciiTheme="minorHAnsi" w:eastAsiaTheme="minorEastAsia" w:hAnsiTheme="minorHAnsi" w:cstheme="minorBidi"/>
          <w:b w:val="0"/>
          <w:bCs w:val="0"/>
          <w:color w:val="auto"/>
          <w:sz w:val="24"/>
          <w:szCs w:val="24"/>
        </w:rPr>
        <w:t xml:space="preserve"> c</w:t>
      </w:r>
      <w:r w:rsidR="00022070" w:rsidRPr="003737B8">
        <w:rPr>
          <w:rFonts w:asciiTheme="minorHAnsi" w:eastAsiaTheme="minorEastAsia" w:hAnsiTheme="minorHAnsi" w:cstheme="minorBidi"/>
          <w:b w:val="0"/>
          <w:bCs w:val="0"/>
          <w:color w:val="auto"/>
          <w:sz w:val="24"/>
          <w:szCs w:val="24"/>
        </w:rPr>
        <w:t>)</w:t>
      </w:r>
      <w:r w:rsidR="005E1D12" w:rsidRPr="003737B8">
        <w:rPr>
          <w:rFonts w:asciiTheme="minorHAnsi" w:eastAsiaTheme="minorEastAsia" w:hAnsiTheme="minorHAnsi" w:cstheme="minorBidi"/>
          <w:b w:val="0"/>
          <w:bCs w:val="0"/>
          <w:color w:val="auto"/>
          <w:sz w:val="24"/>
          <w:szCs w:val="24"/>
        </w:rPr>
        <w:t xml:space="preserve">, </w:t>
      </w:r>
      <w:r w:rsidR="00821BDB" w:rsidRPr="003737B8">
        <w:rPr>
          <w:rFonts w:asciiTheme="minorHAnsi" w:eastAsiaTheme="minorEastAsia" w:hAnsiTheme="minorHAnsi" w:cstheme="minorBidi"/>
          <w:b w:val="0"/>
          <w:bCs w:val="0"/>
          <w:color w:val="auto"/>
          <w:sz w:val="24"/>
          <w:szCs w:val="24"/>
        </w:rPr>
        <w:t>scheduled for Aug 2024.</w:t>
      </w:r>
    </w:p>
    <w:p w14:paraId="6B9A84D9" w14:textId="77777777" w:rsidR="002750BD" w:rsidRDefault="002750BD" w:rsidP="00AC755B">
      <w:pPr>
        <w:pStyle w:val="KAHead1"/>
        <w:numPr>
          <w:ilvl w:val="0"/>
          <w:numId w:val="0"/>
        </w:numPr>
        <w:tabs>
          <w:tab w:val="left" w:pos="993"/>
        </w:tabs>
        <w:spacing w:after="0" w:line="360" w:lineRule="auto"/>
        <w:rPr>
          <w:rFonts w:asciiTheme="minorHAnsi" w:eastAsiaTheme="minorEastAsia" w:hAnsiTheme="minorHAnsi" w:cstheme="minorBidi"/>
          <w:b w:val="0"/>
          <w:bCs w:val="0"/>
          <w:color w:val="auto"/>
          <w:sz w:val="24"/>
          <w:szCs w:val="24"/>
        </w:rPr>
      </w:pPr>
    </w:p>
    <w:p w14:paraId="0C53F3AE" w14:textId="2F45F56D" w:rsidR="005F463E" w:rsidRPr="00CE3F53" w:rsidRDefault="005F463E" w:rsidP="00312714">
      <w:pPr>
        <w:pStyle w:val="Heading3"/>
        <w:numPr>
          <w:ilvl w:val="1"/>
          <w:numId w:val="3"/>
        </w:numPr>
        <w:spacing w:after="0" w:line="360" w:lineRule="auto"/>
      </w:pPr>
      <w:bookmarkStart w:id="204" w:name="_Ref173829271"/>
      <w:r w:rsidRPr="00CE3F53">
        <w:t xml:space="preserve">Annual </w:t>
      </w:r>
      <w:r w:rsidR="008C772F">
        <w:t>r</w:t>
      </w:r>
      <w:r w:rsidRPr="00CE3F53">
        <w:t>eporting</w:t>
      </w:r>
      <w:bookmarkEnd w:id="204"/>
    </w:p>
    <w:p w14:paraId="7E71D322" w14:textId="77777777" w:rsidR="001C050D" w:rsidRPr="001C050D" w:rsidRDefault="001C050D" w:rsidP="001C050D">
      <w:pPr>
        <w:pStyle w:val="ListParagraph"/>
        <w:tabs>
          <w:tab w:val="left" w:pos="720"/>
          <w:tab w:val="left" w:pos="1440"/>
          <w:tab w:val="left" w:pos="2160"/>
          <w:tab w:val="left" w:pos="2880"/>
          <w:tab w:val="left" w:pos="4680"/>
          <w:tab w:val="left" w:pos="5400"/>
          <w:tab w:val="right" w:pos="9000"/>
        </w:tabs>
        <w:spacing w:line="240" w:lineRule="auto"/>
        <w:ind w:left="792"/>
        <w:jc w:val="both"/>
        <w:rPr>
          <w:color w:val="016574" w:themeColor="accent1"/>
        </w:rPr>
      </w:pPr>
    </w:p>
    <w:p w14:paraId="5474DC62" w14:textId="791513B0" w:rsidR="006302AE" w:rsidRDefault="004C3AB0" w:rsidP="004D14C1">
      <w:r>
        <w:t xml:space="preserve">In accordance with </w:t>
      </w:r>
      <w:hyperlink r:id="rId46" w:history="1">
        <w:r w:rsidRPr="00BD23D3">
          <w:rPr>
            <w:rStyle w:val="Hyperlink"/>
          </w:rPr>
          <w:t>Section 18(2) of The Procurement Reform (Scotland) Act 2014</w:t>
        </w:r>
      </w:hyperlink>
      <w:r>
        <w:t xml:space="preserve"> an Annual Procurement Report is published annually. The Annual Procurement Report includes: </w:t>
      </w:r>
    </w:p>
    <w:p w14:paraId="47FCBB0E" w14:textId="77777777" w:rsidR="006302AE" w:rsidRDefault="006302AE" w:rsidP="00D252FF">
      <w:pPr>
        <w:spacing w:line="240" w:lineRule="auto"/>
      </w:pPr>
    </w:p>
    <w:p w14:paraId="5830CFA4" w14:textId="575DB76C" w:rsidR="006302AE" w:rsidRDefault="004C3AB0" w:rsidP="004D14C1">
      <w:pPr>
        <w:pStyle w:val="ListParagraph"/>
        <w:numPr>
          <w:ilvl w:val="0"/>
          <w:numId w:val="12"/>
        </w:numPr>
        <w:ind w:left="714" w:hanging="357"/>
      </w:pPr>
      <w:r>
        <w:t>A summary of the regulated procurements that have been completed during the period covered by the report</w:t>
      </w:r>
      <w:r w:rsidR="008C772F">
        <w:t>.</w:t>
      </w:r>
      <w:r>
        <w:t xml:space="preserve"> </w:t>
      </w:r>
    </w:p>
    <w:p w14:paraId="6F5BA0A1" w14:textId="60EF9D7C" w:rsidR="006302AE" w:rsidRDefault="004C3AB0" w:rsidP="004D14C1">
      <w:pPr>
        <w:pStyle w:val="ListParagraph"/>
        <w:numPr>
          <w:ilvl w:val="0"/>
          <w:numId w:val="12"/>
        </w:numPr>
        <w:ind w:left="714" w:hanging="357"/>
      </w:pPr>
      <w:r>
        <w:t>A review of whether those procurements complied with S</w:t>
      </w:r>
      <w:r w:rsidR="006302AE">
        <w:t>EP</w:t>
      </w:r>
      <w:r>
        <w:t>A’s Procurement Strategy</w:t>
      </w:r>
      <w:r w:rsidR="00F5120D">
        <w:t>.</w:t>
      </w:r>
      <w:r>
        <w:t xml:space="preserve"> </w:t>
      </w:r>
    </w:p>
    <w:p w14:paraId="7146A89D" w14:textId="492C4C47" w:rsidR="006302AE" w:rsidRDefault="004C3AB0" w:rsidP="004D14C1">
      <w:pPr>
        <w:pStyle w:val="ListParagraph"/>
        <w:numPr>
          <w:ilvl w:val="0"/>
          <w:numId w:val="12"/>
        </w:numPr>
        <w:ind w:left="714" w:hanging="357"/>
      </w:pPr>
      <w:r>
        <w:t>The extent to which any regulated procurements did not comply, and a statement detailing how S</w:t>
      </w:r>
      <w:r w:rsidR="006302AE">
        <w:t>EP</w:t>
      </w:r>
      <w:r>
        <w:t>A will ensure that future regulated procurements do comply</w:t>
      </w:r>
      <w:r w:rsidR="00F5120D">
        <w:t>.</w:t>
      </w:r>
    </w:p>
    <w:p w14:paraId="75ECCBA0" w14:textId="196EF100" w:rsidR="006302AE" w:rsidRDefault="004C3AB0" w:rsidP="004D14C1">
      <w:pPr>
        <w:pStyle w:val="ListParagraph"/>
        <w:numPr>
          <w:ilvl w:val="0"/>
          <w:numId w:val="12"/>
        </w:numPr>
        <w:ind w:left="714" w:hanging="357"/>
      </w:pPr>
      <w:r>
        <w:t>A summary of any community benefit requirements imposed as part of a regulated procurement that were fulfilled during the period covered by the report</w:t>
      </w:r>
      <w:r w:rsidR="00C36EF8">
        <w:t>.</w:t>
      </w:r>
      <w:r>
        <w:t xml:space="preserve"> </w:t>
      </w:r>
    </w:p>
    <w:p w14:paraId="33742EDE" w14:textId="00115D1A" w:rsidR="006302AE" w:rsidRDefault="004C3AB0" w:rsidP="004D14C1">
      <w:pPr>
        <w:pStyle w:val="ListParagraph"/>
        <w:numPr>
          <w:ilvl w:val="0"/>
          <w:numId w:val="12"/>
        </w:numPr>
        <w:ind w:left="714" w:hanging="357"/>
      </w:pPr>
      <w:r>
        <w:t>A summary of any steps taken to facilitate the involvement of supported businesses in regulated procurements during the report period</w:t>
      </w:r>
      <w:r w:rsidR="00C36EF8">
        <w:t>.</w:t>
      </w:r>
    </w:p>
    <w:p w14:paraId="0E281CAE" w14:textId="2694491F" w:rsidR="006302AE" w:rsidRDefault="004C3AB0" w:rsidP="004D14C1">
      <w:pPr>
        <w:pStyle w:val="ListParagraph"/>
        <w:numPr>
          <w:ilvl w:val="0"/>
          <w:numId w:val="12"/>
        </w:numPr>
        <w:ind w:left="714" w:hanging="357"/>
      </w:pPr>
      <w:r>
        <w:t>A summary of regulated procurements expected to commence in the next two financial years</w:t>
      </w:r>
      <w:r w:rsidR="00C36EF8">
        <w:t>.</w:t>
      </w:r>
    </w:p>
    <w:p w14:paraId="49D3793C" w14:textId="32980C99" w:rsidR="005F463E" w:rsidRDefault="004C3AB0" w:rsidP="00B62289">
      <w:pPr>
        <w:pStyle w:val="ListParagraph"/>
        <w:numPr>
          <w:ilvl w:val="0"/>
          <w:numId w:val="12"/>
        </w:numPr>
        <w:ind w:left="714" w:hanging="357"/>
      </w:pPr>
      <w:r>
        <w:t>Reporting on other matters as contained within this Strategy.</w:t>
      </w:r>
    </w:p>
    <w:p w14:paraId="016B75C9" w14:textId="77777777" w:rsidR="00F5347A" w:rsidRDefault="00F5347A" w:rsidP="00F5347A">
      <w:pPr>
        <w:pStyle w:val="ListParagraph"/>
        <w:ind w:left="714"/>
      </w:pPr>
    </w:p>
    <w:p w14:paraId="68879E22" w14:textId="441A2BEA" w:rsidR="006C6AED" w:rsidRPr="00BF33A2" w:rsidRDefault="006C6AED" w:rsidP="00DE72B5">
      <w:pPr>
        <w:pStyle w:val="Heading1"/>
        <w:numPr>
          <w:ilvl w:val="0"/>
          <w:numId w:val="3"/>
        </w:numPr>
        <w:ind w:left="709" w:hanging="709"/>
        <w:rPr>
          <w:rFonts w:eastAsia="Times New Roman"/>
        </w:rPr>
      </w:pPr>
      <w:bookmarkStart w:id="205" w:name="_Toc156332790"/>
      <w:bookmarkStart w:id="206" w:name="_Toc167875549"/>
      <w:r>
        <w:rPr>
          <w:rFonts w:eastAsia="Times New Roman"/>
        </w:rPr>
        <w:t xml:space="preserve">Strategy </w:t>
      </w:r>
      <w:r w:rsidR="00C75456">
        <w:rPr>
          <w:rFonts w:eastAsia="Times New Roman"/>
        </w:rPr>
        <w:t>o</w:t>
      </w:r>
      <w:r>
        <w:rPr>
          <w:rFonts w:eastAsia="Times New Roman"/>
        </w:rPr>
        <w:t xml:space="preserve">wnership </w:t>
      </w:r>
      <w:r w:rsidR="00C75456">
        <w:rPr>
          <w:rFonts w:eastAsia="Times New Roman"/>
        </w:rPr>
        <w:t>and</w:t>
      </w:r>
      <w:r>
        <w:rPr>
          <w:rFonts w:eastAsia="Times New Roman"/>
        </w:rPr>
        <w:t xml:space="preserve"> </w:t>
      </w:r>
      <w:r w:rsidR="00C75456">
        <w:rPr>
          <w:rFonts w:eastAsia="Times New Roman"/>
        </w:rPr>
        <w:t>c</w:t>
      </w:r>
      <w:r>
        <w:rPr>
          <w:rFonts w:eastAsia="Times New Roman"/>
        </w:rPr>
        <w:t xml:space="preserve">ontact </w:t>
      </w:r>
      <w:r w:rsidR="00C75456">
        <w:rPr>
          <w:rFonts w:eastAsia="Times New Roman"/>
        </w:rPr>
        <w:t>d</w:t>
      </w:r>
      <w:r>
        <w:rPr>
          <w:rFonts w:eastAsia="Times New Roman"/>
        </w:rPr>
        <w:t>etails</w:t>
      </w:r>
      <w:bookmarkEnd w:id="205"/>
      <w:bookmarkEnd w:id="206"/>
    </w:p>
    <w:p w14:paraId="05C2315D" w14:textId="7960E0ED" w:rsidR="009E4BC8" w:rsidRPr="00390AD4" w:rsidRDefault="00BE174D" w:rsidP="00C75456">
      <w:pPr>
        <w:pStyle w:val="KAHead1"/>
        <w:numPr>
          <w:ilvl w:val="0"/>
          <w:numId w:val="0"/>
        </w:numPr>
        <w:tabs>
          <w:tab w:val="left" w:pos="993"/>
        </w:tabs>
        <w:spacing w:after="0" w:line="360" w:lineRule="auto"/>
        <w:rPr>
          <w:rFonts w:asciiTheme="minorHAnsi" w:eastAsiaTheme="minorEastAsia" w:hAnsiTheme="minorHAnsi" w:cstheme="minorHAnsi"/>
          <w:b w:val="0"/>
          <w:bCs w:val="0"/>
          <w:color w:val="auto"/>
          <w:sz w:val="24"/>
          <w:szCs w:val="24"/>
        </w:rPr>
      </w:pPr>
      <w:bookmarkStart w:id="207" w:name="_Toc166248682"/>
      <w:bookmarkStart w:id="208" w:name="_Toc166326742"/>
      <w:bookmarkStart w:id="209" w:name="_Toc167718100"/>
      <w:bookmarkStart w:id="210" w:name="_Toc167821743"/>
      <w:bookmarkStart w:id="211" w:name="_Toc167822458"/>
      <w:bookmarkStart w:id="212" w:name="_Toc167875550"/>
      <w:bookmarkStart w:id="213" w:name="_Toc156332791"/>
      <w:r w:rsidRPr="00390AD4">
        <w:rPr>
          <w:rFonts w:asciiTheme="minorHAnsi" w:eastAsiaTheme="minorEastAsia" w:hAnsiTheme="minorHAnsi" w:cstheme="minorHAnsi"/>
          <w:b w:val="0"/>
          <w:bCs w:val="0"/>
          <w:color w:val="auto"/>
          <w:sz w:val="24"/>
          <w:szCs w:val="24"/>
        </w:rPr>
        <w:t xml:space="preserve">The owner of the Corporate Procurement Strategy </w:t>
      </w:r>
      <w:r w:rsidR="00C36EF8">
        <w:rPr>
          <w:rFonts w:asciiTheme="minorHAnsi" w:eastAsiaTheme="minorEastAsia" w:hAnsiTheme="minorHAnsi" w:cstheme="minorHAnsi"/>
          <w:b w:val="0"/>
          <w:bCs w:val="0"/>
          <w:color w:val="auto"/>
          <w:sz w:val="24"/>
          <w:szCs w:val="24"/>
        </w:rPr>
        <w:t xml:space="preserve">is </w:t>
      </w:r>
      <w:bookmarkStart w:id="214" w:name="_Toc166248683"/>
      <w:bookmarkStart w:id="215" w:name="_Toc166326743"/>
      <w:bookmarkEnd w:id="207"/>
      <w:bookmarkEnd w:id="208"/>
      <w:r w:rsidRPr="00390AD4">
        <w:rPr>
          <w:rFonts w:asciiTheme="minorHAnsi" w:eastAsiaTheme="minorEastAsia" w:hAnsiTheme="minorHAnsi" w:cstheme="minorHAnsi"/>
          <w:b w:val="0"/>
          <w:bCs w:val="0"/>
          <w:color w:val="auto"/>
          <w:sz w:val="24"/>
          <w:szCs w:val="24"/>
        </w:rPr>
        <w:t>Angela Milloy</w:t>
      </w:r>
      <w:bookmarkStart w:id="216" w:name="_Toc166248684"/>
      <w:bookmarkStart w:id="217" w:name="_Toc166326744"/>
      <w:bookmarkEnd w:id="214"/>
      <w:bookmarkEnd w:id="215"/>
      <w:r w:rsidR="00C36EF8">
        <w:rPr>
          <w:rFonts w:asciiTheme="minorHAnsi" w:eastAsiaTheme="minorEastAsia" w:hAnsiTheme="minorHAnsi" w:cstheme="minorHAnsi"/>
          <w:b w:val="0"/>
          <w:bCs w:val="0"/>
          <w:color w:val="auto"/>
          <w:sz w:val="24"/>
          <w:szCs w:val="24"/>
        </w:rPr>
        <w:t xml:space="preserve">, </w:t>
      </w:r>
      <w:r w:rsidRPr="00390AD4">
        <w:rPr>
          <w:rFonts w:asciiTheme="minorHAnsi" w:eastAsiaTheme="minorEastAsia" w:hAnsiTheme="minorHAnsi" w:cstheme="minorHAnsi"/>
          <w:b w:val="0"/>
          <w:bCs w:val="0"/>
          <w:color w:val="auto"/>
          <w:sz w:val="24"/>
          <w:szCs w:val="24"/>
        </w:rPr>
        <w:t xml:space="preserve">Head of Finance, </w:t>
      </w:r>
      <w:r w:rsidR="009E4BC8" w:rsidRPr="00390AD4">
        <w:rPr>
          <w:rFonts w:asciiTheme="minorHAnsi" w:eastAsiaTheme="minorEastAsia" w:hAnsiTheme="minorHAnsi" w:cstheme="minorHAnsi"/>
          <w:b w:val="0"/>
          <w:bCs w:val="0"/>
          <w:color w:val="auto"/>
          <w:sz w:val="24"/>
          <w:szCs w:val="24"/>
        </w:rPr>
        <w:t xml:space="preserve">Modernisation </w:t>
      </w:r>
      <w:r w:rsidR="00C36EF8">
        <w:rPr>
          <w:rFonts w:asciiTheme="minorHAnsi" w:eastAsiaTheme="minorEastAsia" w:hAnsiTheme="minorHAnsi" w:cstheme="minorHAnsi"/>
          <w:b w:val="0"/>
          <w:bCs w:val="0"/>
          <w:color w:val="auto"/>
          <w:sz w:val="24"/>
          <w:szCs w:val="24"/>
        </w:rPr>
        <w:t>and</w:t>
      </w:r>
      <w:r w:rsidR="009E4BC8" w:rsidRPr="00390AD4">
        <w:rPr>
          <w:rFonts w:asciiTheme="minorHAnsi" w:eastAsiaTheme="minorEastAsia" w:hAnsiTheme="minorHAnsi" w:cstheme="minorHAnsi"/>
          <w:b w:val="0"/>
          <w:bCs w:val="0"/>
          <w:color w:val="auto"/>
          <w:sz w:val="24"/>
          <w:szCs w:val="24"/>
        </w:rPr>
        <w:t xml:space="preserve"> Digital</w:t>
      </w:r>
      <w:bookmarkEnd w:id="216"/>
      <w:bookmarkEnd w:id="217"/>
      <w:r w:rsidR="00553051">
        <w:rPr>
          <w:rFonts w:asciiTheme="minorHAnsi" w:eastAsiaTheme="minorEastAsia" w:hAnsiTheme="minorHAnsi" w:cstheme="minorHAnsi"/>
          <w:b w:val="0"/>
          <w:bCs w:val="0"/>
          <w:color w:val="auto"/>
          <w:sz w:val="24"/>
          <w:szCs w:val="24"/>
        </w:rPr>
        <w:t>.  Email: a</w:t>
      </w:r>
      <w:r w:rsidR="009E4BC8" w:rsidRPr="00C36EF8">
        <w:rPr>
          <w:rFonts w:asciiTheme="minorHAnsi" w:eastAsiaTheme="minorEastAsia" w:hAnsiTheme="minorHAnsi" w:cstheme="minorHAnsi"/>
          <w:b w:val="0"/>
          <w:bCs w:val="0"/>
          <w:color w:val="auto"/>
          <w:sz w:val="24"/>
          <w:szCs w:val="24"/>
        </w:rPr>
        <w:t>ngela</w:t>
      </w:r>
      <w:bookmarkStart w:id="218" w:name="_Toc166248685"/>
      <w:bookmarkStart w:id="219" w:name="_Toc166326745"/>
      <w:r w:rsidR="009E4BC8" w:rsidRPr="00390AD4">
        <w:rPr>
          <w:rFonts w:asciiTheme="minorHAnsi" w:eastAsiaTheme="minorEastAsia" w:hAnsiTheme="minorHAnsi" w:cstheme="minorHAnsi"/>
          <w:b w:val="0"/>
          <w:bCs w:val="0"/>
          <w:color w:val="auto"/>
          <w:sz w:val="24"/>
          <w:szCs w:val="24"/>
        </w:rPr>
        <w:t>.milloy@sepa.org.uk</w:t>
      </w:r>
      <w:bookmarkEnd w:id="218"/>
      <w:bookmarkEnd w:id="219"/>
      <w:r w:rsidR="00553051">
        <w:rPr>
          <w:rFonts w:asciiTheme="minorHAnsi" w:eastAsiaTheme="minorEastAsia" w:hAnsiTheme="minorHAnsi" w:cstheme="minorHAnsi"/>
          <w:b w:val="0"/>
          <w:bCs w:val="0"/>
          <w:color w:val="auto"/>
          <w:sz w:val="24"/>
          <w:szCs w:val="24"/>
        </w:rPr>
        <w:t>.</w:t>
      </w:r>
      <w:bookmarkEnd w:id="209"/>
      <w:bookmarkEnd w:id="210"/>
      <w:bookmarkEnd w:id="211"/>
      <w:bookmarkEnd w:id="212"/>
    </w:p>
    <w:p w14:paraId="7B92BE76" w14:textId="77777777" w:rsidR="00600572" w:rsidRDefault="00600572" w:rsidP="006C6AED">
      <w:pPr>
        <w:pStyle w:val="Heading1"/>
        <w:rPr>
          <w:rFonts w:eastAsia="Times New Roman"/>
        </w:rPr>
      </w:pPr>
    </w:p>
    <w:p w14:paraId="54A6FF74" w14:textId="77777777" w:rsidR="00660EC8" w:rsidRDefault="00660EC8" w:rsidP="00897762">
      <w:pPr>
        <w:pStyle w:val="Heading1"/>
        <w:rPr>
          <w:rFonts w:cs="Calibri"/>
          <w:sz w:val="24"/>
          <w:szCs w:val="24"/>
          <w:lang w:val="en-US"/>
        </w:rPr>
      </w:pPr>
      <w:bookmarkStart w:id="220" w:name="_Toc156332792"/>
      <w:bookmarkEnd w:id="213"/>
    </w:p>
    <w:p w14:paraId="1CDBDF41" w14:textId="77777777" w:rsidR="00C05FF2" w:rsidRDefault="00C05FF2" w:rsidP="006C6AED">
      <w:pPr>
        <w:pStyle w:val="Heading1"/>
        <w:rPr>
          <w:rFonts w:eastAsia="Times New Roman"/>
        </w:rPr>
      </w:pPr>
    </w:p>
    <w:p w14:paraId="5C7C51EF" w14:textId="32BF9607" w:rsidR="002F7A9E" w:rsidRPr="001777BA" w:rsidRDefault="006F67E3" w:rsidP="001777BA">
      <w:pPr>
        <w:spacing w:line="240" w:lineRule="auto"/>
        <w:rPr>
          <w:rFonts w:asciiTheme="majorHAnsi" w:eastAsia="Times New Roman" w:hAnsiTheme="majorHAnsi" w:cstheme="majorBidi"/>
          <w:b/>
          <w:color w:val="016574" w:themeColor="accent2"/>
          <w:sz w:val="40"/>
          <w:szCs w:val="32"/>
        </w:rPr>
      </w:pPr>
      <w:r>
        <w:rPr>
          <w:rFonts w:eastAsia="Times New Roman"/>
        </w:rPr>
        <w:br w:type="page"/>
      </w:r>
      <w:bookmarkStart w:id="221" w:name="_Toc156332793"/>
      <w:bookmarkEnd w:id="220"/>
    </w:p>
    <w:p w14:paraId="2C7F2273" w14:textId="6B626A54" w:rsidR="003A056D" w:rsidRPr="00D9022C" w:rsidRDefault="00C413C7" w:rsidP="00172939">
      <w:pPr>
        <w:pStyle w:val="Heading1"/>
        <w:rPr>
          <w:rFonts w:eastAsia="Times New Roman"/>
        </w:rPr>
      </w:pPr>
      <w:bookmarkStart w:id="222" w:name="_Toc167875551"/>
      <w:r w:rsidRPr="00D9022C">
        <w:rPr>
          <w:rFonts w:eastAsia="Times New Roman"/>
        </w:rPr>
        <w:lastRenderedPageBreak/>
        <w:t>Annex</w:t>
      </w:r>
      <w:r w:rsidR="003A056D" w:rsidRPr="00D9022C">
        <w:rPr>
          <w:rFonts w:eastAsia="Times New Roman"/>
        </w:rPr>
        <w:t xml:space="preserve"> A – Scottish </w:t>
      </w:r>
      <w:r w:rsidR="00553051">
        <w:rPr>
          <w:rFonts w:eastAsia="Times New Roman"/>
        </w:rPr>
        <w:t>m</w:t>
      </w:r>
      <w:r w:rsidR="003A056D" w:rsidRPr="00D9022C">
        <w:rPr>
          <w:rFonts w:eastAsia="Times New Roman"/>
        </w:rPr>
        <w:t xml:space="preserve">odel of </w:t>
      </w:r>
      <w:r w:rsidR="00553051">
        <w:rPr>
          <w:rFonts w:eastAsia="Times New Roman"/>
        </w:rPr>
        <w:t>p</w:t>
      </w:r>
      <w:r w:rsidR="003A056D" w:rsidRPr="00D9022C">
        <w:rPr>
          <w:rFonts w:eastAsia="Times New Roman"/>
        </w:rPr>
        <w:t>rocurement</w:t>
      </w:r>
      <w:bookmarkEnd w:id="222"/>
    </w:p>
    <w:p w14:paraId="7FC834CE" w14:textId="77777777" w:rsidR="003A056D" w:rsidRDefault="003A056D" w:rsidP="003D4B21">
      <w:pPr>
        <w:rPr>
          <w:rFonts w:cstheme="minorHAnsi"/>
          <w:color w:val="FFC000"/>
        </w:rPr>
      </w:pPr>
    </w:p>
    <w:p w14:paraId="6B1D6ED8" w14:textId="63324310" w:rsidR="003A056D" w:rsidRPr="005432E3" w:rsidRDefault="003A056D" w:rsidP="003D4B21">
      <w:pPr>
        <w:rPr>
          <w:rFonts w:cstheme="minorHAnsi"/>
          <w:color w:val="FFC000"/>
        </w:rPr>
      </w:pPr>
      <w:r>
        <w:rPr>
          <w:noProof/>
        </w:rPr>
        <w:drawing>
          <wp:inline distT="0" distB="0" distL="0" distR="0" wp14:anchorId="1A439A8D" wp14:editId="4FC27931">
            <wp:extent cx="6319071" cy="4845050"/>
            <wp:effectExtent l="0" t="0" r="5715" b="0"/>
            <wp:docPr id="1735325892" name="Picture 1" descr="A diagram of the Scottish model of procurement.  Although led by the Scottish Government, the Scottish Model of Procurement is owned by all of the Scottish Public Sector with the aim of promoting the power of public spending to delivery genuine public value beyond simply cost and or quality in procurement.  The aims are listed as follows:&#10;&#10;Quality, cost and sustainability is embedded in: improving supplier access to public contracts; embedding sustainability in all we do; maximising efficiency and collaboration; and delivering savings and benefit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25892" name="Picture 1" descr="A diagram of the Scottish model of procurement.  Although led by the Scottish Government, the Scottish Model of Procurement is owned by all of the Scottish Public Sector with the aim of promoting the power of public spending to delivery genuine public value beyond simply cost and or quality in procurement.  The aims are listed as follows:&#10;&#10;Quality, cost and sustainability is embedded in: improving supplier access to public contracts; embedding sustainability in all we do; maximising efficiency and collaboration; and delivering savings and benefits. ">
                      <a:extLst>
                        <a:ext uri="{C183D7F6-B498-43B3-948B-1728B52AA6E4}">
                          <adec:decorative xmlns:adec="http://schemas.microsoft.com/office/drawing/2017/decorative" val="0"/>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19071" cy="4845050"/>
                    </a:xfrm>
                    <a:prstGeom prst="rect">
                      <a:avLst/>
                    </a:prstGeom>
                    <a:noFill/>
                    <a:ln>
                      <a:noFill/>
                    </a:ln>
                  </pic:spPr>
                </pic:pic>
              </a:graphicData>
            </a:graphic>
          </wp:inline>
        </w:drawing>
      </w:r>
    </w:p>
    <w:p w14:paraId="02FAD161" w14:textId="77777777" w:rsidR="003D4B21" w:rsidRDefault="003D4B21" w:rsidP="006C6AED">
      <w:pPr>
        <w:pStyle w:val="Heading1"/>
        <w:rPr>
          <w:rFonts w:eastAsia="Times New Roman"/>
        </w:rPr>
      </w:pPr>
    </w:p>
    <w:bookmarkEnd w:id="221"/>
    <w:p w14:paraId="703E8837" w14:textId="5AC7A0E2" w:rsidR="009270E1" w:rsidRDefault="009270E1" w:rsidP="00F840FE">
      <w:pPr>
        <w:pStyle w:val="Heading2"/>
        <w:rPr>
          <w:rFonts w:ascii="Arial" w:eastAsia="Times New Roman" w:hAnsi="Arial" w:cs="Arial"/>
          <w:sz w:val="24"/>
          <w:szCs w:val="24"/>
        </w:rPr>
        <w:sectPr w:rsidR="009270E1" w:rsidSect="00391E61">
          <w:headerReference w:type="even" r:id="rId48"/>
          <w:headerReference w:type="default" r:id="rId49"/>
          <w:footerReference w:type="even" r:id="rId50"/>
          <w:footerReference w:type="default" r:id="rId51"/>
          <w:headerReference w:type="first" r:id="rId52"/>
          <w:footerReference w:type="first" r:id="rId53"/>
          <w:pgSz w:w="11900" w:h="16840"/>
          <w:pgMar w:top="839" w:right="839" w:bottom="839" w:left="839" w:header="794" w:footer="567" w:gutter="0"/>
          <w:pgNumType w:start="0"/>
          <w:cols w:space="708"/>
          <w:titlePg/>
          <w:docGrid w:linePitch="360"/>
        </w:sectPr>
      </w:pPr>
    </w:p>
    <w:p w14:paraId="7ECFC58E" w14:textId="77777777" w:rsidR="0049708C" w:rsidRDefault="0049708C" w:rsidP="0049708C">
      <w:pPr>
        <w:pStyle w:val="NormalWeb"/>
      </w:pPr>
      <w:r>
        <w:rPr>
          <w:noProof/>
        </w:rPr>
        <w:lastRenderedPageBreak/>
        <w:drawing>
          <wp:inline distT="0" distB="0" distL="0" distR="0" wp14:anchorId="03DAD8A4" wp14:editId="7C8612BD">
            <wp:extent cx="10039350" cy="6056087"/>
            <wp:effectExtent l="0" t="0" r="0" b="1905"/>
            <wp:docPr id="2" name="Picture 1" descr="Transformation map image with deliverables linked to strategic aims planned over 3 year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ransformation map image with deliverables linked to strategic aims planned over 3 year ter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50784" cy="6062984"/>
                    </a:xfrm>
                    <a:prstGeom prst="rect">
                      <a:avLst/>
                    </a:prstGeom>
                    <a:noFill/>
                    <a:ln>
                      <a:noFill/>
                    </a:ln>
                  </pic:spPr>
                </pic:pic>
              </a:graphicData>
            </a:graphic>
          </wp:inline>
        </w:drawing>
      </w:r>
    </w:p>
    <w:p w14:paraId="472E81DD" w14:textId="3D99FA3A" w:rsidR="001109F9" w:rsidRDefault="001109F9" w:rsidP="00BF33A2">
      <w:pPr>
        <w:spacing w:after="240"/>
        <w:rPr>
          <w:rFonts w:ascii="Arial" w:eastAsia="Times New Roman" w:hAnsi="Arial" w:cs="Arial"/>
        </w:rPr>
        <w:sectPr w:rsidR="001109F9" w:rsidSect="00451CAB">
          <w:pgSz w:w="16840" w:h="11900" w:orient="landscape"/>
          <w:pgMar w:top="839" w:right="839" w:bottom="839" w:left="839" w:header="794" w:footer="567" w:gutter="0"/>
          <w:cols w:space="708"/>
          <w:titlePg/>
          <w:docGrid w:linePitch="360"/>
        </w:sectPr>
      </w:pPr>
    </w:p>
    <w:p w14:paraId="3773D505" w14:textId="77777777" w:rsidR="00637957" w:rsidRDefault="00637957" w:rsidP="00637957">
      <w:pPr>
        <w:pStyle w:val="Heading1"/>
        <w:rPr>
          <w:rFonts w:eastAsia="Times New Roman"/>
        </w:rPr>
      </w:pPr>
      <w:bookmarkStart w:id="223" w:name="_Toc167875600"/>
      <w:r>
        <w:rPr>
          <w:rFonts w:eastAsia="Times New Roman"/>
        </w:rPr>
        <w:lastRenderedPageBreak/>
        <w:t>Glossary</w:t>
      </w:r>
      <w:bookmarkEnd w:id="223"/>
    </w:p>
    <w:p w14:paraId="71BFEF43" w14:textId="77777777" w:rsidR="00637957" w:rsidRDefault="00637957" w:rsidP="00637957">
      <w:r>
        <w:t>The following glossary is a standard list of vocabulary to be found when reviewing procurement related material. This is for reference purposes only and is not limited to this list:</w:t>
      </w:r>
    </w:p>
    <w:tbl>
      <w:tblPr>
        <w:tblW w:w="5000" w:type="pct"/>
        <w:tblLayout w:type="fixed"/>
        <w:tblCellMar>
          <w:left w:w="0" w:type="dxa"/>
          <w:right w:w="0" w:type="dxa"/>
        </w:tblCellMar>
        <w:tblLook w:val="04A0" w:firstRow="1" w:lastRow="0" w:firstColumn="1" w:lastColumn="0" w:noHBand="0" w:noVBand="1"/>
        <w:tblCaption w:val="Glossary"/>
        <w:tblDescription w:val="This table provides a description of procurement terminology as follows:&#10;&#10;Contract management - The process of monitoring the performance of a supplier on a contract.&#10;&#10;Corporate social responsibility - The idea that a company should be interested in and willing to help society and the environment as well as be concerned about the products and profits it makes.&#10;&#10;DPA - Delegated Purchasing Authority - is the authority given to an individual to sign off contracts. It is not to be confused with Delegated Finance Authority as it is important that there is adequate separation of duties between the individual who has finance authority i.e. the budget holder and the individual with purchasing authority i.e. who places the contract.&#10;&#10;DPO - Delegated Purchaser Officer - a permanent individual with Delegated Purchasing Authority (DPA).&#10;&#10;Framework Agreement - 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10;&#10;Key suppliers - Those suppliers identified as business critical in terms of risk/value and business continuity.&#10;&#10;MEAT - The most economically advantageous tender (MEAT) criterion enables the contracting authority to take account of criteria that reflect qualitative, technical and sustainable aspects of the tender submission as well as price when reaching an award decision.&#10;&#10;Open procedure - A one-stage procedure whereby all suppliers are invited to tender for the contract or framework agreement. The organisation cannot limit the number of bids it receives.&#10;&#10;Procurement exercise - Full end to end procurement exercise documentation from strategy development to contract and supplier management.&#10;&#10;Procurement function - The business management function that ensures identification, sourcing, access and management of the external resources that an organisation needs or may need to fulfil its strategic objectives.&#10;&#10;Procurement journey - Revised public procurement toolkit with guidance and templates on the procurement process or construction manual when appropriate. The procurement journey will be enhanced on an on-going basis with feedback from users and any other identified good practice guidance and tools where appropriate to ensure a standardised approach to the supply base.&#10;Procurement Officer Individual who spends the majority of their time working in a role that adds value to the quality, cost and effectiveness of the procurement or acquisition of goods, works and services; impacting upon procurement relationships during one or more stages of the procurement cycle and contributing towards best practice contract and supplier management.&#10;&#10;Procurement Strategy - Strategy for procurement within an organisation (can be called policy).&#10;&#10;Public Contracts Scotland - The national advertising portal used to advertise all Scottish Government goods, services or works contract opportunities.&#10;&#10;Small Medium Enterprise (SME) - The category of micro, small and medium-sized enterprises (SME’s) is made up of enterprises which employ fewer than 250 persons and which have an annual turnover not exceeding 50 million euro and/or an annual balance sheet total not exceeding 43 million euro.&#10;Supply chain - All activities, resources, products etc. involved in creating and moving a product or service from the supplier to the procurer.&#10;&#10;Supply chain management - The coordinated set of techniques to plan and execute all steps used to acquire raw materials from suppliers, transform them into finished goods, and deliver both goods and services to customers. It includes chain-wide information sharing, planning, resources and performance measurements.&#10;&#10;Supported business - Either the organisation's main aim should be the social and professional integration of disabled or disadvantaged persons, or the contract should be performed within a sheltered employment programme.&#10;&#10;Value for Money - An economic assessment by the public sector as to whether a procurement represents value for money; the optimum combination of cost and quality to provide the required service.&#10;&#10;Whole life costing - The costs of acquiring goods or services (including consultancy, design and construction costs, and equipment), the costs of operating it and the costs of maintaining it over its whole life through to its disposal – that is, the total ownership costs. These costs include internal resources and overheads.&#10;"/>
      </w:tblPr>
      <w:tblGrid>
        <w:gridCol w:w="1838"/>
        <w:gridCol w:w="8374"/>
      </w:tblGrid>
      <w:tr w:rsidR="00637957" w:rsidRPr="00BF33A2" w14:paraId="430C779C" w14:textId="77777777">
        <w:trPr>
          <w:cantSplit/>
          <w:trHeight w:val="610"/>
          <w:tblHeader/>
        </w:trPr>
        <w:tc>
          <w:tcPr>
            <w:tcW w:w="900" w:type="pct"/>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15405CE3" w14:textId="77777777" w:rsidR="00637957" w:rsidRPr="00BF33A2" w:rsidRDefault="0063795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Term</w:t>
            </w:r>
          </w:p>
        </w:tc>
        <w:tc>
          <w:tcPr>
            <w:tcW w:w="410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61382C68" w14:textId="77777777" w:rsidR="00637957" w:rsidRPr="00BF33A2" w:rsidRDefault="0063795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r>
      <w:tr w:rsidR="00637957" w:rsidRPr="00BF33A2" w14:paraId="113EAE27" w14:textId="77777777">
        <w:trPr>
          <w:cantSplit/>
          <w:trHeight w:val="315"/>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556FBE" w14:textId="77777777" w:rsidR="00637957" w:rsidRPr="004C2842" w:rsidRDefault="00637957">
            <w:pPr>
              <w:rPr>
                <w:rFonts w:ascii="Arial" w:eastAsia="Times New Roman" w:hAnsi="Arial" w:cs="Arial"/>
                <w:b/>
                <w:lang w:eastAsia="en-GB"/>
              </w:rPr>
            </w:pPr>
            <w:r w:rsidRPr="004C2842">
              <w:rPr>
                <w:b/>
              </w:rPr>
              <w:t xml:space="preserve">Contract </w:t>
            </w:r>
            <w:r w:rsidRPr="004C2842">
              <w:rPr>
                <w:b/>
                <w:bCs/>
              </w:rPr>
              <w:t>management</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AC9E37" w14:textId="77777777" w:rsidR="00637957" w:rsidRPr="004C2842" w:rsidRDefault="00637957">
            <w:pPr>
              <w:rPr>
                <w:rFonts w:ascii="Arial" w:eastAsia="Times New Roman" w:hAnsi="Arial" w:cs="Arial"/>
                <w:lang w:eastAsia="en-GB"/>
              </w:rPr>
            </w:pPr>
            <w:r w:rsidRPr="004C2842">
              <w:t>The process of monitoring the performance of a supplier on a contract.</w:t>
            </w:r>
          </w:p>
        </w:tc>
      </w:tr>
      <w:tr w:rsidR="00637957" w:rsidRPr="00BF33A2" w14:paraId="5A0DD37C"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ABBF8C" w14:textId="77777777" w:rsidR="00637957" w:rsidRPr="004C2842" w:rsidRDefault="00637957">
            <w:pPr>
              <w:spacing w:before="120"/>
              <w:rPr>
                <w:rFonts w:ascii="Arial" w:eastAsia="Times New Roman" w:hAnsi="Arial" w:cs="Arial"/>
                <w:lang w:eastAsia="en-GB"/>
              </w:rPr>
            </w:pPr>
            <w:r w:rsidRPr="004C2842">
              <w:rPr>
                <w:b/>
                <w:bCs/>
              </w:rPr>
              <w:t>Corporate social responsibility</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E02C3C" w14:textId="77777777" w:rsidR="00637957" w:rsidRPr="004C2842" w:rsidRDefault="00637957">
            <w:pPr>
              <w:rPr>
                <w:rFonts w:ascii="Arial" w:eastAsia="Times New Roman" w:hAnsi="Arial" w:cs="Arial"/>
                <w:lang w:eastAsia="en-GB"/>
              </w:rPr>
            </w:pPr>
            <w:r w:rsidRPr="004C2842">
              <w:t>The idea that a company should be interested in and willing to help society and the environment as well as be concerned about the products and profits it makes.</w:t>
            </w:r>
          </w:p>
        </w:tc>
      </w:tr>
      <w:tr w:rsidR="00637957" w:rsidRPr="00BF33A2" w14:paraId="728A1560"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772625" w14:textId="77777777" w:rsidR="00637957" w:rsidRPr="004C2842" w:rsidRDefault="00637957">
            <w:pPr>
              <w:spacing w:before="120"/>
              <w:rPr>
                <w:b/>
              </w:rPr>
            </w:pPr>
            <w:r w:rsidRPr="004C2842">
              <w:rPr>
                <w:b/>
              </w:rPr>
              <w:t>DPA</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FF3B12" w14:textId="77777777" w:rsidR="00637957" w:rsidRPr="004C2842" w:rsidRDefault="00637957">
            <w:r w:rsidRPr="004C2842">
              <w:t>Delegated Purchasing Authority - is the authority given to an individual to sign off contracts. It is not to be confused with Delegated Finance Authority as it is important that there is adequate separation of duties between the individual who has finance authority i.e. the budget holder and the individual with purchasing authority i.e. who places the contract.</w:t>
            </w:r>
          </w:p>
        </w:tc>
      </w:tr>
      <w:tr w:rsidR="00637957" w:rsidRPr="00BF33A2" w14:paraId="71365681"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62FD2F" w14:textId="77777777" w:rsidR="00637957" w:rsidRPr="004C2842" w:rsidRDefault="00637957">
            <w:pPr>
              <w:spacing w:before="120"/>
              <w:rPr>
                <w:b/>
              </w:rPr>
            </w:pPr>
            <w:r w:rsidRPr="004C2842">
              <w:rPr>
                <w:b/>
              </w:rPr>
              <w:t>DPO</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97D0EA" w14:textId="77777777" w:rsidR="00637957" w:rsidRPr="004C2842" w:rsidRDefault="00637957">
            <w:r w:rsidRPr="004C2842">
              <w:t>Delegated Purchaser Officer - a permanent individual with Delegated Purchasing Authority (DPA).</w:t>
            </w:r>
          </w:p>
        </w:tc>
      </w:tr>
      <w:tr w:rsidR="00637957" w:rsidRPr="00BF33A2" w14:paraId="4981175E"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A1873A" w14:textId="77777777" w:rsidR="00637957" w:rsidRPr="004C2842" w:rsidRDefault="00637957">
            <w:pPr>
              <w:spacing w:before="120"/>
              <w:rPr>
                <w:b/>
              </w:rPr>
            </w:pPr>
            <w:r w:rsidRPr="004C2842">
              <w:rPr>
                <w:b/>
              </w:rPr>
              <w:t>Framework Agreement</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CD995B" w14:textId="77777777" w:rsidR="00637957" w:rsidRPr="004C2842" w:rsidRDefault="00637957">
            <w:r w:rsidRPr="004C2842">
              <w:t>An agreement or other arrangement between one or more contracting authorities and one or more economic operators which establishes the terms (</w:t>
            </w:r>
            <w:proofErr w:type="gramStart"/>
            <w:r w:rsidRPr="004C2842">
              <w:t>in particular the</w:t>
            </w:r>
            <w:proofErr w:type="gramEnd"/>
            <w:r w:rsidRPr="004C2842">
              <w:t xml:space="preserve"> terms as to price and, where appropriate, quantity) under which the economic operator will </w:t>
            </w:r>
            <w:proofErr w:type="gramStart"/>
            <w:r w:rsidRPr="004C2842">
              <w:t>enter into</w:t>
            </w:r>
            <w:proofErr w:type="gramEnd"/>
            <w:r w:rsidRPr="004C2842">
              <w:t xml:space="preserve"> one or more contracts with a contracting authority in the period during which the framework agreement applies.</w:t>
            </w:r>
          </w:p>
        </w:tc>
      </w:tr>
      <w:tr w:rsidR="00637957" w:rsidRPr="00BF33A2" w14:paraId="1503240C"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6A4CC8" w14:textId="77777777" w:rsidR="00637957" w:rsidRPr="004C2842" w:rsidRDefault="00637957">
            <w:pPr>
              <w:spacing w:before="120"/>
              <w:rPr>
                <w:b/>
              </w:rPr>
            </w:pPr>
            <w:r w:rsidRPr="004C2842">
              <w:rPr>
                <w:b/>
                <w:bCs/>
              </w:rPr>
              <w:t>Key suppliers</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109A7B" w14:textId="77777777" w:rsidR="00637957" w:rsidRPr="004C2842" w:rsidRDefault="00637957">
            <w:r w:rsidRPr="004C2842">
              <w:t>Those suppliers identified as business critical in terms of risk/value and business continuity.</w:t>
            </w:r>
          </w:p>
        </w:tc>
      </w:tr>
      <w:tr w:rsidR="00637957" w:rsidRPr="00BF33A2" w14:paraId="6BFA1363"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8A9F26" w14:textId="77777777" w:rsidR="00637957" w:rsidRPr="004C2842" w:rsidRDefault="00637957">
            <w:pPr>
              <w:spacing w:before="120"/>
              <w:rPr>
                <w:b/>
              </w:rPr>
            </w:pPr>
            <w:r w:rsidRPr="004C2842">
              <w:rPr>
                <w:b/>
              </w:rPr>
              <w:t>MEAT</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0856E3" w14:textId="77777777" w:rsidR="00637957" w:rsidRPr="004C2842" w:rsidRDefault="00637957">
            <w:r w:rsidRPr="004C2842">
              <w:t>The most economically advantageous tender (MEAT) criterion enables the contracting authority to take account of criteria that reflect qualitative, technical and sustainable aspects of the tender submission as well as price when reaching an award decision.</w:t>
            </w:r>
          </w:p>
        </w:tc>
      </w:tr>
      <w:tr w:rsidR="00637957" w:rsidRPr="00BF33A2" w14:paraId="4C0050F1"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C69D65" w14:textId="77777777" w:rsidR="00637957" w:rsidRPr="004C2842" w:rsidRDefault="00637957">
            <w:pPr>
              <w:spacing w:before="120"/>
              <w:rPr>
                <w:b/>
              </w:rPr>
            </w:pPr>
            <w:r w:rsidRPr="004C2842">
              <w:rPr>
                <w:b/>
              </w:rPr>
              <w:t xml:space="preserve">Open </w:t>
            </w:r>
            <w:r w:rsidRPr="004C2842">
              <w:rPr>
                <w:b/>
                <w:bCs/>
              </w:rPr>
              <w:t>procedure</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912334" w14:textId="77777777" w:rsidR="00637957" w:rsidRPr="004C2842" w:rsidRDefault="00637957">
            <w:r w:rsidRPr="004C2842">
              <w:t>A one-stage procedure whereby all suppliers are invited to tender for the contract or framework agreement. The organisation cannot limit the number of bids it receives.</w:t>
            </w:r>
          </w:p>
        </w:tc>
      </w:tr>
      <w:tr w:rsidR="00637957" w:rsidRPr="00BF33A2" w14:paraId="1E0D010E"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2DF93A" w14:textId="77777777" w:rsidR="00637957" w:rsidRPr="004C2842" w:rsidRDefault="00637957">
            <w:pPr>
              <w:spacing w:before="120"/>
              <w:rPr>
                <w:b/>
              </w:rPr>
            </w:pPr>
            <w:r w:rsidRPr="004C2842">
              <w:rPr>
                <w:b/>
              </w:rPr>
              <w:lastRenderedPageBreak/>
              <w:t xml:space="preserve">Procurement </w:t>
            </w:r>
            <w:r>
              <w:rPr>
                <w:b/>
                <w:bCs/>
              </w:rPr>
              <w:t>e</w:t>
            </w:r>
            <w:r w:rsidRPr="004C2842">
              <w:rPr>
                <w:b/>
                <w:bCs/>
              </w:rPr>
              <w:t>xercise</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BF1171" w14:textId="77777777" w:rsidR="00637957" w:rsidRPr="004C2842" w:rsidRDefault="00637957">
            <w:r w:rsidRPr="004C2842">
              <w:t xml:space="preserve">Full end to end procurement exercise documentation from strategy development to contract </w:t>
            </w:r>
            <w:r>
              <w:t>and</w:t>
            </w:r>
            <w:r w:rsidRPr="004C2842">
              <w:t xml:space="preserve"> supplier management.</w:t>
            </w:r>
          </w:p>
        </w:tc>
      </w:tr>
      <w:tr w:rsidR="00637957" w:rsidRPr="00BF33A2" w14:paraId="52DED76A"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EE4A3A" w14:textId="77777777" w:rsidR="00637957" w:rsidRPr="004C2842" w:rsidRDefault="00637957">
            <w:pPr>
              <w:spacing w:before="120"/>
              <w:rPr>
                <w:b/>
              </w:rPr>
            </w:pPr>
            <w:r w:rsidRPr="004C2842">
              <w:rPr>
                <w:b/>
              </w:rPr>
              <w:t>Procurement function</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A2929A" w14:textId="77777777" w:rsidR="00637957" w:rsidRPr="004C2842" w:rsidRDefault="00637957">
            <w:r w:rsidRPr="004C2842">
              <w:t>The business management function that ensures identification, sourcing, access and management of the external resources that an organisation needs or may need to fulfil its strategic objectives.</w:t>
            </w:r>
          </w:p>
        </w:tc>
      </w:tr>
      <w:tr w:rsidR="00637957" w:rsidRPr="00BF33A2" w14:paraId="3C00C2EE"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FAE38F" w14:textId="77777777" w:rsidR="00637957" w:rsidRPr="004C2842" w:rsidRDefault="00637957">
            <w:pPr>
              <w:spacing w:before="120"/>
              <w:rPr>
                <w:b/>
              </w:rPr>
            </w:pPr>
            <w:r w:rsidRPr="004C2842">
              <w:rPr>
                <w:b/>
              </w:rPr>
              <w:t xml:space="preserve">Procurement </w:t>
            </w:r>
            <w:r>
              <w:rPr>
                <w:b/>
                <w:bCs/>
              </w:rPr>
              <w:t>j</w:t>
            </w:r>
            <w:r w:rsidRPr="004C2842">
              <w:rPr>
                <w:b/>
                <w:bCs/>
              </w:rPr>
              <w:t>ourney</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F8CDED" w14:textId="77777777" w:rsidR="00637957" w:rsidRPr="004C2842" w:rsidRDefault="00637957">
            <w:r w:rsidRPr="004C2842">
              <w:t xml:space="preserve">Revised public procurement toolkit with guidance and templates on the procurement process or </w:t>
            </w:r>
            <w:r>
              <w:t>c</w:t>
            </w:r>
            <w:r w:rsidRPr="004C2842">
              <w:t xml:space="preserve">onstruction manual when appropriate. The </w:t>
            </w:r>
            <w:r>
              <w:t>p</w:t>
            </w:r>
            <w:r w:rsidRPr="004C2842">
              <w:t xml:space="preserve">rocurement </w:t>
            </w:r>
            <w:r>
              <w:t>j</w:t>
            </w:r>
            <w:r w:rsidRPr="004C2842">
              <w:t>ourney will be enhanced on an on-going basis with feedback from users and any other identified good practice guidance and tools where appropriate to ensure a standardised approach to the supply base.</w:t>
            </w:r>
          </w:p>
        </w:tc>
      </w:tr>
      <w:tr w:rsidR="00637957" w:rsidRPr="00BF33A2" w14:paraId="21554827"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30965" w14:textId="77777777" w:rsidR="00637957" w:rsidRPr="004C2842" w:rsidRDefault="00637957">
            <w:pPr>
              <w:spacing w:before="120"/>
              <w:rPr>
                <w:b/>
              </w:rPr>
            </w:pPr>
            <w:r w:rsidRPr="004C2842">
              <w:rPr>
                <w:b/>
              </w:rPr>
              <w:t>Procurement Officer</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CC0E82" w14:textId="77777777" w:rsidR="00637957" w:rsidRPr="004C2842" w:rsidRDefault="00637957">
            <w:r w:rsidRPr="004C2842">
              <w:t xml:space="preserve">Individual who spends </w:t>
            </w:r>
            <w:proofErr w:type="gramStart"/>
            <w:r w:rsidRPr="004C2842">
              <w:t>the majority of</w:t>
            </w:r>
            <w:proofErr w:type="gramEnd"/>
            <w:r w:rsidRPr="004C2842">
              <w:t xml:space="preserve"> their time working in a role that adds value to the quality, cost and effectiveness of the procurement or acquisition of goods, works and services; impacting upon </w:t>
            </w:r>
            <w:r>
              <w:t>p</w:t>
            </w:r>
            <w:r w:rsidRPr="004C2842">
              <w:t>rocurement relationships during one or more stages of the procurement cycle and contributing towards best practice contract and supplier management.</w:t>
            </w:r>
          </w:p>
        </w:tc>
      </w:tr>
      <w:tr w:rsidR="00637957" w:rsidRPr="00BF33A2" w14:paraId="42969C71"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BDB91D" w14:textId="77777777" w:rsidR="00637957" w:rsidRPr="004C2842" w:rsidRDefault="00637957">
            <w:pPr>
              <w:spacing w:before="120"/>
              <w:rPr>
                <w:b/>
              </w:rPr>
            </w:pPr>
            <w:r w:rsidRPr="004C2842">
              <w:rPr>
                <w:b/>
              </w:rPr>
              <w:t>Procurement Strategy</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73692D" w14:textId="77777777" w:rsidR="00637957" w:rsidRPr="004C2842" w:rsidRDefault="00637957">
            <w:r w:rsidRPr="004C2842">
              <w:t>Strategy for procurement within an organisation (can be called policy).</w:t>
            </w:r>
          </w:p>
        </w:tc>
      </w:tr>
      <w:tr w:rsidR="00637957" w:rsidRPr="00BF33A2" w14:paraId="743784ED"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FC84A0" w14:textId="77777777" w:rsidR="00637957" w:rsidRPr="004C2842" w:rsidRDefault="00637957">
            <w:pPr>
              <w:spacing w:before="120"/>
              <w:rPr>
                <w:b/>
              </w:rPr>
            </w:pPr>
            <w:r w:rsidRPr="004C2842">
              <w:rPr>
                <w:b/>
              </w:rPr>
              <w:t>Public Contracts Scotland</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78C558" w14:textId="77777777" w:rsidR="00637957" w:rsidRPr="004C2842" w:rsidRDefault="00637957">
            <w:r w:rsidRPr="004C2842">
              <w:t>The national advertising portal used to advertise all Scottish Government goods, services or works contract opportunities.</w:t>
            </w:r>
          </w:p>
        </w:tc>
      </w:tr>
      <w:tr w:rsidR="00637957" w:rsidRPr="00BF33A2" w14:paraId="15CC3E2E"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F36EA3" w14:textId="77777777" w:rsidR="00637957" w:rsidRPr="004C2842" w:rsidRDefault="00637957">
            <w:pPr>
              <w:spacing w:before="120"/>
              <w:rPr>
                <w:b/>
              </w:rPr>
            </w:pPr>
            <w:r w:rsidRPr="004C2842">
              <w:rPr>
                <w:b/>
              </w:rPr>
              <w:t>Small Medium Enterprise (SME)</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E8247A" w14:textId="77777777" w:rsidR="00637957" w:rsidRPr="004C2842" w:rsidRDefault="00637957">
            <w:r w:rsidRPr="004C2842">
              <w:t xml:space="preserve">The category of micro, small and medium-sized enterprises (SME’s) is made up of enterprises which employ fewer than 250 </w:t>
            </w:r>
            <w:proofErr w:type="gramStart"/>
            <w:r w:rsidRPr="004C2842">
              <w:t>persons</w:t>
            </w:r>
            <w:proofErr w:type="gramEnd"/>
            <w:r w:rsidRPr="004C2842">
              <w:t xml:space="preserve"> and which have an annual turnover not exceeding 50 million euro and/or an annual balance sheet total not exceeding 43 million euro.</w:t>
            </w:r>
          </w:p>
        </w:tc>
      </w:tr>
      <w:tr w:rsidR="00637957" w:rsidRPr="00BF33A2" w14:paraId="3E2AD819"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7A26BA" w14:textId="77777777" w:rsidR="00637957" w:rsidRPr="004C2842" w:rsidRDefault="00637957">
            <w:pPr>
              <w:spacing w:before="120"/>
              <w:rPr>
                <w:b/>
              </w:rPr>
            </w:pPr>
            <w:r w:rsidRPr="004C2842">
              <w:rPr>
                <w:b/>
              </w:rPr>
              <w:t xml:space="preserve">Supply </w:t>
            </w:r>
            <w:r>
              <w:rPr>
                <w:b/>
                <w:bCs/>
              </w:rPr>
              <w:t>c</w:t>
            </w:r>
            <w:r w:rsidRPr="004C2842">
              <w:rPr>
                <w:b/>
                <w:bCs/>
              </w:rPr>
              <w:t>hain</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2C9A5F" w14:textId="77777777" w:rsidR="00637957" w:rsidRPr="004C2842" w:rsidRDefault="00637957">
            <w:r w:rsidRPr="004C2842">
              <w:t>All activities, resources, products etc. involved in creating and moving a product or service from the supplier to the procurer.</w:t>
            </w:r>
          </w:p>
        </w:tc>
      </w:tr>
      <w:tr w:rsidR="00637957" w:rsidRPr="00BF33A2" w14:paraId="79BEF2C6"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B109A8" w14:textId="77777777" w:rsidR="00637957" w:rsidRPr="004C2842" w:rsidRDefault="00637957">
            <w:pPr>
              <w:spacing w:before="120"/>
              <w:rPr>
                <w:b/>
              </w:rPr>
            </w:pPr>
            <w:r w:rsidRPr="004C2842">
              <w:rPr>
                <w:b/>
                <w:bCs/>
              </w:rPr>
              <w:t xml:space="preserve">Supply </w:t>
            </w:r>
            <w:r>
              <w:rPr>
                <w:b/>
                <w:bCs/>
              </w:rPr>
              <w:t>c</w:t>
            </w:r>
            <w:r w:rsidRPr="004C2842">
              <w:rPr>
                <w:b/>
                <w:bCs/>
              </w:rPr>
              <w:t xml:space="preserve">hain </w:t>
            </w:r>
            <w:r>
              <w:rPr>
                <w:b/>
                <w:bCs/>
              </w:rPr>
              <w:t>m</w:t>
            </w:r>
            <w:r w:rsidRPr="004C2842">
              <w:rPr>
                <w:b/>
                <w:bCs/>
              </w:rPr>
              <w:t>anagement</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C2BF3" w14:textId="77777777" w:rsidR="00637957" w:rsidRPr="004C2842" w:rsidRDefault="00637957">
            <w:r w:rsidRPr="004C2842">
              <w:t>The coordinated set of techniques to plan and execute all steps used to acquire raw materials from suppliers, transform them into finished goods, and deliver both goods and services to customers. It includes chain-wide information sharing, planning, resources and performance measurements.</w:t>
            </w:r>
          </w:p>
        </w:tc>
      </w:tr>
      <w:tr w:rsidR="00637957" w:rsidRPr="00BF33A2" w14:paraId="23617570"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748C8B" w14:textId="77777777" w:rsidR="00637957" w:rsidRPr="004C2842" w:rsidRDefault="00637957">
            <w:pPr>
              <w:spacing w:before="120"/>
              <w:rPr>
                <w:b/>
              </w:rPr>
            </w:pPr>
            <w:r w:rsidRPr="004C2842">
              <w:rPr>
                <w:b/>
              </w:rPr>
              <w:lastRenderedPageBreak/>
              <w:t xml:space="preserve">Supported </w:t>
            </w:r>
            <w:r>
              <w:rPr>
                <w:b/>
                <w:bCs/>
              </w:rPr>
              <w:t>b</w:t>
            </w:r>
            <w:r w:rsidRPr="004C2842">
              <w:rPr>
                <w:b/>
                <w:bCs/>
              </w:rPr>
              <w:t>usiness</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4078A6" w14:textId="77777777" w:rsidR="00637957" w:rsidRPr="004C2842" w:rsidRDefault="00637957">
            <w:r w:rsidRPr="004C2842">
              <w:t>Either the organisation's main aim should be the social and professional integration of disabled or disadvantaged persons, or the contract should be performed within a sheltered employment programme.</w:t>
            </w:r>
          </w:p>
        </w:tc>
      </w:tr>
      <w:tr w:rsidR="00637957" w:rsidRPr="00BF33A2" w14:paraId="6DB421C1"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E30A59" w14:textId="77777777" w:rsidR="00637957" w:rsidRPr="004C2842" w:rsidRDefault="00637957">
            <w:pPr>
              <w:spacing w:before="120"/>
              <w:rPr>
                <w:b/>
              </w:rPr>
            </w:pPr>
            <w:r w:rsidRPr="004C2842">
              <w:rPr>
                <w:b/>
              </w:rPr>
              <w:t>Value for Money</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10EF2B" w14:textId="77777777" w:rsidR="00637957" w:rsidRPr="004C2842" w:rsidRDefault="00637957">
            <w:r w:rsidRPr="004C2842">
              <w:t>An economic assessment by the public sector as to whether a procurement represents value for money; the optimum combination of cost and quality to provide the required service.</w:t>
            </w:r>
          </w:p>
        </w:tc>
      </w:tr>
      <w:tr w:rsidR="00637957" w:rsidRPr="00BF33A2" w14:paraId="66E38C91" w14:textId="77777777">
        <w:trPr>
          <w:cantSplit/>
          <w:trHeight w:val="300"/>
        </w:trPr>
        <w:tc>
          <w:tcPr>
            <w:tcW w:w="9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7FE0DA" w14:textId="77777777" w:rsidR="00637957" w:rsidRPr="004C2842" w:rsidRDefault="00637957">
            <w:pPr>
              <w:spacing w:before="120"/>
              <w:rPr>
                <w:b/>
              </w:rPr>
            </w:pPr>
            <w:r w:rsidRPr="004C2842">
              <w:rPr>
                <w:b/>
                <w:bCs/>
              </w:rPr>
              <w:t xml:space="preserve">Whole </w:t>
            </w:r>
            <w:r>
              <w:rPr>
                <w:b/>
                <w:bCs/>
              </w:rPr>
              <w:t>l</w:t>
            </w:r>
            <w:r w:rsidRPr="004C2842">
              <w:rPr>
                <w:b/>
                <w:bCs/>
              </w:rPr>
              <w:t xml:space="preserve">ife </w:t>
            </w:r>
            <w:r>
              <w:rPr>
                <w:b/>
                <w:bCs/>
              </w:rPr>
              <w:t>c</w:t>
            </w:r>
            <w:r w:rsidRPr="004C2842">
              <w:rPr>
                <w:b/>
                <w:bCs/>
              </w:rPr>
              <w:t>osting</w:t>
            </w:r>
          </w:p>
        </w:tc>
        <w:tc>
          <w:tcPr>
            <w:tcW w:w="410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E1C8DC" w14:textId="77777777" w:rsidR="00637957" w:rsidRPr="004C2842" w:rsidRDefault="00637957">
            <w:r w:rsidRPr="004C2842">
              <w:t>The costs of acquiring goods or services (including consultancy, design and construction costs, and equipment), the costs of operating it and the costs of maintaining it over its whole life through to its disposal – that is, the total ownership costs. These costs include internal resources and overheads.</w:t>
            </w:r>
          </w:p>
        </w:tc>
      </w:tr>
    </w:tbl>
    <w:p w14:paraId="7D625A42" w14:textId="5C364EC4" w:rsidR="00637957" w:rsidRDefault="00637957">
      <w:pPr>
        <w:spacing w:line="240" w:lineRule="auto"/>
        <w:rPr>
          <w:rFonts w:ascii="Arial" w:eastAsia="Times New Roman" w:hAnsi="Arial" w:cs="Arial"/>
        </w:rPr>
      </w:pPr>
      <w:r>
        <w:rPr>
          <w:rFonts w:ascii="Arial" w:eastAsia="Times New Roman" w:hAnsi="Arial" w:cs="Arial"/>
        </w:rPr>
        <w:br w:type="page"/>
      </w:r>
    </w:p>
    <w:p w14:paraId="2A78A573" w14:textId="77777777" w:rsidR="00BF33A2" w:rsidRPr="00BF33A2" w:rsidRDefault="00BF33A2" w:rsidP="00BF33A2">
      <w:pPr>
        <w:tabs>
          <w:tab w:val="left" w:pos="5906"/>
        </w:tabs>
        <w:spacing w:after="240"/>
        <w:rPr>
          <w:rFonts w:ascii="Arial" w:eastAsia="Times New Roman" w:hAnsi="Arial" w:cs="Arial"/>
        </w:rPr>
      </w:pPr>
    </w:p>
    <w:p w14:paraId="63602DD9" w14:textId="52FC28F5" w:rsidR="00BF33A2" w:rsidRPr="00B45195" w:rsidRDefault="00860E23" w:rsidP="00F924A3">
      <w:pPr>
        <w:pStyle w:val="BodyText1"/>
        <w:rPr>
          <w:rFonts w:ascii="Poppins" w:eastAsia="Times New Roman" w:hAnsi="Poppins"/>
          <w:b/>
          <w:bCs/>
          <w:iCs/>
          <w:color w:val="3C4741"/>
          <w:sz w:val="32"/>
          <w:szCs w:val="32"/>
        </w:rPr>
      </w:pPr>
      <w:r w:rsidRPr="00B45195">
        <w:rPr>
          <w:rFonts w:eastAsia="Times New Roman"/>
          <w:b/>
          <w:bCs/>
          <w:sz w:val="32"/>
          <w:szCs w:val="32"/>
        </w:rPr>
        <w:t>A</w:t>
      </w:r>
      <w:r w:rsidR="00BF33A2" w:rsidRPr="00B45195">
        <w:rPr>
          <w:rFonts w:eastAsia="Times New Roman"/>
          <w:b/>
          <w:bCs/>
          <w:sz w:val="32"/>
          <w:szCs w:val="32"/>
        </w:rPr>
        <w:t>ccessibility</w:t>
      </w:r>
      <w:r w:rsidRPr="00B45195">
        <w:rPr>
          <w:rFonts w:eastAsia="Times New Roman"/>
          <w:b/>
          <w:bCs/>
          <w:sz w:val="32"/>
          <w:szCs w:val="32"/>
        </w:rPr>
        <w:t xml:space="preserve"> </w:t>
      </w:r>
      <w:r w:rsidR="00DA4767">
        <w:rPr>
          <w:rFonts w:eastAsia="Times New Roman"/>
          <w:b/>
          <w:bCs/>
          <w:sz w:val="32"/>
          <w:szCs w:val="32"/>
        </w:rPr>
        <w:t>s</w:t>
      </w:r>
      <w:r w:rsidR="00BF33A2" w:rsidRPr="00B45195">
        <w:rPr>
          <w:rFonts w:eastAsia="Times New Roman"/>
          <w:b/>
          <w:bCs/>
          <w:sz w:val="32"/>
          <w:szCs w:val="32"/>
        </w:rPr>
        <w:t>tatement</w:t>
      </w:r>
    </w:p>
    <w:p w14:paraId="5351BC23" w14:textId="251E457E" w:rsidR="00BF33A2" w:rsidRPr="007A5FBF" w:rsidRDefault="00BF33A2" w:rsidP="00F924A3">
      <w:pPr>
        <w:pStyle w:val="BodyText1"/>
        <w:rPr>
          <w:rFonts w:eastAsia="Times New Roman"/>
          <w:sz w:val="32"/>
          <w:szCs w:val="32"/>
        </w:rPr>
      </w:pPr>
      <w:r w:rsidRPr="007A5FBF">
        <w:rPr>
          <w:rFonts w:eastAsia="Times New Roman"/>
          <w:sz w:val="32"/>
          <w:szCs w:val="32"/>
        </w:rPr>
        <w:t xml:space="preserve">For information on accessing this document in an alternative format or language, please contact </w:t>
      </w:r>
      <w:r w:rsidR="00D106EA" w:rsidRPr="007A5FBF">
        <w:rPr>
          <w:rFonts w:eastAsia="Times New Roman"/>
          <w:sz w:val="32"/>
          <w:szCs w:val="32"/>
        </w:rPr>
        <w:t>SEPA</w:t>
      </w:r>
      <w:r w:rsidRPr="007A5FBF">
        <w:rPr>
          <w:rFonts w:eastAsia="Times New Roman"/>
          <w:sz w:val="32"/>
          <w:szCs w:val="32"/>
        </w:rPr>
        <w:t xml:space="preserve"> by emailing </w:t>
      </w:r>
      <w:hyperlink r:id="rId55" w:history="1">
        <w:r w:rsidRPr="007A5FBF">
          <w:rPr>
            <w:rFonts w:eastAsia="Times New Roman"/>
            <w:color w:val="016574"/>
            <w:sz w:val="32"/>
            <w:szCs w:val="32"/>
            <w:u w:val="single"/>
          </w:rPr>
          <w:t>equalities@</w:t>
        </w:r>
        <w:r w:rsidR="00D106EA" w:rsidRPr="007A5FBF">
          <w:rPr>
            <w:rFonts w:eastAsia="Times New Roman"/>
            <w:color w:val="016574"/>
            <w:sz w:val="32"/>
            <w:szCs w:val="32"/>
            <w:u w:val="single"/>
          </w:rPr>
          <w:t>SEPA</w:t>
        </w:r>
        <w:r w:rsidRPr="007A5FBF">
          <w:rPr>
            <w:rFonts w:eastAsia="Times New Roman"/>
            <w:color w:val="016574"/>
            <w:sz w:val="32"/>
            <w:szCs w:val="32"/>
            <w:u w:val="single"/>
          </w:rPr>
          <w:t>.org.uk</w:t>
        </w:r>
      </w:hyperlink>
    </w:p>
    <w:p w14:paraId="01AB5F76" w14:textId="77777777" w:rsidR="006243FF" w:rsidRPr="007A5FBF" w:rsidRDefault="00BF33A2" w:rsidP="00F924A3">
      <w:pPr>
        <w:pStyle w:val="BodyText1"/>
        <w:rPr>
          <w:color w:val="6E7571" w:themeColor="text2"/>
          <w:sz w:val="32"/>
          <w:szCs w:val="32"/>
          <w:u w:val="single"/>
        </w:rPr>
      </w:pPr>
      <w:r w:rsidRPr="007A5FBF">
        <w:rPr>
          <w:rFonts w:eastAsia="Times New Roman"/>
          <w:sz w:val="32"/>
          <w:szCs w:val="32"/>
        </w:rPr>
        <w:t xml:space="preserve">If you are a user of British Sign Language (BSL), the Contact Scotland BSL service gives you access to an online interpreter, enabling you to communicate with us using sign language. </w:t>
      </w:r>
      <w:hyperlink r:id="rId56" w:history="1">
        <w:r w:rsidRPr="007A5FBF">
          <w:rPr>
            <w:rFonts w:eastAsia="Times New Roman"/>
            <w:color w:val="016574"/>
            <w:sz w:val="32"/>
            <w:szCs w:val="32"/>
            <w:u w:val="single"/>
          </w:rPr>
          <w:t>contactscotland-bsl.org</w:t>
        </w:r>
      </w:hyperlink>
    </w:p>
    <w:sectPr w:rsidR="006243FF" w:rsidRPr="007A5FBF" w:rsidSect="00065972">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CB8E" w14:textId="77777777" w:rsidR="00AB2F06" w:rsidRDefault="00AB2F06" w:rsidP="00660C79">
      <w:pPr>
        <w:spacing w:line="240" w:lineRule="auto"/>
      </w:pPr>
      <w:r>
        <w:separator/>
      </w:r>
    </w:p>
  </w:endnote>
  <w:endnote w:type="continuationSeparator" w:id="0">
    <w:p w14:paraId="68F5E9AB" w14:textId="77777777" w:rsidR="00AB2F06" w:rsidRDefault="00AB2F06" w:rsidP="00660C79">
      <w:pPr>
        <w:spacing w:line="240" w:lineRule="auto"/>
      </w:pPr>
      <w:r>
        <w:continuationSeparator/>
      </w:r>
    </w:p>
  </w:endnote>
  <w:endnote w:type="continuationNotice" w:id="1">
    <w:p w14:paraId="7E766FCA" w14:textId="77777777" w:rsidR="00AB2F06" w:rsidRDefault="00AB2F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A3CB" w14:textId="27F26361" w:rsidR="00EC6A73" w:rsidRDefault="00CF2756">
    <w:pPr>
      <w:pStyle w:val="Footer"/>
      <w:framePr w:wrap="none" w:vAnchor="text" w:hAnchor="margin" w:xAlign="right" w:y="1"/>
      <w:rPr>
        <w:rStyle w:val="PageNumber"/>
      </w:rPr>
    </w:pPr>
    <w:r>
      <w:rPr>
        <w:noProof/>
      </w:rPr>
      <mc:AlternateContent>
        <mc:Choice Requires="wps">
          <w:drawing>
            <wp:anchor distT="0" distB="0" distL="0" distR="0" simplePos="0" relativeHeight="251663363" behindDoc="0" locked="0" layoutInCell="1" allowOverlap="1" wp14:anchorId="18DB4F71" wp14:editId="4E80DA2B">
              <wp:simplePos x="635" y="635"/>
              <wp:positionH relativeFrom="page">
                <wp:align>center</wp:align>
              </wp:positionH>
              <wp:positionV relativeFrom="page">
                <wp:align>bottom</wp:align>
              </wp:positionV>
              <wp:extent cx="459740" cy="422910"/>
              <wp:effectExtent l="0" t="0" r="16510" b="0"/>
              <wp:wrapNone/>
              <wp:docPr id="50271105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AFD2134" w14:textId="2BEF6EA1"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B4F71" id="_x0000_t202" coordsize="21600,21600" o:spt="202" path="m,l,21600r21600,l21600,xe">
              <v:stroke joinstyle="miter"/>
              <v:path gradientshapeok="t" o:connecttype="rect"/>
            </v:shapetype>
            <v:shape id="Text Box 12" o:spid="_x0000_s1029" type="#_x0000_t202" alt="OFFICIAL" style="position:absolute;margin-left:0;margin-top:0;width:36.2pt;height:33.3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0AFD2134" w14:textId="2BEF6EA1"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7B07ACA"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8635B4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B12F4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1F" w14:textId="37BC10E9" w:rsidR="002B5C27" w:rsidRDefault="00CF2756">
    <w:pPr>
      <w:pStyle w:val="Footer"/>
      <w:jc w:val="right"/>
    </w:pPr>
    <w:r>
      <w:rPr>
        <w:noProof/>
      </w:rPr>
      <mc:AlternateContent>
        <mc:Choice Requires="wps">
          <w:drawing>
            <wp:anchor distT="0" distB="0" distL="0" distR="0" simplePos="0" relativeHeight="251664387" behindDoc="0" locked="0" layoutInCell="1" allowOverlap="1" wp14:anchorId="44E198C1" wp14:editId="4529B70C">
              <wp:simplePos x="533400" y="9983470"/>
              <wp:positionH relativeFrom="page">
                <wp:align>center</wp:align>
              </wp:positionH>
              <wp:positionV relativeFrom="page">
                <wp:align>bottom</wp:align>
              </wp:positionV>
              <wp:extent cx="459740" cy="422910"/>
              <wp:effectExtent l="0" t="0" r="16510" b="0"/>
              <wp:wrapNone/>
              <wp:docPr id="1951301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8C7DD94" w14:textId="068C5FF8"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198C1" id="_x0000_t202" coordsize="21600,21600" o:spt="202" path="m,l,21600r21600,l21600,xe">
              <v:stroke joinstyle="miter"/>
              <v:path gradientshapeok="t" o:connecttype="rect"/>
            </v:shapetype>
            <v:shape id="Text Box 13" o:spid="_x0000_s1030" type="#_x0000_t202" alt="OFFICIAL" style="position:absolute;left:0;text-align:left;margin-left:0;margin-top:0;width:36.2pt;height:33.3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58C7DD94" w14:textId="068C5FF8"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sdt>
      <w:sdtPr>
        <w:id w:val="-664483054"/>
        <w:docPartObj>
          <w:docPartGallery w:val="Page Numbers (Bottom of Page)"/>
          <w:docPartUnique/>
        </w:docPartObj>
      </w:sdtPr>
      <w:sdtEndPr>
        <w:rPr>
          <w:noProof/>
        </w:rPr>
      </w:sdtEndPr>
      <w:sdtContent>
        <w:r w:rsidR="002B5C27">
          <w:fldChar w:fldCharType="begin"/>
        </w:r>
        <w:r w:rsidR="002B5C27">
          <w:instrText xml:space="preserve"> PAGE   \* MERGEFORMAT </w:instrText>
        </w:r>
        <w:r w:rsidR="002B5C27">
          <w:fldChar w:fldCharType="separate"/>
        </w:r>
        <w:r w:rsidR="002B5C27">
          <w:rPr>
            <w:noProof/>
          </w:rPr>
          <w:t>2</w:t>
        </w:r>
        <w:r w:rsidR="002B5C27">
          <w:rPr>
            <w:noProof/>
          </w:rPr>
          <w:fldChar w:fldCharType="end"/>
        </w:r>
      </w:sdtContent>
    </w:sdt>
  </w:p>
  <w:p w14:paraId="3964798F" w14:textId="33DBFD66"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1952" w14:textId="45AC90E7" w:rsidR="00E37489" w:rsidRDefault="00CF2756">
    <w:pPr>
      <w:pStyle w:val="Footer"/>
      <w:jc w:val="right"/>
    </w:pPr>
    <w:r>
      <w:rPr>
        <w:noProof/>
      </w:rPr>
      <mc:AlternateContent>
        <mc:Choice Requires="wps">
          <w:drawing>
            <wp:anchor distT="0" distB="0" distL="0" distR="0" simplePos="0" relativeHeight="251662339" behindDoc="0" locked="0" layoutInCell="1" allowOverlap="1" wp14:anchorId="083FB9D3" wp14:editId="1F017DFA">
              <wp:simplePos x="533400" y="9982200"/>
              <wp:positionH relativeFrom="page">
                <wp:align>center</wp:align>
              </wp:positionH>
              <wp:positionV relativeFrom="page">
                <wp:align>bottom</wp:align>
              </wp:positionV>
              <wp:extent cx="459740" cy="422910"/>
              <wp:effectExtent l="0" t="0" r="16510" b="0"/>
              <wp:wrapNone/>
              <wp:docPr id="44855047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AF7AE89" w14:textId="2AEF6CAD"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FB9D3" id="_x0000_t202" coordsize="21600,21600" o:spt="202" path="m,l,21600r21600,l21600,xe">
              <v:stroke joinstyle="miter"/>
              <v:path gradientshapeok="t" o:connecttype="rect"/>
            </v:shapetype>
            <v:shape id="Text Box 11" o:spid="_x0000_s1032" type="#_x0000_t202" alt="OFFICIAL" style="position:absolute;left:0;text-align:left;margin-left:0;margin-top:0;width:36.2pt;height:33.3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1AF7AE89" w14:textId="2AEF6CAD"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r w:rsidR="00E37489">
      <w:t>19</w:t>
    </w:r>
  </w:p>
  <w:p w14:paraId="5CF8F76A" w14:textId="755A1EBC" w:rsidR="006A7344" w:rsidRDefault="006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B046" w14:textId="77777777" w:rsidR="00AB2F06" w:rsidRDefault="00AB2F06" w:rsidP="00660C79">
      <w:pPr>
        <w:spacing w:line="240" w:lineRule="auto"/>
      </w:pPr>
      <w:r>
        <w:separator/>
      </w:r>
    </w:p>
  </w:footnote>
  <w:footnote w:type="continuationSeparator" w:id="0">
    <w:p w14:paraId="27302A93" w14:textId="77777777" w:rsidR="00AB2F06" w:rsidRDefault="00AB2F06" w:rsidP="00660C79">
      <w:pPr>
        <w:spacing w:line="240" w:lineRule="auto"/>
      </w:pPr>
      <w:r>
        <w:continuationSeparator/>
      </w:r>
    </w:p>
  </w:footnote>
  <w:footnote w:type="continuationNotice" w:id="1">
    <w:p w14:paraId="4B4EB1F9" w14:textId="77777777" w:rsidR="00AB2F06" w:rsidRDefault="00AB2F06">
      <w:pPr>
        <w:spacing w:line="240" w:lineRule="auto"/>
      </w:pPr>
    </w:p>
  </w:footnote>
  <w:footnote w:id="2">
    <w:p w14:paraId="3CDF96A7" w14:textId="1EFE1EBB" w:rsidR="002641AD" w:rsidRPr="00594ECB" w:rsidRDefault="002641AD" w:rsidP="002641AD">
      <w:pPr>
        <w:pStyle w:val="FootnoteText"/>
        <w:rPr>
          <w:sz w:val="24"/>
          <w:szCs w:val="24"/>
        </w:rPr>
      </w:pPr>
      <w:r w:rsidRPr="00594ECB">
        <w:rPr>
          <w:rStyle w:val="FootnoteReference"/>
          <w:sz w:val="24"/>
          <w:szCs w:val="24"/>
        </w:rPr>
        <w:footnoteRef/>
      </w:r>
      <w:r w:rsidRPr="00594ECB">
        <w:rPr>
          <w:sz w:val="24"/>
          <w:szCs w:val="24"/>
        </w:rPr>
        <w:t xml:space="preserve"> </w:t>
      </w:r>
      <w:hyperlink r:id="rId1" w:history="1">
        <w:r w:rsidR="00ED58DB" w:rsidRPr="00F97D95">
          <w:rPr>
            <w:rStyle w:val="Hyperlink"/>
            <w:sz w:val="24"/>
            <w:szCs w:val="24"/>
          </w:rPr>
          <w:t>Public Procurement Strategy: 2023 to 2028</w:t>
        </w:r>
      </w:hyperlink>
    </w:p>
  </w:footnote>
  <w:footnote w:id="3">
    <w:p w14:paraId="7185686D" w14:textId="55DFEE18" w:rsidR="00E72FA3" w:rsidRDefault="00E72FA3">
      <w:pPr>
        <w:pStyle w:val="FootnoteText"/>
      </w:pPr>
      <w:r w:rsidRPr="00594ECB">
        <w:rPr>
          <w:rStyle w:val="FootnoteReference"/>
          <w:sz w:val="24"/>
          <w:szCs w:val="24"/>
        </w:rPr>
        <w:footnoteRef/>
      </w:r>
      <w:r w:rsidRPr="00594ECB">
        <w:rPr>
          <w:color w:val="0000FF"/>
          <w:sz w:val="24"/>
          <w:szCs w:val="24"/>
          <w:u w:val="single"/>
        </w:rPr>
        <w:t xml:space="preserve"> </w:t>
      </w:r>
      <w:r w:rsidR="00CC45AD" w:rsidRPr="0018424E">
        <w:rPr>
          <w:sz w:val="24"/>
          <w:szCs w:val="24"/>
        </w:rPr>
        <w:t>Corporate Plan 2024-27</w:t>
      </w:r>
    </w:p>
  </w:footnote>
  <w:footnote w:id="4">
    <w:p w14:paraId="79055F07" w14:textId="77777777" w:rsidR="008F01FB" w:rsidRPr="00B20ED7" w:rsidRDefault="008F01FB" w:rsidP="008F01FB">
      <w:pPr>
        <w:pStyle w:val="FootnoteText"/>
        <w:rPr>
          <w:sz w:val="24"/>
          <w:szCs w:val="24"/>
        </w:rPr>
      </w:pPr>
      <w:hyperlink r:id="rId2" w:history="1">
        <w:r w:rsidRPr="00B20ED7">
          <w:rPr>
            <w:rStyle w:val="Hyperlink"/>
            <w:sz w:val="24"/>
            <w:szCs w:val="24"/>
            <w:vertAlign w:val="superscript"/>
          </w:rPr>
          <w:footnoteRef/>
        </w:r>
        <w:r w:rsidRPr="00B20ED7">
          <w:rPr>
            <w:rStyle w:val="Hyperlink"/>
            <w:sz w:val="24"/>
            <w:szCs w:val="24"/>
          </w:rPr>
          <w:t xml:space="preserve"> Public procurement strategy:2023 to 2028</w:t>
        </w:r>
      </w:hyperlink>
    </w:p>
  </w:footnote>
  <w:footnote w:id="5">
    <w:p w14:paraId="5E1B9AC2" w14:textId="77777777" w:rsidR="008F01FB" w:rsidRPr="00B20ED7" w:rsidRDefault="008F01FB" w:rsidP="008F01FB">
      <w:pPr>
        <w:pStyle w:val="FootnoteText"/>
        <w:rPr>
          <w:sz w:val="24"/>
          <w:szCs w:val="24"/>
        </w:rPr>
      </w:pPr>
      <w:r w:rsidRPr="00B20ED7">
        <w:rPr>
          <w:rStyle w:val="FootnoteReference"/>
          <w:sz w:val="24"/>
          <w:szCs w:val="24"/>
        </w:rPr>
        <w:footnoteRef/>
      </w:r>
      <w:r w:rsidRPr="00B20ED7">
        <w:rPr>
          <w:sz w:val="24"/>
          <w:szCs w:val="24"/>
        </w:rPr>
        <w:t xml:space="preserve"> DXC Technology Observatory data 2020/21 – 2022/23</w:t>
      </w:r>
    </w:p>
  </w:footnote>
  <w:footnote w:id="6">
    <w:p w14:paraId="640CF132" w14:textId="3464128B" w:rsidR="008F01FB" w:rsidRDefault="008F01FB" w:rsidP="008F01FB">
      <w:pPr>
        <w:pStyle w:val="FootnoteText"/>
      </w:pPr>
      <w:r w:rsidRPr="00B20ED7">
        <w:rPr>
          <w:rStyle w:val="FootnoteReference"/>
          <w:sz w:val="24"/>
          <w:szCs w:val="24"/>
        </w:rPr>
        <w:footnoteRef/>
      </w:r>
      <w:r w:rsidRPr="00B20ED7">
        <w:rPr>
          <w:sz w:val="24"/>
          <w:szCs w:val="24"/>
        </w:rPr>
        <w:t xml:space="preserve"> </w:t>
      </w:r>
      <w:r w:rsidRPr="0018424E">
        <w:rPr>
          <w:sz w:val="24"/>
          <w:szCs w:val="24"/>
        </w:rPr>
        <w:t>Corporate Plan 2024-27</w:t>
      </w:r>
    </w:p>
  </w:footnote>
  <w:footnote w:id="7">
    <w:p w14:paraId="69CE8DA5" w14:textId="0D6AC3D1" w:rsidR="008F3C6E" w:rsidRPr="00F80E63" w:rsidRDefault="008F3C6E">
      <w:pPr>
        <w:pStyle w:val="FootnoteText"/>
        <w:rPr>
          <w:sz w:val="24"/>
          <w:szCs w:val="24"/>
        </w:rPr>
      </w:pPr>
      <w:r w:rsidRPr="00F80E63">
        <w:rPr>
          <w:rStyle w:val="FootnoteReference"/>
          <w:sz w:val="24"/>
          <w:szCs w:val="24"/>
        </w:rPr>
        <w:footnoteRef/>
      </w:r>
      <w:r w:rsidRPr="00F80E63">
        <w:rPr>
          <w:sz w:val="24"/>
          <w:szCs w:val="24"/>
        </w:rPr>
        <w:t xml:space="preserve"> All contracting authorities </w:t>
      </w:r>
      <w:r w:rsidRPr="00F80E63">
        <w:rPr>
          <w:rFonts w:eastAsia="Times New Roman" w:cstheme="minorHAnsi"/>
          <w:sz w:val="24"/>
          <w:szCs w:val="24"/>
          <w:lang w:eastAsia="en-GB"/>
        </w:rPr>
        <w:t>with expected annual procurement spend above £5 million</w:t>
      </w:r>
    </w:p>
  </w:footnote>
  <w:footnote w:id="8">
    <w:p w14:paraId="78A8D254" w14:textId="77777777" w:rsidR="007E3B91" w:rsidRPr="00191674" w:rsidRDefault="007E3B91" w:rsidP="007E3B91">
      <w:pPr>
        <w:autoSpaceDE w:val="0"/>
        <w:autoSpaceDN w:val="0"/>
        <w:adjustRightInd w:val="0"/>
        <w:spacing w:line="240" w:lineRule="auto"/>
        <w:rPr>
          <w:rFonts w:cs="Calibri"/>
        </w:rPr>
      </w:pPr>
      <w:r w:rsidRPr="00191674">
        <w:rPr>
          <w:rStyle w:val="FootnoteReference"/>
        </w:rPr>
        <w:footnoteRef/>
      </w:r>
      <w:r w:rsidRPr="00191674">
        <w:t xml:space="preserve"> </w:t>
      </w:r>
      <w:r w:rsidRPr="00191674">
        <w:rPr>
          <w:rFonts w:cs="Calibri"/>
        </w:rPr>
        <w:t>The PPG</w:t>
      </w:r>
      <w:r w:rsidRPr="00191674">
        <w:rPr>
          <w:rFonts w:cs="Calibri"/>
          <w:b/>
        </w:rPr>
        <w:t xml:space="preserve"> </w:t>
      </w:r>
      <w:r w:rsidRPr="00191674">
        <w:rPr>
          <w:rFonts w:cs="Calibri"/>
        </w:rPr>
        <w:t>is the leadership group for public procurement across Scotland. It is made up of the heads of Procurement Centres of Expertise and senior Scottish Government procurement officials, who work together to set the strategic direction for public procurement in Scotland.</w:t>
      </w:r>
    </w:p>
    <w:p w14:paraId="7D552551" w14:textId="7F99DCAB" w:rsidR="007E3B91" w:rsidRPr="00191674" w:rsidRDefault="007E3B91">
      <w:pPr>
        <w:pStyle w:val="FootnoteText"/>
        <w:rPr>
          <w:sz w:val="24"/>
          <w:szCs w:val="24"/>
        </w:rPr>
      </w:pPr>
    </w:p>
  </w:footnote>
  <w:footnote w:id="9">
    <w:p w14:paraId="6C071AFF" w14:textId="3C37A6DE" w:rsidR="00FA6314" w:rsidRDefault="00FA6314">
      <w:pPr>
        <w:pStyle w:val="FootnoteText"/>
      </w:pPr>
      <w:r w:rsidRPr="00191674">
        <w:rPr>
          <w:rStyle w:val="FootnoteReference"/>
          <w:sz w:val="24"/>
          <w:szCs w:val="24"/>
        </w:rPr>
        <w:footnoteRef/>
      </w:r>
      <w:r w:rsidRPr="00191674">
        <w:rPr>
          <w:sz w:val="24"/>
          <w:szCs w:val="24"/>
        </w:rPr>
        <w:t xml:space="preserve"> </w:t>
      </w:r>
      <w:r w:rsidR="00C01ADC" w:rsidRPr="00191674">
        <w:rPr>
          <w:sz w:val="24"/>
          <w:szCs w:val="24"/>
        </w:rPr>
        <w:t xml:space="preserve">Scotland’s Environment </w:t>
      </w:r>
      <w:r w:rsidR="00B20ED7">
        <w:rPr>
          <w:sz w:val="24"/>
          <w:szCs w:val="24"/>
        </w:rPr>
        <w:t>and</w:t>
      </w:r>
      <w:r w:rsidR="00C01ADC" w:rsidRPr="00191674">
        <w:rPr>
          <w:sz w:val="24"/>
          <w:szCs w:val="24"/>
        </w:rPr>
        <w:t xml:space="preserve"> Economy Leaders’</w:t>
      </w:r>
      <w:r w:rsidR="00B20ED7">
        <w:rPr>
          <w:sz w:val="24"/>
          <w:szCs w:val="24"/>
        </w:rPr>
        <w:t xml:space="preserve"> </w:t>
      </w:r>
      <w:r w:rsidR="00C01ADC" w:rsidRPr="00191674">
        <w:rPr>
          <w:sz w:val="24"/>
          <w:szCs w:val="24"/>
        </w:rPr>
        <w:t>Group -</w:t>
      </w:r>
      <w:r w:rsidR="00B20ED7">
        <w:rPr>
          <w:sz w:val="24"/>
          <w:szCs w:val="24"/>
        </w:rPr>
        <w:t>t</w:t>
      </w:r>
      <w:r w:rsidR="00C01ADC" w:rsidRPr="00191674">
        <w:rPr>
          <w:sz w:val="24"/>
          <w:szCs w:val="24"/>
        </w:rPr>
        <w:t>ackling the climate emergency and sharing our stories</w:t>
      </w:r>
    </w:p>
  </w:footnote>
  <w:footnote w:id="10">
    <w:p w14:paraId="1EB0C8BE" w14:textId="6835410B" w:rsidR="0087271C" w:rsidRPr="0087271C" w:rsidRDefault="0087271C">
      <w:pPr>
        <w:pStyle w:val="FootnoteText"/>
        <w:rPr>
          <w:sz w:val="24"/>
          <w:szCs w:val="24"/>
        </w:rPr>
      </w:pPr>
      <w:r w:rsidRPr="0087271C">
        <w:rPr>
          <w:rStyle w:val="FootnoteReference"/>
          <w:sz w:val="24"/>
          <w:szCs w:val="24"/>
        </w:rPr>
        <w:footnoteRef/>
      </w:r>
      <w:r w:rsidRPr="0087271C">
        <w:rPr>
          <w:sz w:val="24"/>
          <w:szCs w:val="24"/>
        </w:rPr>
        <w:t xml:space="preserve"> Small and medium-sized enterprises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C37E" w14:textId="126B48C2" w:rsidR="006A7344" w:rsidRDefault="00CF2756">
    <w:pPr>
      <w:pStyle w:val="Header"/>
    </w:pPr>
    <w:r>
      <w:rPr>
        <w:noProof/>
      </w:rPr>
      <mc:AlternateContent>
        <mc:Choice Requires="wps">
          <w:drawing>
            <wp:anchor distT="0" distB="0" distL="0" distR="0" simplePos="0" relativeHeight="251660291" behindDoc="0" locked="0" layoutInCell="1" allowOverlap="1" wp14:anchorId="38D30302" wp14:editId="0B24D669">
              <wp:simplePos x="635" y="635"/>
              <wp:positionH relativeFrom="page">
                <wp:align>center</wp:align>
              </wp:positionH>
              <wp:positionV relativeFrom="page">
                <wp:align>top</wp:align>
              </wp:positionV>
              <wp:extent cx="459740" cy="422910"/>
              <wp:effectExtent l="0" t="0" r="16510" b="15240"/>
              <wp:wrapNone/>
              <wp:docPr id="1671744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574C0BB" w14:textId="6B128A57"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30302" id="_x0000_t202" coordsize="21600,21600" o:spt="202" path="m,l,21600r21600,l21600,xe">
              <v:stroke joinstyle="miter"/>
              <v:path gradientshapeok="t" o:connecttype="rect"/>
            </v:shapetype>
            <v:shape id="Text Box 9" o:spid="_x0000_s1027" type="#_x0000_t202" alt="OFFICIAL" style="position:absolute;margin-left:0;margin-top:0;width:36.2pt;height:33.3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0574C0BB" w14:textId="6B128A57"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0446" w14:textId="499D95C5" w:rsidR="008D113C" w:rsidRPr="00917BB1" w:rsidRDefault="00CF275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5" behindDoc="0" locked="0" layoutInCell="1" allowOverlap="1" wp14:anchorId="3D877863" wp14:editId="7385937E">
              <wp:simplePos x="533400" y="504825"/>
              <wp:positionH relativeFrom="page">
                <wp:align>center</wp:align>
              </wp:positionH>
              <wp:positionV relativeFrom="page">
                <wp:align>top</wp:align>
              </wp:positionV>
              <wp:extent cx="459740" cy="422910"/>
              <wp:effectExtent l="0" t="0" r="16510" b="15240"/>
              <wp:wrapNone/>
              <wp:docPr id="133163150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D2EE43A" w14:textId="3AF677F0"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77863" id="_x0000_t202" coordsize="21600,21600" o:spt="202" path="m,l,21600r21600,l21600,xe">
              <v:stroke joinstyle="miter"/>
              <v:path gradientshapeok="t" o:connecttype="rect"/>
            </v:shapetype>
            <v:shape id="Text Box 10" o:spid="_x0000_s1028" type="#_x0000_t202" alt="OFFICIAL" style="position:absolute;left:0;text-align:left;margin-left:0;margin-top:0;width:36.2pt;height:33.3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6D2EE43A" w14:textId="3AF677F0"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r w:rsidR="00123DA9">
      <w:rPr>
        <w:color w:val="6E7571" w:themeColor="text2"/>
      </w:rPr>
      <w:t>Corporate Procurement Strategy</w:t>
    </w:r>
  </w:p>
  <w:p w14:paraId="46FEDC9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55325C6" wp14:editId="51DCFF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96AAF2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0E83" w14:textId="2FB70F0D" w:rsidR="006A7344" w:rsidRDefault="00CF2756">
    <w:pPr>
      <w:pStyle w:val="Header"/>
    </w:pPr>
    <w:r>
      <w:rPr>
        <w:noProof/>
      </w:rPr>
      <mc:AlternateContent>
        <mc:Choice Requires="wps">
          <w:drawing>
            <wp:anchor distT="0" distB="0" distL="0" distR="0" simplePos="0" relativeHeight="251659267" behindDoc="0" locked="0" layoutInCell="1" allowOverlap="1" wp14:anchorId="1CC92D5B" wp14:editId="1DD926B8">
              <wp:simplePos x="533400" y="508000"/>
              <wp:positionH relativeFrom="page">
                <wp:align>center</wp:align>
              </wp:positionH>
              <wp:positionV relativeFrom="page">
                <wp:align>top</wp:align>
              </wp:positionV>
              <wp:extent cx="459740" cy="422910"/>
              <wp:effectExtent l="0" t="0" r="16510" b="15240"/>
              <wp:wrapNone/>
              <wp:docPr id="14742666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35E4182" w14:textId="2203D84B"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92D5B" id="_x0000_t202" coordsize="21600,21600" o:spt="202" path="m,l,21600r21600,l21600,xe">
              <v:stroke joinstyle="miter"/>
              <v:path gradientshapeok="t" o:connecttype="rect"/>
            </v:shapetype>
            <v:shape id="Text Box 8" o:spid="_x0000_s1031" type="#_x0000_t202" alt="OFFICIAL" style="position:absolute;margin-left:0;margin-top:0;width:36.2pt;height:33.3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135E4182" w14:textId="2203D84B" w:rsidR="00CF2756" w:rsidRPr="00CF2756" w:rsidRDefault="00CF2756" w:rsidP="00CF2756">
                    <w:pPr>
                      <w:rPr>
                        <w:rFonts w:ascii="Calibri" w:eastAsia="Calibri" w:hAnsi="Calibri" w:cs="Calibri"/>
                        <w:noProof/>
                        <w:color w:val="0000FF"/>
                        <w:sz w:val="20"/>
                        <w:szCs w:val="20"/>
                      </w:rPr>
                    </w:pPr>
                    <w:r w:rsidRPr="00CF275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1ED"/>
    <w:multiLevelType w:val="hybridMultilevel"/>
    <w:tmpl w:val="E82C6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44222"/>
    <w:multiLevelType w:val="hybridMultilevel"/>
    <w:tmpl w:val="AA32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64B64"/>
    <w:multiLevelType w:val="hybridMultilevel"/>
    <w:tmpl w:val="652CCB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CB0ACD"/>
    <w:multiLevelType w:val="hybridMultilevel"/>
    <w:tmpl w:val="33DCF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15ABF"/>
    <w:multiLevelType w:val="hybridMultilevel"/>
    <w:tmpl w:val="1C98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0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7E67D0"/>
    <w:multiLevelType w:val="hybridMultilevel"/>
    <w:tmpl w:val="AE42C040"/>
    <w:lvl w:ilvl="0" w:tplc="501CA7B0">
      <w:start w:val="1"/>
      <w:numFmt w:val="decimal"/>
      <w:lvlText w:val="7.%1 "/>
      <w:lvlJc w:val="left"/>
      <w:pPr>
        <w:ind w:left="360" w:hanging="360"/>
      </w:pPr>
      <w:rPr>
        <w:rFonts w:ascii="Arial Bold" w:hAnsi="Arial Bold" w:hint="default"/>
        <w:b/>
        <w:i w:val="0"/>
        <w:color w:val="auto"/>
        <w:sz w:val="28"/>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F0831"/>
    <w:multiLevelType w:val="hybridMultilevel"/>
    <w:tmpl w:val="FFCCB9DC"/>
    <w:lvl w:ilvl="0" w:tplc="642C6DA6">
      <w:start w:val="1"/>
      <w:numFmt w:val="decimal"/>
      <w:lvlText w:val="8.%1 "/>
      <w:lvlJc w:val="left"/>
      <w:pPr>
        <w:ind w:left="786" w:hanging="360"/>
      </w:pPr>
      <w:rPr>
        <w:rFonts w:ascii="Arial Bold" w:hAnsi="Arial Bold" w:hint="default"/>
        <w:b/>
        <w:i w:val="0"/>
        <w:color w:val="auto"/>
        <w:sz w:val="28"/>
        <w:szCs w:val="20"/>
        <w:u w:val="no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37338BF"/>
    <w:multiLevelType w:val="multilevel"/>
    <w:tmpl w:val="5D22490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42C766C"/>
    <w:multiLevelType w:val="multilevel"/>
    <w:tmpl w:val="71A8DAC2"/>
    <w:lvl w:ilvl="0">
      <w:start w:val="1"/>
      <w:numFmt w:val="decimal"/>
      <w:pStyle w:val="KAHead1"/>
      <w:lvlText w:val="%1."/>
      <w:lvlJc w:val="left"/>
      <w:pPr>
        <w:ind w:left="360" w:hanging="360"/>
      </w:pPr>
      <w:rPr>
        <w:rFonts w:hint="default"/>
      </w:rPr>
    </w:lvl>
    <w:lvl w:ilvl="1">
      <w:start w:val="1"/>
      <w:numFmt w:val="decimal"/>
      <w:pStyle w:val="KAHead2"/>
      <w:lvlText w:val="Section %1.%2."/>
      <w:lvlJc w:val="left"/>
      <w:pPr>
        <w:ind w:left="8307" w:hanging="2495"/>
      </w:pPr>
      <w:rPr>
        <w:rFonts w:hint="default"/>
      </w:rPr>
    </w:lvl>
    <w:lvl w:ilvl="2">
      <w:start w:val="1"/>
      <w:numFmt w:val="decimal"/>
      <w:pStyle w:val="KAHead3"/>
      <w:lvlText w:val="Section %1.%2.%3."/>
      <w:lvlJc w:val="left"/>
      <w:pPr>
        <w:ind w:left="2948" w:hanging="29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FF1189"/>
    <w:multiLevelType w:val="multilevel"/>
    <w:tmpl w:val="8BACE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3B0955"/>
    <w:multiLevelType w:val="hybridMultilevel"/>
    <w:tmpl w:val="51AA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D0614"/>
    <w:multiLevelType w:val="hybridMultilevel"/>
    <w:tmpl w:val="9C20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902A6"/>
    <w:multiLevelType w:val="multilevel"/>
    <w:tmpl w:val="5FBC48A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ascii="Arial" w:hAnsi="Arial"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3C2807"/>
    <w:multiLevelType w:val="hybridMultilevel"/>
    <w:tmpl w:val="7D382EB2"/>
    <w:lvl w:ilvl="0" w:tplc="0DC6E69C">
      <w:start w:val="1"/>
      <w:numFmt w:val="decimal"/>
      <w:lvlText w:val="6.%1 "/>
      <w:lvlJc w:val="left"/>
      <w:pPr>
        <w:ind w:left="720" w:hanging="360"/>
      </w:pPr>
      <w:rPr>
        <w:rFonts w:ascii="Arial Bold" w:hAnsi="Arial Bold" w:hint="default"/>
        <w:b/>
        <w:i w:val="0"/>
        <w:color w:val="auto"/>
        <w:sz w:val="28"/>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865FE"/>
    <w:multiLevelType w:val="hybridMultilevel"/>
    <w:tmpl w:val="9638840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E3536F9"/>
    <w:multiLevelType w:val="hybridMultilevel"/>
    <w:tmpl w:val="4FE0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93949"/>
    <w:multiLevelType w:val="hybridMultilevel"/>
    <w:tmpl w:val="CEEA6D2A"/>
    <w:lvl w:ilvl="0" w:tplc="BE740906">
      <w:start w:val="1"/>
      <w:numFmt w:val="decimal"/>
      <w:lvlText w:val="1.%1 "/>
      <w:lvlJc w:val="left"/>
      <w:pPr>
        <w:ind w:left="720" w:hanging="360"/>
      </w:pPr>
      <w:rPr>
        <w:rFonts w:ascii="Arial Bold" w:hAnsi="Arial Bold" w:hint="default"/>
        <w:b/>
        <w:i w:val="0"/>
        <w:sz w:val="28"/>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03858"/>
    <w:multiLevelType w:val="hybridMultilevel"/>
    <w:tmpl w:val="A42CDE04"/>
    <w:lvl w:ilvl="0" w:tplc="42A40130">
      <w:start w:val="1"/>
      <w:numFmt w:val="decimal"/>
      <w:lvlText w:val="6.%1 "/>
      <w:lvlJc w:val="left"/>
      <w:pPr>
        <w:ind w:left="720" w:hanging="360"/>
      </w:pPr>
      <w:rPr>
        <w:rFonts w:ascii="Arial Bold" w:hAnsi="Arial Bold" w:hint="default"/>
        <w:b/>
        <w:i w:val="0"/>
        <w:color w:val="auto"/>
        <w:sz w:val="28"/>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AC0C6A"/>
    <w:multiLevelType w:val="multilevel"/>
    <w:tmpl w:val="8BACE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B85737"/>
    <w:multiLevelType w:val="hybridMultilevel"/>
    <w:tmpl w:val="30F6B6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2571371"/>
    <w:multiLevelType w:val="hybridMultilevel"/>
    <w:tmpl w:val="2D08D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A113AC"/>
    <w:multiLevelType w:val="multilevel"/>
    <w:tmpl w:val="51B604F2"/>
    <w:lvl w:ilvl="0">
      <w:start w:val="1"/>
      <w:numFmt w:val="decimal"/>
      <w:lvlText w:val="3.%1 "/>
      <w:lvlJc w:val="left"/>
      <w:pPr>
        <w:ind w:left="720" w:hanging="360"/>
      </w:pPr>
      <w:rPr>
        <w:rFonts w:ascii="Arial Bold" w:hAnsi="Arial Bold" w:hint="default"/>
        <w:b/>
        <w:i w:val="0"/>
        <w:color w:val="3C4741" w:themeColor="text1"/>
        <w:sz w:val="28"/>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A4738E"/>
    <w:multiLevelType w:val="hybridMultilevel"/>
    <w:tmpl w:val="48F8A612"/>
    <w:lvl w:ilvl="0" w:tplc="CA28D634">
      <w:start w:val="1"/>
      <w:numFmt w:val="decimal"/>
      <w:lvlText w:val="5.%1 "/>
      <w:lvlJc w:val="left"/>
      <w:pPr>
        <w:ind w:left="720" w:hanging="360"/>
      </w:pPr>
      <w:rPr>
        <w:rFonts w:ascii="Arial Bold" w:hAnsi="Arial Bold" w:hint="default"/>
        <w:b/>
        <w:i w:val="0"/>
        <w:color w:val="3C4741" w:themeColor="text1"/>
        <w:sz w:val="28"/>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4B00E2"/>
    <w:multiLevelType w:val="hybridMultilevel"/>
    <w:tmpl w:val="0EA2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162FD"/>
    <w:multiLevelType w:val="hybridMultilevel"/>
    <w:tmpl w:val="4A867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982552"/>
    <w:multiLevelType w:val="hybridMultilevel"/>
    <w:tmpl w:val="D3A4CF8C"/>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63980E9C"/>
    <w:multiLevelType w:val="hybridMultilevel"/>
    <w:tmpl w:val="5232A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FBF3342"/>
    <w:multiLevelType w:val="hybridMultilevel"/>
    <w:tmpl w:val="310AAE66"/>
    <w:lvl w:ilvl="0" w:tplc="CA28D634">
      <w:start w:val="1"/>
      <w:numFmt w:val="decimal"/>
      <w:lvlText w:val="5.%1 "/>
      <w:lvlJc w:val="left"/>
      <w:pPr>
        <w:ind w:left="360" w:hanging="360"/>
      </w:pPr>
      <w:rPr>
        <w:rFonts w:ascii="Arial Bold" w:hAnsi="Arial Bold" w:hint="default"/>
        <w:b/>
        <w:i w:val="0"/>
        <w:color w:val="3C4741" w:themeColor="text1"/>
        <w:sz w:val="28"/>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79149D"/>
    <w:multiLevelType w:val="hybridMultilevel"/>
    <w:tmpl w:val="0EE6F92C"/>
    <w:lvl w:ilvl="0" w:tplc="BD062926">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D3E78DF"/>
    <w:multiLevelType w:val="hybridMultilevel"/>
    <w:tmpl w:val="AE66341C"/>
    <w:lvl w:ilvl="0" w:tplc="CA28D634">
      <w:start w:val="1"/>
      <w:numFmt w:val="decimal"/>
      <w:lvlText w:val="5.%1 "/>
      <w:lvlJc w:val="left"/>
      <w:pPr>
        <w:ind w:left="1440" w:hanging="360"/>
      </w:pPr>
      <w:rPr>
        <w:rFonts w:ascii="Arial Bold" w:hAnsi="Arial Bold" w:hint="default"/>
        <w:b/>
        <w:i w:val="0"/>
        <w:color w:val="3C4741" w:themeColor="text1"/>
        <w:sz w:val="28"/>
        <w:szCs w:val="24"/>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905432">
    <w:abstractNumId w:val="28"/>
  </w:num>
  <w:num w:numId="2" w16cid:durableId="1098990180">
    <w:abstractNumId w:val="9"/>
  </w:num>
  <w:num w:numId="3" w16cid:durableId="27419878">
    <w:abstractNumId w:val="8"/>
  </w:num>
  <w:num w:numId="4" w16cid:durableId="1589725966">
    <w:abstractNumId w:val="10"/>
  </w:num>
  <w:num w:numId="5" w16cid:durableId="1972247941">
    <w:abstractNumId w:val="2"/>
  </w:num>
  <w:num w:numId="6" w16cid:durableId="1506746345">
    <w:abstractNumId w:val="21"/>
  </w:num>
  <w:num w:numId="7" w16cid:durableId="1923950503">
    <w:abstractNumId w:val="25"/>
  </w:num>
  <w:num w:numId="8" w16cid:durableId="1194999803">
    <w:abstractNumId w:val="19"/>
  </w:num>
  <w:num w:numId="9" w16cid:durableId="307243317">
    <w:abstractNumId w:val="4"/>
  </w:num>
  <w:num w:numId="10" w16cid:durableId="354576009">
    <w:abstractNumId w:val="24"/>
  </w:num>
  <w:num w:numId="11" w16cid:durableId="1488327412">
    <w:abstractNumId w:val="16"/>
  </w:num>
  <w:num w:numId="12" w16cid:durableId="1739287296">
    <w:abstractNumId w:val="11"/>
  </w:num>
  <w:num w:numId="13" w16cid:durableId="139807751">
    <w:abstractNumId w:val="27"/>
  </w:num>
  <w:num w:numId="14" w16cid:durableId="1809973311">
    <w:abstractNumId w:val="5"/>
  </w:num>
  <w:num w:numId="15" w16cid:durableId="902911215">
    <w:abstractNumId w:val="3"/>
  </w:num>
  <w:num w:numId="16" w16cid:durableId="94057280">
    <w:abstractNumId w:val="15"/>
  </w:num>
  <w:num w:numId="17" w16cid:durableId="219678655">
    <w:abstractNumId w:val="26"/>
  </w:num>
  <w:num w:numId="18" w16cid:durableId="1627464652">
    <w:abstractNumId w:val="0"/>
  </w:num>
  <w:num w:numId="19" w16cid:durableId="1541212558">
    <w:abstractNumId w:val="17"/>
  </w:num>
  <w:num w:numId="20" w16cid:durableId="1726367995">
    <w:abstractNumId w:val="22"/>
  </w:num>
  <w:num w:numId="21" w16cid:durableId="1653024650">
    <w:abstractNumId w:val="23"/>
  </w:num>
  <w:num w:numId="22" w16cid:durableId="1392925274">
    <w:abstractNumId w:val="18"/>
  </w:num>
  <w:num w:numId="23" w16cid:durableId="902835542">
    <w:abstractNumId w:val="1"/>
  </w:num>
  <w:num w:numId="24" w16cid:durableId="990981817">
    <w:abstractNumId w:val="13"/>
  </w:num>
  <w:num w:numId="25" w16cid:durableId="1780031231">
    <w:abstractNumId w:val="20"/>
  </w:num>
  <w:num w:numId="26" w16cid:durableId="1577012126">
    <w:abstractNumId w:val="14"/>
  </w:num>
  <w:num w:numId="27" w16cid:durableId="1769037356">
    <w:abstractNumId w:val="6"/>
  </w:num>
  <w:num w:numId="28" w16cid:durableId="1654336190">
    <w:abstractNumId w:val="7"/>
  </w:num>
  <w:num w:numId="29" w16cid:durableId="1130132087">
    <w:abstractNumId w:val="31"/>
  </w:num>
  <w:num w:numId="30" w16cid:durableId="433130562">
    <w:abstractNumId w:val="29"/>
  </w:num>
  <w:num w:numId="31" w16cid:durableId="64692035">
    <w:abstractNumId w:val="30"/>
  </w:num>
  <w:num w:numId="32" w16cid:durableId="5243267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18"/>
    <w:rsid w:val="0000063C"/>
    <w:rsid w:val="00001BE2"/>
    <w:rsid w:val="00002816"/>
    <w:rsid w:val="00002871"/>
    <w:rsid w:val="0000415C"/>
    <w:rsid w:val="000044AA"/>
    <w:rsid w:val="00004D0A"/>
    <w:rsid w:val="00004F8D"/>
    <w:rsid w:val="00006395"/>
    <w:rsid w:val="00006BA3"/>
    <w:rsid w:val="00007556"/>
    <w:rsid w:val="00012FD9"/>
    <w:rsid w:val="0001389C"/>
    <w:rsid w:val="00013DC8"/>
    <w:rsid w:val="000140F9"/>
    <w:rsid w:val="00014732"/>
    <w:rsid w:val="0001535B"/>
    <w:rsid w:val="000170D5"/>
    <w:rsid w:val="000171CA"/>
    <w:rsid w:val="000207AD"/>
    <w:rsid w:val="0002118E"/>
    <w:rsid w:val="00022070"/>
    <w:rsid w:val="000220EA"/>
    <w:rsid w:val="00022355"/>
    <w:rsid w:val="00024E35"/>
    <w:rsid w:val="00025429"/>
    <w:rsid w:val="00027320"/>
    <w:rsid w:val="0002736B"/>
    <w:rsid w:val="0002757F"/>
    <w:rsid w:val="00027D2C"/>
    <w:rsid w:val="00027D6F"/>
    <w:rsid w:val="0003092F"/>
    <w:rsid w:val="0003118A"/>
    <w:rsid w:val="000314D2"/>
    <w:rsid w:val="00032829"/>
    <w:rsid w:val="00032B3E"/>
    <w:rsid w:val="00033763"/>
    <w:rsid w:val="000359BD"/>
    <w:rsid w:val="00035B77"/>
    <w:rsid w:val="00035FFA"/>
    <w:rsid w:val="000363EF"/>
    <w:rsid w:val="00036818"/>
    <w:rsid w:val="000377EC"/>
    <w:rsid w:val="000378BA"/>
    <w:rsid w:val="00040561"/>
    <w:rsid w:val="00042419"/>
    <w:rsid w:val="00042824"/>
    <w:rsid w:val="00042F00"/>
    <w:rsid w:val="00045B76"/>
    <w:rsid w:val="00046380"/>
    <w:rsid w:val="00047569"/>
    <w:rsid w:val="00047E01"/>
    <w:rsid w:val="0005179C"/>
    <w:rsid w:val="000528DB"/>
    <w:rsid w:val="00052D56"/>
    <w:rsid w:val="0005323F"/>
    <w:rsid w:val="00055D7A"/>
    <w:rsid w:val="000568DB"/>
    <w:rsid w:val="000571E8"/>
    <w:rsid w:val="000573F1"/>
    <w:rsid w:val="00057DF9"/>
    <w:rsid w:val="00060E63"/>
    <w:rsid w:val="00061A39"/>
    <w:rsid w:val="000621D3"/>
    <w:rsid w:val="00063A35"/>
    <w:rsid w:val="00064999"/>
    <w:rsid w:val="0006590B"/>
    <w:rsid w:val="00065972"/>
    <w:rsid w:val="000661AA"/>
    <w:rsid w:val="0006698C"/>
    <w:rsid w:val="000700C4"/>
    <w:rsid w:val="000701B4"/>
    <w:rsid w:val="000705BE"/>
    <w:rsid w:val="00070937"/>
    <w:rsid w:val="00070D13"/>
    <w:rsid w:val="00072362"/>
    <w:rsid w:val="00072E0C"/>
    <w:rsid w:val="0007306B"/>
    <w:rsid w:val="00073DA7"/>
    <w:rsid w:val="000754F0"/>
    <w:rsid w:val="00075BA0"/>
    <w:rsid w:val="00075F2F"/>
    <w:rsid w:val="0007641A"/>
    <w:rsid w:val="00077F3E"/>
    <w:rsid w:val="00080833"/>
    <w:rsid w:val="0008145A"/>
    <w:rsid w:val="00081825"/>
    <w:rsid w:val="00082B86"/>
    <w:rsid w:val="00082EEA"/>
    <w:rsid w:val="00083071"/>
    <w:rsid w:val="00083C25"/>
    <w:rsid w:val="000865BB"/>
    <w:rsid w:val="00086645"/>
    <w:rsid w:val="00091A97"/>
    <w:rsid w:val="0009238C"/>
    <w:rsid w:val="000946F1"/>
    <w:rsid w:val="00095666"/>
    <w:rsid w:val="00095D1C"/>
    <w:rsid w:val="00096DAC"/>
    <w:rsid w:val="000973B4"/>
    <w:rsid w:val="000A24CC"/>
    <w:rsid w:val="000A2AEB"/>
    <w:rsid w:val="000A3CD7"/>
    <w:rsid w:val="000A3E94"/>
    <w:rsid w:val="000A54CE"/>
    <w:rsid w:val="000A6481"/>
    <w:rsid w:val="000A6B2D"/>
    <w:rsid w:val="000A7E17"/>
    <w:rsid w:val="000B2109"/>
    <w:rsid w:val="000B4B0F"/>
    <w:rsid w:val="000B70B2"/>
    <w:rsid w:val="000B7559"/>
    <w:rsid w:val="000C368C"/>
    <w:rsid w:val="000C40BB"/>
    <w:rsid w:val="000C4516"/>
    <w:rsid w:val="000C4889"/>
    <w:rsid w:val="000C48B0"/>
    <w:rsid w:val="000C50C1"/>
    <w:rsid w:val="000C6138"/>
    <w:rsid w:val="000C61FB"/>
    <w:rsid w:val="000C639B"/>
    <w:rsid w:val="000C6739"/>
    <w:rsid w:val="000C6FAF"/>
    <w:rsid w:val="000C79B6"/>
    <w:rsid w:val="000C7E53"/>
    <w:rsid w:val="000D04CB"/>
    <w:rsid w:val="000D1046"/>
    <w:rsid w:val="000D25FA"/>
    <w:rsid w:val="000D48DA"/>
    <w:rsid w:val="000D621E"/>
    <w:rsid w:val="000D7C2A"/>
    <w:rsid w:val="000E0D15"/>
    <w:rsid w:val="000E125C"/>
    <w:rsid w:val="000E6485"/>
    <w:rsid w:val="000E6C4E"/>
    <w:rsid w:val="000E72E8"/>
    <w:rsid w:val="000F107D"/>
    <w:rsid w:val="000F1414"/>
    <w:rsid w:val="000F14AD"/>
    <w:rsid w:val="000F1E39"/>
    <w:rsid w:val="000F2A6A"/>
    <w:rsid w:val="000F4873"/>
    <w:rsid w:val="000F5B3C"/>
    <w:rsid w:val="000F5C7F"/>
    <w:rsid w:val="000F5CEA"/>
    <w:rsid w:val="000F7DAA"/>
    <w:rsid w:val="0010094C"/>
    <w:rsid w:val="00101516"/>
    <w:rsid w:val="00101E13"/>
    <w:rsid w:val="00102D8B"/>
    <w:rsid w:val="001032F5"/>
    <w:rsid w:val="001043EF"/>
    <w:rsid w:val="00104F0B"/>
    <w:rsid w:val="00105F31"/>
    <w:rsid w:val="00105F76"/>
    <w:rsid w:val="001060EB"/>
    <w:rsid w:val="0010633C"/>
    <w:rsid w:val="00107818"/>
    <w:rsid w:val="001109F9"/>
    <w:rsid w:val="001140CF"/>
    <w:rsid w:val="00114335"/>
    <w:rsid w:val="001149CA"/>
    <w:rsid w:val="001155D9"/>
    <w:rsid w:val="00116569"/>
    <w:rsid w:val="00116FA3"/>
    <w:rsid w:val="001176DE"/>
    <w:rsid w:val="00117EB5"/>
    <w:rsid w:val="00120924"/>
    <w:rsid w:val="001210F3"/>
    <w:rsid w:val="001216B7"/>
    <w:rsid w:val="00121D0C"/>
    <w:rsid w:val="00123DA9"/>
    <w:rsid w:val="00124ABE"/>
    <w:rsid w:val="00124FB1"/>
    <w:rsid w:val="001253AC"/>
    <w:rsid w:val="00125AB7"/>
    <w:rsid w:val="00130D86"/>
    <w:rsid w:val="00130F19"/>
    <w:rsid w:val="0013263F"/>
    <w:rsid w:val="00132676"/>
    <w:rsid w:val="00133967"/>
    <w:rsid w:val="00133BEB"/>
    <w:rsid w:val="001350C0"/>
    <w:rsid w:val="00135760"/>
    <w:rsid w:val="00137494"/>
    <w:rsid w:val="00137CCF"/>
    <w:rsid w:val="0014222F"/>
    <w:rsid w:val="00143948"/>
    <w:rsid w:val="00143988"/>
    <w:rsid w:val="00143A8B"/>
    <w:rsid w:val="001468D8"/>
    <w:rsid w:val="00147243"/>
    <w:rsid w:val="00147A84"/>
    <w:rsid w:val="00150418"/>
    <w:rsid w:val="00150666"/>
    <w:rsid w:val="00150B78"/>
    <w:rsid w:val="00150E8F"/>
    <w:rsid w:val="00152563"/>
    <w:rsid w:val="00153A2F"/>
    <w:rsid w:val="00155144"/>
    <w:rsid w:val="001558D4"/>
    <w:rsid w:val="00155A32"/>
    <w:rsid w:val="00155F51"/>
    <w:rsid w:val="001562AF"/>
    <w:rsid w:val="0015709C"/>
    <w:rsid w:val="001604E1"/>
    <w:rsid w:val="0016220F"/>
    <w:rsid w:val="0016382E"/>
    <w:rsid w:val="00165968"/>
    <w:rsid w:val="00166AE7"/>
    <w:rsid w:val="00166C63"/>
    <w:rsid w:val="00167988"/>
    <w:rsid w:val="00171949"/>
    <w:rsid w:val="00171C07"/>
    <w:rsid w:val="00172939"/>
    <w:rsid w:val="00172E88"/>
    <w:rsid w:val="0017339E"/>
    <w:rsid w:val="0017357C"/>
    <w:rsid w:val="00173630"/>
    <w:rsid w:val="0017373B"/>
    <w:rsid w:val="001742D5"/>
    <w:rsid w:val="00174D97"/>
    <w:rsid w:val="00174E88"/>
    <w:rsid w:val="00174F35"/>
    <w:rsid w:val="00175DB2"/>
    <w:rsid w:val="0017709F"/>
    <w:rsid w:val="001776ED"/>
    <w:rsid w:val="001777BA"/>
    <w:rsid w:val="00177966"/>
    <w:rsid w:val="00183F89"/>
    <w:rsid w:val="001840A4"/>
    <w:rsid w:val="0018424E"/>
    <w:rsid w:val="00184496"/>
    <w:rsid w:val="001844D5"/>
    <w:rsid w:val="00186740"/>
    <w:rsid w:val="0019053B"/>
    <w:rsid w:val="00191511"/>
    <w:rsid w:val="00191674"/>
    <w:rsid w:val="00192347"/>
    <w:rsid w:val="00193134"/>
    <w:rsid w:val="00193C23"/>
    <w:rsid w:val="0019440D"/>
    <w:rsid w:val="00195ACD"/>
    <w:rsid w:val="00196FE5"/>
    <w:rsid w:val="001970B5"/>
    <w:rsid w:val="001979E1"/>
    <w:rsid w:val="001A1032"/>
    <w:rsid w:val="001A1406"/>
    <w:rsid w:val="001A2EC0"/>
    <w:rsid w:val="001A3CAF"/>
    <w:rsid w:val="001A48DA"/>
    <w:rsid w:val="001A55F5"/>
    <w:rsid w:val="001A690E"/>
    <w:rsid w:val="001A6EE9"/>
    <w:rsid w:val="001A78D9"/>
    <w:rsid w:val="001B1AEF"/>
    <w:rsid w:val="001B2E31"/>
    <w:rsid w:val="001B3DEF"/>
    <w:rsid w:val="001B41C1"/>
    <w:rsid w:val="001B5EB5"/>
    <w:rsid w:val="001B6E8F"/>
    <w:rsid w:val="001C050D"/>
    <w:rsid w:val="001C1E99"/>
    <w:rsid w:val="001C2863"/>
    <w:rsid w:val="001C479C"/>
    <w:rsid w:val="001C53E8"/>
    <w:rsid w:val="001C5DFD"/>
    <w:rsid w:val="001C666E"/>
    <w:rsid w:val="001C69C6"/>
    <w:rsid w:val="001C69D1"/>
    <w:rsid w:val="001C78A4"/>
    <w:rsid w:val="001C78BC"/>
    <w:rsid w:val="001C7A4D"/>
    <w:rsid w:val="001C7EB0"/>
    <w:rsid w:val="001D07E0"/>
    <w:rsid w:val="001D1B3D"/>
    <w:rsid w:val="001D22E9"/>
    <w:rsid w:val="001D3012"/>
    <w:rsid w:val="001D3038"/>
    <w:rsid w:val="001D358B"/>
    <w:rsid w:val="001D42C5"/>
    <w:rsid w:val="001D4BCB"/>
    <w:rsid w:val="001D612D"/>
    <w:rsid w:val="001D7B1A"/>
    <w:rsid w:val="001E1C92"/>
    <w:rsid w:val="001E265A"/>
    <w:rsid w:val="001E2911"/>
    <w:rsid w:val="001E2B6D"/>
    <w:rsid w:val="001E2CA2"/>
    <w:rsid w:val="001E4345"/>
    <w:rsid w:val="001E6417"/>
    <w:rsid w:val="001E674B"/>
    <w:rsid w:val="001E7101"/>
    <w:rsid w:val="001F00CB"/>
    <w:rsid w:val="001F03D8"/>
    <w:rsid w:val="001F21E2"/>
    <w:rsid w:val="001F2FD3"/>
    <w:rsid w:val="001F3ED5"/>
    <w:rsid w:val="001F437B"/>
    <w:rsid w:val="001F4778"/>
    <w:rsid w:val="001F48A0"/>
    <w:rsid w:val="001F4B49"/>
    <w:rsid w:val="001F5427"/>
    <w:rsid w:val="001F5E7C"/>
    <w:rsid w:val="001F615A"/>
    <w:rsid w:val="001F764A"/>
    <w:rsid w:val="0020014C"/>
    <w:rsid w:val="002003A3"/>
    <w:rsid w:val="00200DA5"/>
    <w:rsid w:val="0020162F"/>
    <w:rsid w:val="00202B1C"/>
    <w:rsid w:val="002047C4"/>
    <w:rsid w:val="00205797"/>
    <w:rsid w:val="002068FF"/>
    <w:rsid w:val="002072EC"/>
    <w:rsid w:val="002079B5"/>
    <w:rsid w:val="002118A4"/>
    <w:rsid w:val="00212364"/>
    <w:rsid w:val="002135E3"/>
    <w:rsid w:val="00215C1A"/>
    <w:rsid w:val="00217581"/>
    <w:rsid w:val="00217C8D"/>
    <w:rsid w:val="0022174B"/>
    <w:rsid w:val="0022189A"/>
    <w:rsid w:val="002220BC"/>
    <w:rsid w:val="00222D16"/>
    <w:rsid w:val="00224016"/>
    <w:rsid w:val="0022480A"/>
    <w:rsid w:val="002258C8"/>
    <w:rsid w:val="00226A00"/>
    <w:rsid w:val="00227E5C"/>
    <w:rsid w:val="00227F18"/>
    <w:rsid w:val="00234BA1"/>
    <w:rsid w:val="00236552"/>
    <w:rsid w:val="00236AA1"/>
    <w:rsid w:val="00240457"/>
    <w:rsid w:val="00240769"/>
    <w:rsid w:val="00240928"/>
    <w:rsid w:val="00242695"/>
    <w:rsid w:val="00242DFE"/>
    <w:rsid w:val="00243CAD"/>
    <w:rsid w:val="002459EF"/>
    <w:rsid w:val="002465E2"/>
    <w:rsid w:val="00251D88"/>
    <w:rsid w:val="00252933"/>
    <w:rsid w:val="00252D2C"/>
    <w:rsid w:val="00254B73"/>
    <w:rsid w:val="00254DAD"/>
    <w:rsid w:val="002563F3"/>
    <w:rsid w:val="0025677F"/>
    <w:rsid w:val="0025688E"/>
    <w:rsid w:val="00257523"/>
    <w:rsid w:val="00257AD5"/>
    <w:rsid w:val="00261C5A"/>
    <w:rsid w:val="00261D3A"/>
    <w:rsid w:val="002621D3"/>
    <w:rsid w:val="00262B7E"/>
    <w:rsid w:val="00263C89"/>
    <w:rsid w:val="00263FD1"/>
    <w:rsid w:val="002641AD"/>
    <w:rsid w:val="00264872"/>
    <w:rsid w:val="0026497F"/>
    <w:rsid w:val="00265798"/>
    <w:rsid w:val="00265A0C"/>
    <w:rsid w:val="002661FE"/>
    <w:rsid w:val="00272632"/>
    <w:rsid w:val="00272DD4"/>
    <w:rsid w:val="002731A0"/>
    <w:rsid w:val="0027410F"/>
    <w:rsid w:val="00274CA2"/>
    <w:rsid w:val="002750BD"/>
    <w:rsid w:val="0027556D"/>
    <w:rsid w:val="0027619F"/>
    <w:rsid w:val="002767F9"/>
    <w:rsid w:val="00277481"/>
    <w:rsid w:val="00280064"/>
    <w:rsid w:val="002814C8"/>
    <w:rsid w:val="00281B5A"/>
    <w:rsid w:val="00281BB1"/>
    <w:rsid w:val="002836C4"/>
    <w:rsid w:val="00283EDB"/>
    <w:rsid w:val="0028441A"/>
    <w:rsid w:val="002856E0"/>
    <w:rsid w:val="002863FE"/>
    <w:rsid w:val="00287085"/>
    <w:rsid w:val="00290596"/>
    <w:rsid w:val="002906A9"/>
    <w:rsid w:val="00290B1F"/>
    <w:rsid w:val="00292259"/>
    <w:rsid w:val="00294CDA"/>
    <w:rsid w:val="00295527"/>
    <w:rsid w:val="0029584F"/>
    <w:rsid w:val="002A2143"/>
    <w:rsid w:val="002A3C3C"/>
    <w:rsid w:val="002A3F51"/>
    <w:rsid w:val="002A43B0"/>
    <w:rsid w:val="002A4A9E"/>
    <w:rsid w:val="002A5465"/>
    <w:rsid w:val="002B1E88"/>
    <w:rsid w:val="002B2E9F"/>
    <w:rsid w:val="002B4059"/>
    <w:rsid w:val="002B4563"/>
    <w:rsid w:val="002B53A0"/>
    <w:rsid w:val="002B5C27"/>
    <w:rsid w:val="002B72AD"/>
    <w:rsid w:val="002C0D7E"/>
    <w:rsid w:val="002C18C9"/>
    <w:rsid w:val="002C1E51"/>
    <w:rsid w:val="002C2752"/>
    <w:rsid w:val="002C29B6"/>
    <w:rsid w:val="002C30CA"/>
    <w:rsid w:val="002C3627"/>
    <w:rsid w:val="002C36B2"/>
    <w:rsid w:val="002C3E9B"/>
    <w:rsid w:val="002C428C"/>
    <w:rsid w:val="002C4A76"/>
    <w:rsid w:val="002C51DA"/>
    <w:rsid w:val="002C5FE6"/>
    <w:rsid w:val="002C6182"/>
    <w:rsid w:val="002C6966"/>
    <w:rsid w:val="002C734B"/>
    <w:rsid w:val="002C7F7C"/>
    <w:rsid w:val="002D125C"/>
    <w:rsid w:val="002D1AD3"/>
    <w:rsid w:val="002D1B49"/>
    <w:rsid w:val="002D2789"/>
    <w:rsid w:val="002D2FFC"/>
    <w:rsid w:val="002D39EF"/>
    <w:rsid w:val="002D4601"/>
    <w:rsid w:val="002D5422"/>
    <w:rsid w:val="002D720F"/>
    <w:rsid w:val="002D7473"/>
    <w:rsid w:val="002E31D4"/>
    <w:rsid w:val="002E6034"/>
    <w:rsid w:val="002E693E"/>
    <w:rsid w:val="002E71A4"/>
    <w:rsid w:val="002F0608"/>
    <w:rsid w:val="002F08A9"/>
    <w:rsid w:val="002F5427"/>
    <w:rsid w:val="002F5A0C"/>
    <w:rsid w:val="002F5F11"/>
    <w:rsid w:val="002F7020"/>
    <w:rsid w:val="002F7A9E"/>
    <w:rsid w:val="00300594"/>
    <w:rsid w:val="0030096D"/>
    <w:rsid w:val="00300996"/>
    <w:rsid w:val="003015C4"/>
    <w:rsid w:val="00301C7E"/>
    <w:rsid w:val="003025A9"/>
    <w:rsid w:val="003027DF"/>
    <w:rsid w:val="00303BEE"/>
    <w:rsid w:val="00303D4F"/>
    <w:rsid w:val="003072C4"/>
    <w:rsid w:val="00310226"/>
    <w:rsid w:val="00311218"/>
    <w:rsid w:val="0031121E"/>
    <w:rsid w:val="003113BD"/>
    <w:rsid w:val="00312714"/>
    <w:rsid w:val="003134BC"/>
    <w:rsid w:val="00313C09"/>
    <w:rsid w:val="00315EDF"/>
    <w:rsid w:val="00316F34"/>
    <w:rsid w:val="00317618"/>
    <w:rsid w:val="00320F2F"/>
    <w:rsid w:val="00321148"/>
    <w:rsid w:val="003214AC"/>
    <w:rsid w:val="003234FB"/>
    <w:rsid w:val="00323C8E"/>
    <w:rsid w:val="003240B2"/>
    <w:rsid w:val="00324D3D"/>
    <w:rsid w:val="00324FBD"/>
    <w:rsid w:val="00326B46"/>
    <w:rsid w:val="00327544"/>
    <w:rsid w:val="00327F36"/>
    <w:rsid w:val="00330662"/>
    <w:rsid w:val="003316CC"/>
    <w:rsid w:val="0033227D"/>
    <w:rsid w:val="00332656"/>
    <w:rsid w:val="00332DF6"/>
    <w:rsid w:val="003333AD"/>
    <w:rsid w:val="003339CE"/>
    <w:rsid w:val="00334362"/>
    <w:rsid w:val="003367B8"/>
    <w:rsid w:val="00336894"/>
    <w:rsid w:val="003401C4"/>
    <w:rsid w:val="0034360A"/>
    <w:rsid w:val="003437AA"/>
    <w:rsid w:val="00343959"/>
    <w:rsid w:val="00343CCD"/>
    <w:rsid w:val="0034478E"/>
    <w:rsid w:val="003452E5"/>
    <w:rsid w:val="003477BF"/>
    <w:rsid w:val="00347811"/>
    <w:rsid w:val="00347DE7"/>
    <w:rsid w:val="0035002F"/>
    <w:rsid w:val="00350919"/>
    <w:rsid w:val="00351B62"/>
    <w:rsid w:val="00355672"/>
    <w:rsid w:val="00356B35"/>
    <w:rsid w:val="003572C1"/>
    <w:rsid w:val="0036053B"/>
    <w:rsid w:val="003622E6"/>
    <w:rsid w:val="00362976"/>
    <w:rsid w:val="00364400"/>
    <w:rsid w:val="00365157"/>
    <w:rsid w:val="00367C93"/>
    <w:rsid w:val="003705DE"/>
    <w:rsid w:val="00372DEF"/>
    <w:rsid w:val="00373301"/>
    <w:rsid w:val="003737B8"/>
    <w:rsid w:val="00373CDE"/>
    <w:rsid w:val="00373F40"/>
    <w:rsid w:val="00374479"/>
    <w:rsid w:val="00374788"/>
    <w:rsid w:val="0037528C"/>
    <w:rsid w:val="003767F6"/>
    <w:rsid w:val="00376DFE"/>
    <w:rsid w:val="0037707D"/>
    <w:rsid w:val="003777FC"/>
    <w:rsid w:val="00380F23"/>
    <w:rsid w:val="00381F76"/>
    <w:rsid w:val="00383A51"/>
    <w:rsid w:val="00385516"/>
    <w:rsid w:val="003862A4"/>
    <w:rsid w:val="00386F1B"/>
    <w:rsid w:val="00387CEF"/>
    <w:rsid w:val="00390AD4"/>
    <w:rsid w:val="00390E6A"/>
    <w:rsid w:val="00391E61"/>
    <w:rsid w:val="00391FC9"/>
    <w:rsid w:val="00392BDB"/>
    <w:rsid w:val="00392E5D"/>
    <w:rsid w:val="00393186"/>
    <w:rsid w:val="003934A9"/>
    <w:rsid w:val="003935AE"/>
    <w:rsid w:val="00395010"/>
    <w:rsid w:val="00395B76"/>
    <w:rsid w:val="00395CB0"/>
    <w:rsid w:val="003A056D"/>
    <w:rsid w:val="003A074B"/>
    <w:rsid w:val="003A13DE"/>
    <w:rsid w:val="003A1A2A"/>
    <w:rsid w:val="003A1C5E"/>
    <w:rsid w:val="003A4ED1"/>
    <w:rsid w:val="003A517D"/>
    <w:rsid w:val="003A78BD"/>
    <w:rsid w:val="003B0E14"/>
    <w:rsid w:val="003B0F93"/>
    <w:rsid w:val="003B481B"/>
    <w:rsid w:val="003B4A45"/>
    <w:rsid w:val="003B72F2"/>
    <w:rsid w:val="003B7C33"/>
    <w:rsid w:val="003C09B2"/>
    <w:rsid w:val="003D0108"/>
    <w:rsid w:val="003D0EAB"/>
    <w:rsid w:val="003D4253"/>
    <w:rsid w:val="003D44BB"/>
    <w:rsid w:val="003D4666"/>
    <w:rsid w:val="003D467D"/>
    <w:rsid w:val="003D4B21"/>
    <w:rsid w:val="003D4BBF"/>
    <w:rsid w:val="003D68C1"/>
    <w:rsid w:val="003D70CF"/>
    <w:rsid w:val="003E06EC"/>
    <w:rsid w:val="003E11C4"/>
    <w:rsid w:val="003E1EB5"/>
    <w:rsid w:val="003E2A54"/>
    <w:rsid w:val="003E31E2"/>
    <w:rsid w:val="003E361C"/>
    <w:rsid w:val="003E397B"/>
    <w:rsid w:val="003E525D"/>
    <w:rsid w:val="003E5C54"/>
    <w:rsid w:val="003F3006"/>
    <w:rsid w:val="003F5384"/>
    <w:rsid w:val="0040131E"/>
    <w:rsid w:val="00401BD3"/>
    <w:rsid w:val="00401F5B"/>
    <w:rsid w:val="004024EE"/>
    <w:rsid w:val="00402E0A"/>
    <w:rsid w:val="00404A3A"/>
    <w:rsid w:val="00404B9E"/>
    <w:rsid w:val="00404F5E"/>
    <w:rsid w:val="004073BC"/>
    <w:rsid w:val="00411D6B"/>
    <w:rsid w:val="004156EB"/>
    <w:rsid w:val="00415874"/>
    <w:rsid w:val="00416313"/>
    <w:rsid w:val="0041680B"/>
    <w:rsid w:val="004200A8"/>
    <w:rsid w:val="00420AE3"/>
    <w:rsid w:val="00422543"/>
    <w:rsid w:val="00422CD4"/>
    <w:rsid w:val="00422EBD"/>
    <w:rsid w:val="00425682"/>
    <w:rsid w:val="004260AD"/>
    <w:rsid w:val="004263EE"/>
    <w:rsid w:val="00426550"/>
    <w:rsid w:val="00433C40"/>
    <w:rsid w:val="00434BC0"/>
    <w:rsid w:val="0043518C"/>
    <w:rsid w:val="00435922"/>
    <w:rsid w:val="00436934"/>
    <w:rsid w:val="00437805"/>
    <w:rsid w:val="004378A6"/>
    <w:rsid w:val="00437A74"/>
    <w:rsid w:val="00440FE7"/>
    <w:rsid w:val="00441421"/>
    <w:rsid w:val="004414C6"/>
    <w:rsid w:val="0044182E"/>
    <w:rsid w:val="004430B5"/>
    <w:rsid w:val="00443979"/>
    <w:rsid w:val="00444AA1"/>
    <w:rsid w:val="00445993"/>
    <w:rsid w:val="00445D9B"/>
    <w:rsid w:val="00445ED8"/>
    <w:rsid w:val="00445FE7"/>
    <w:rsid w:val="00447595"/>
    <w:rsid w:val="004478DB"/>
    <w:rsid w:val="00450404"/>
    <w:rsid w:val="00450AF6"/>
    <w:rsid w:val="00451041"/>
    <w:rsid w:val="004513E3"/>
    <w:rsid w:val="00451CAB"/>
    <w:rsid w:val="00451ED3"/>
    <w:rsid w:val="00454A71"/>
    <w:rsid w:val="0045509B"/>
    <w:rsid w:val="00456AF8"/>
    <w:rsid w:val="00457B92"/>
    <w:rsid w:val="00460235"/>
    <w:rsid w:val="00460298"/>
    <w:rsid w:val="00461F24"/>
    <w:rsid w:val="00462746"/>
    <w:rsid w:val="00464B92"/>
    <w:rsid w:val="004655FB"/>
    <w:rsid w:val="00467A1C"/>
    <w:rsid w:val="00467BF1"/>
    <w:rsid w:val="00472883"/>
    <w:rsid w:val="004728F3"/>
    <w:rsid w:val="0047613A"/>
    <w:rsid w:val="0047665B"/>
    <w:rsid w:val="0048040B"/>
    <w:rsid w:val="004806D2"/>
    <w:rsid w:val="004809DD"/>
    <w:rsid w:val="00481EB9"/>
    <w:rsid w:val="0048244D"/>
    <w:rsid w:val="00483C94"/>
    <w:rsid w:val="00483E99"/>
    <w:rsid w:val="00484BBC"/>
    <w:rsid w:val="00485F8C"/>
    <w:rsid w:val="004861C5"/>
    <w:rsid w:val="00490E77"/>
    <w:rsid w:val="0049291D"/>
    <w:rsid w:val="00492E23"/>
    <w:rsid w:val="00492FE9"/>
    <w:rsid w:val="0049334E"/>
    <w:rsid w:val="00493505"/>
    <w:rsid w:val="00493E26"/>
    <w:rsid w:val="00494C73"/>
    <w:rsid w:val="00496528"/>
    <w:rsid w:val="00496875"/>
    <w:rsid w:val="004968A5"/>
    <w:rsid w:val="0049708C"/>
    <w:rsid w:val="00497386"/>
    <w:rsid w:val="004A3B63"/>
    <w:rsid w:val="004A62BB"/>
    <w:rsid w:val="004A6A0F"/>
    <w:rsid w:val="004A6DD7"/>
    <w:rsid w:val="004A6E22"/>
    <w:rsid w:val="004A7A8D"/>
    <w:rsid w:val="004B1C66"/>
    <w:rsid w:val="004B28A0"/>
    <w:rsid w:val="004B2D78"/>
    <w:rsid w:val="004B2E3C"/>
    <w:rsid w:val="004B2FD8"/>
    <w:rsid w:val="004B3F12"/>
    <w:rsid w:val="004B3F87"/>
    <w:rsid w:val="004B43C8"/>
    <w:rsid w:val="004B57AB"/>
    <w:rsid w:val="004B5ABB"/>
    <w:rsid w:val="004B6D8F"/>
    <w:rsid w:val="004B7321"/>
    <w:rsid w:val="004B733A"/>
    <w:rsid w:val="004B75B6"/>
    <w:rsid w:val="004B7C94"/>
    <w:rsid w:val="004C0077"/>
    <w:rsid w:val="004C08F6"/>
    <w:rsid w:val="004C133B"/>
    <w:rsid w:val="004C1ADA"/>
    <w:rsid w:val="004C2842"/>
    <w:rsid w:val="004C2BCA"/>
    <w:rsid w:val="004C3AB0"/>
    <w:rsid w:val="004C3DB0"/>
    <w:rsid w:val="004C50E8"/>
    <w:rsid w:val="004C5D74"/>
    <w:rsid w:val="004C6AAB"/>
    <w:rsid w:val="004D0925"/>
    <w:rsid w:val="004D14C1"/>
    <w:rsid w:val="004D1A87"/>
    <w:rsid w:val="004D34D6"/>
    <w:rsid w:val="004D4825"/>
    <w:rsid w:val="004D5521"/>
    <w:rsid w:val="004E1663"/>
    <w:rsid w:val="004E1807"/>
    <w:rsid w:val="004E231B"/>
    <w:rsid w:val="004E2332"/>
    <w:rsid w:val="004E445C"/>
    <w:rsid w:val="004E4776"/>
    <w:rsid w:val="004E4D11"/>
    <w:rsid w:val="004E6BC8"/>
    <w:rsid w:val="004E76EF"/>
    <w:rsid w:val="004E7C86"/>
    <w:rsid w:val="004F1465"/>
    <w:rsid w:val="004F1EAA"/>
    <w:rsid w:val="004F26FA"/>
    <w:rsid w:val="004F2914"/>
    <w:rsid w:val="004F2B9C"/>
    <w:rsid w:val="004F46C8"/>
    <w:rsid w:val="004F59CA"/>
    <w:rsid w:val="004F6776"/>
    <w:rsid w:val="004F6E3E"/>
    <w:rsid w:val="004F75C5"/>
    <w:rsid w:val="005008BA"/>
    <w:rsid w:val="00501582"/>
    <w:rsid w:val="00502D42"/>
    <w:rsid w:val="00503EAA"/>
    <w:rsid w:val="00505BD8"/>
    <w:rsid w:val="005108D8"/>
    <w:rsid w:val="005112DC"/>
    <w:rsid w:val="005117F9"/>
    <w:rsid w:val="005132AB"/>
    <w:rsid w:val="00513303"/>
    <w:rsid w:val="005135CA"/>
    <w:rsid w:val="00513A03"/>
    <w:rsid w:val="0051442D"/>
    <w:rsid w:val="00515A09"/>
    <w:rsid w:val="00516464"/>
    <w:rsid w:val="005167FD"/>
    <w:rsid w:val="00517EB1"/>
    <w:rsid w:val="005201A7"/>
    <w:rsid w:val="00521706"/>
    <w:rsid w:val="00523627"/>
    <w:rsid w:val="0052415E"/>
    <w:rsid w:val="005241B3"/>
    <w:rsid w:val="00524DF1"/>
    <w:rsid w:val="005259D3"/>
    <w:rsid w:val="00525B55"/>
    <w:rsid w:val="0052634A"/>
    <w:rsid w:val="005263FB"/>
    <w:rsid w:val="0052649A"/>
    <w:rsid w:val="00526B1B"/>
    <w:rsid w:val="005303BF"/>
    <w:rsid w:val="00530A49"/>
    <w:rsid w:val="005329C5"/>
    <w:rsid w:val="00533C65"/>
    <w:rsid w:val="00535999"/>
    <w:rsid w:val="00535B1E"/>
    <w:rsid w:val="005362DE"/>
    <w:rsid w:val="005401E4"/>
    <w:rsid w:val="00540360"/>
    <w:rsid w:val="0054080B"/>
    <w:rsid w:val="005409B8"/>
    <w:rsid w:val="005417EB"/>
    <w:rsid w:val="005432E3"/>
    <w:rsid w:val="005443A7"/>
    <w:rsid w:val="00544A05"/>
    <w:rsid w:val="00544C00"/>
    <w:rsid w:val="00545666"/>
    <w:rsid w:val="00545C8A"/>
    <w:rsid w:val="005477DF"/>
    <w:rsid w:val="005509BB"/>
    <w:rsid w:val="00551497"/>
    <w:rsid w:val="00551989"/>
    <w:rsid w:val="005520F2"/>
    <w:rsid w:val="00552596"/>
    <w:rsid w:val="00553051"/>
    <w:rsid w:val="00554D69"/>
    <w:rsid w:val="00557DCD"/>
    <w:rsid w:val="00561CCB"/>
    <w:rsid w:val="00563230"/>
    <w:rsid w:val="00564805"/>
    <w:rsid w:val="00564930"/>
    <w:rsid w:val="00565723"/>
    <w:rsid w:val="00566DF8"/>
    <w:rsid w:val="00567C52"/>
    <w:rsid w:val="00570B68"/>
    <w:rsid w:val="00571216"/>
    <w:rsid w:val="005714BC"/>
    <w:rsid w:val="00571553"/>
    <w:rsid w:val="00573D01"/>
    <w:rsid w:val="00575AC5"/>
    <w:rsid w:val="00575D0D"/>
    <w:rsid w:val="005764BB"/>
    <w:rsid w:val="005765D9"/>
    <w:rsid w:val="00576869"/>
    <w:rsid w:val="00576F23"/>
    <w:rsid w:val="00577447"/>
    <w:rsid w:val="00577BD3"/>
    <w:rsid w:val="0058112F"/>
    <w:rsid w:val="0058139C"/>
    <w:rsid w:val="00582A56"/>
    <w:rsid w:val="00582C8A"/>
    <w:rsid w:val="00583283"/>
    <w:rsid w:val="00584D92"/>
    <w:rsid w:val="00587414"/>
    <w:rsid w:val="00591785"/>
    <w:rsid w:val="00591816"/>
    <w:rsid w:val="005931CD"/>
    <w:rsid w:val="00593985"/>
    <w:rsid w:val="0059489E"/>
    <w:rsid w:val="00594ECB"/>
    <w:rsid w:val="0059641E"/>
    <w:rsid w:val="005972F4"/>
    <w:rsid w:val="0059744B"/>
    <w:rsid w:val="0059777C"/>
    <w:rsid w:val="005A0644"/>
    <w:rsid w:val="005A0C43"/>
    <w:rsid w:val="005A0D10"/>
    <w:rsid w:val="005A1141"/>
    <w:rsid w:val="005A213F"/>
    <w:rsid w:val="005A355E"/>
    <w:rsid w:val="005A36D2"/>
    <w:rsid w:val="005A3C5B"/>
    <w:rsid w:val="005A3D84"/>
    <w:rsid w:val="005A426C"/>
    <w:rsid w:val="005A449D"/>
    <w:rsid w:val="005A5958"/>
    <w:rsid w:val="005A5B3A"/>
    <w:rsid w:val="005B0CA5"/>
    <w:rsid w:val="005B0ECC"/>
    <w:rsid w:val="005B1D94"/>
    <w:rsid w:val="005B1E23"/>
    <w:rsid w:val="005B2D4F"/>
    <w:rsid w:val="005B36C7"/>
    <w:rsid w:val="005B50E1"/>
    <w:rsid w:val="005B6025"/>
    <w:rsid w:val="005B6388"/>
    <w:rsid w:val="005B7E47"/>
    <w:rsid w:val="005C0133"/>
    <w:rsid w:val="005C10FE"/>
    <w:rsid w:val="005C18D7"/>
    <w:rsid w:val="005C234A"/>
    <w:rsid w:val="005C377B"/>
    <w:rsid w:val="005C6081"/>
    <w:rsid w:val="005C666B"/>
    <w:rsid w:val="005D02ED"/>
    <w:rsid w:val="005D08CA"/>
    <w:rsid w:val="005D1213"/>
    <w:rsid w:val="005D12B0"/>
    <w:rsid w:val="005D2372"/>
    <w:rsid w:val="005D2DC5"/>
    <w:rsid w:val="005D4B51"/>
    <w:rsid w:val="005E003D"/>
    <w:rsid w:val="005E0C4F"/>
    <w:rsid w:val="005E1779"/>
    <w:rsid w:val="005E1D12"/>
    <w:rsid w:val="005E22AB"/>
    <w:rsid w:val="005E4853"/>
    <w:rsid w:val="005E69D7"/>
    <w:rsid w:val="005E6C12"/>
    <w:rsid w:val="005E750A"/>
    <w:rsid w:val="005E750C"/>
    <w:rsid w:val="005E755F"/>
    <w:rsid w:val="005F0A24"/>
    <w:rsid w:val="005F0BD9"/>
    <w:rsid w:val="005F2A43"/>
    <w:rsid w:val="005F2B40"/>
    <w:rsid w:val="005F368A"/>
    <w:rsid w:val="005F371E"/>
    <w:rsid w:val="005F41B0"/>
    <w:rsid w:val="005F463E"/>
    <w:rsid w:val="005F6027"/>
    <w:rsid w:val="00600572"/>
    <w:rsid w:val="00600F73"/>
    <w:rsid w:val="00602940"/>
    <w:rsid w:val="00602F1A"/>
    <w:rsid w:val="0060387D"/>
    <w:rsid w:val="00603A52"/>
    <w:rsid w:val="006062E1"/>
    <w:rsid w:val="00606B50"/>
    <w:rsid w:val="00606C83"/>
    <w:rsid w:val="00610915"/>
    <w:rsid w:val="00610CC2"/>
    <w:rsid w:val="00610EA9"/>
    <w:rsid w:val="00611F9A"/>
    <w:rsid w:val="006136D0"/>
    <w:rsid w:val="00613AEA"/>
    <w:rsid w:val="00613BF9"/>
    <w:rsid w:val="006148D0"/>
    <w:rsid w:val="0061553E"/>
    <w:rsid w:val="00615B67"/>
    <w:rsid w:val="00615EF2"/>
    <w:rsid w:val="006216D8"/>
    <w:rsid w:val="006232E3"/>
    <w:rsid w:val="006243FF"/>
    <w:rsid w:val="0062461E"/>
    <w:rsid w:val="00624B1E"/>
    <w:rsid w:val="00625032"/>
    <w:rsid w:val="0062539C"/>
    <w:rsid w:val="0062665E"/>
    <w:rsid w:val="00626864"/>
    <w:rsid w:val="00630255"/>
    <w:rsid w:val="006302AE"/>
    <w:rsid w:val="006312F1"/>
    <w:rsid w:val="00631C32"/>
    <w:rsid w:val="006320AB"/>
    <w:rsid w:val="006346D7"/>
    <w:rsid w:val="00634951"/>
    <w:rsid w:val="006349B3"/>
    <w:rsid w:val="00635110"/>
    <w:rsid w:val="00637957"/>
    <w:rsid w:val="00637A9E"/>
    <w:rsid w:val="00641EC9"/>
    <w:rsid w:val="0064750D"/>
    <w:rsid w:val="006478F8"/>
    <w:rsid w:val="00647DAC"/>
    <w:rsid w:val="00650D1C"/>
    <w:rsid w:val="00651C90"/>
    <w:rsid w:val="00651D05"/>
    <w:rsid w:val="0065755C"/>
    <w:rsid w:val="00657D6B"/>
    <w:rsid w:val="00660C79"/>
    <w:rsid w:val="00660EC8"/>
    <w:rsid w:val="00662073"/>
    <w:rsid w:val="00664433"/>
    <w:rsid w:val="00664B98"/>
    <w:rsid w:val="00664F4A"/>
    <w:rsid w:val="00665A2E"/>
    <w:rsid w:val="00665D16"/>
    <w:rsid w:val="0066726D"/>
    <w:rsid w:val="00670570"/>
    <w:rsid w:val="006730F3"/>
    <w:rsid w:val="0067381D"/>
    <w:rsid w:val="00673DD7"/>
    <w:rsid w:val="00674395"/>
    <w:rsid w:val="00674653"/>
    <w:rsid w:val="00676AE9"/>
    <w:rsid w:val="00677584"/>
    <w:rsid w:val="006777C1"/>
    <w:rsid w:val="00680589"/>
    <w:rsid w:val="0068088A"/>
    <w:rsid w:val="00681004"/>
    <w:rsid w:val="00684582"/>
    <w:rsid w:val="00686E1A"/>
    <w:rsid w:val="00690180"/>
    <w:rsid w:val="006905F1"/>
    <w:rsid w:val="006955C7"/>
    <w:rsid w:val="006A036A"/>
    <w:rsid w:val="006A047A"/>
    <w:rsid w:val="006A0851"/>
    <w:rsid w:val="006A08E6"/>
    <w:rsid w:val="006A2790"/>
    <w:rsid w:val="006A34C1"/>
    <w:rsid w:val="006A3A0B"/>
    <w:rsid w:val="006A444D"/>
    <w:rsid w:val="006A50A9"/>
    <w:rsid w:val="006A6A3A"/>
    <w:rsid w:val="006A6A77"/>
    <w:rsid w:val="006A7344"/>
    <w:rsid w:val="006B09BF"/>
    <w:rsid w:val="006B1C01"/>
    <w:rsid w:val="006B20B6"/>
    <w:rsid w:val="006B38AC"/>
    <w:rsid w:val="006B3E80"/>
    <w:rsid w:val="006B3EC6"/>
    <w:rsid w:val="006B4950"/>
    <w:rsid w:val="006B6E7A"/>
    <w:rsid w:val="006C1222"/>
    <w:rsid w:val="006C1528"/>
    <w:rsid w:val="006C367C"/>
    <w:rsid w:val="006C4B1E"/>
    <w:rsid w:val="006C5439"/>
    <w:rsid w:val="006C6AED"/>
    <w:rsid w:val="006D0CE3"/>
    <w:rsid w:val="006D16CE"/>
    <w:rsid w:val="006D379C"/>
    <w:rsid w:val="006D437F"/>
    <w:rsid w:val="006D4833"/>
    <w:rsid w:val="006D4A47"/>
    <w:rsid w:val="006E08CD"/>
    <w:rsid w:val="006E0B0F"/>
    <w:rsid w:val="006E2036"/>
    <w:rsid w:val="006E2AEC"/>
    <w:rsid w:val="006E486B"/>
    <w:rsid w:val="006E5A32"/>
    <w:rsid w:val="006E5CAD"/>
    <w:rsid w:val="006E67CC"/>
    <w:rsid w:val="006F07C4"/>
    <w:rsid w:val="006F2DAA"/>
    <w:rsid w:val="006F4109"/>
    <w:rsid w:val="006F42FE"/>
    <w:rsid w:val="006F4A76"/>
    <w:rsid w:val="006F648A"/>
    <w:rsid w:val="006F67E3"/>
    <w:rsid w:val="006F6CBF"/>
    <w:rsid w:val="006F7353"/>
    <w:rsid w:val="0070049A"/>
    <w:rsid w:val="007012C0"/>
    <w:rsid w:val="00701F05"/>
    <w:rsid w:val="00704D8C"/>
    <w:rsid w:val="00704EA2"/>
    <w:rsid w:val="00705213"/>
    <w:rsid w:val="0070526F"/>
    <w:rsid w:val="0070552C"/>
    <w:rsid w:val="0070625E"/>
    <w:rsid w:val="007077E2"/>
    <w:rsid w:val="007118A9"/>
    <w:rsid w:val="007126BD"/>
    <w:rsid w:val="00712E47"/>
    <w:rsid w:val="00713259"/>
    <w:rsid w:val="00715C91"/>
    <w:rsid w:val="00716480"/>
    <w:rsid w:val="00717849"/>
    <w:rsid w:val="00720C48"/>
    <w:rsid w:val="007210E1"/>
    <w:rsid w:val="00721FCA"/>
    <w:rsid w:val="00725E5E"/>
    <w:rsid w:val="007265BE"/>
    <w:rsid w:val="0073023D"/>
    <w:rsid w:val="007325B5"/>
    <w:rsid w:val="00733251"/>
    <w:rsid w:val="00733C73"/>
    <w:rsid w:val="007371F4"/>
    <w:rsid w:val="0074130C"/>
    <w:rsid w:val="007419AB"/>
    <w:rsid w:val="00741CBC"/>
    <w:rsid w:val="00743FC8"/>
    <w:rsid w:val="00745A7C"/>
    <w:rsid w:val="00745FCF"/>
    <w:rsid w:val="007479FA"/>
    <w:rsid w:val="00747CF7"/>
    <w:rsid w:val="00750055"/>
    <w:rsid w:val="00751692"/>
    <w:rsid w:val="00752A02"/>
    <w:rsid w:val="00755AD0"/>
    <w:rsid w:val="00755E68"/>
    <w:rsid w:val="00755F4A"/>
    <w:rsid w:val="007562C5"/>
    <w:rsid w:val="007565DD"/>
    <w:rsid w:val="00757947"/>
    <w:rsid w:val="00757E0A"/>
    <w:rsid w:val="00762A91"/>
    <w:rsid w:val="007659CA"/>
    <w:rsid w:val="00765EFE"/>
    <w:rsid w:val="0076613D"/>
    <w:rsid w:val="007667EE"/>
    <w:rsid w:val="00766AC1"/>
    <w:rsid w:val="00767834"/>
    <w:rsid w:val="0077150B"/>
    <w:rsid w:val="00771ADB"/>
    <w:rsid w:val="00772CD4"/>
    <w:rsid w:val="007733DE"/>
    <w:rsid w:val="007734E4"/>
    <w:rsid w:val="00774B12"/>
    <w:rsid w:val="0077602B"/>
    <w:rsid w:val="0077605B"/>
    <w:rsid w:val="00776353"/>
    <w:rsid w:val="007763AD"/>
    <w:rsid w:val="007804D8"/>
    <w:rsid w:val="00782C2B"/>
    <w:rsid w:val="00782F46"/>
    <w:rsid w:val="00782F8D"/>
    <w:rsid w:val="007834BA"/>
    <w:rsid w:val="007838FD"/>
    <w:rsid w:val="007844A7"/>
    <w:rsid w:val="00784D60"/>
    <w:rsid w:val="00787F0D"/>
    <w:rsid w:val="00791319"/>
    <w:rsid w:val="00792B0D"/>
    <w:rsid w:val="0079331D"/>
    <w:rsid w:val="00793B9D"/>
    <w:rsid w:val="007956C8"/>
    <w:rsid w:val="00796CDA"/>
    <w:rsid w:val="00797E78"/>
    <w:rsid w:val="007A1E1C"/>
    <w:rsid w:val="007A205C"/>
    <w:rsid w:val="007A355A"/>
    <w:rsid w:val="007A383C"/>
    <w:rsid w:val="007A450C"/>
    <w:rsid w:val="007A4B42"/>
    <w:rsid w:val="007A5826"/>
    <w:rsid w:val="007A5FBF"/>
    <w:rsid w:val="007A6A45"/>
    <w:rsid w:val="007A6CB4"/>
    <w:rsid w:val="007A7D8F"/>
    <w:rsid w:val="007B01C3"/>
    <w:rsid w:val="007B2FFB"/>
    <w:rsid w:val="007B305F"/>
    <w:rsid w:val="007B3FEA"/>
    <w:rsid w:val="007B4BD3"/>
    <w:rsid w:val="007B63A3"/>
    <w:rsid w:val="007B6A29"/>
    <w:rsid w:val="007B6E02"/>
    <w:rsid w:val="007C029B"/>
    <w:rsid w:val="007C02E4"/>
    <w:rsid w:val="007C0BDB"/>
    <w:rsid w:val="007C0D9E"/>
    <w:rsid w:val="007C0EF7"/>
    <w:rsid w:val="007C202B"/>
    <w:rsid w:val="007C21DE"/>
    <w:rsid w:val="007C2797"/>
    <w:rsid w:val="007C3321"/>
    <w:rsid w:val="007C3F12"/>
    <w:rsid w:val="007C4292"/>
    <w:rsid w:val="007C66EB"/>
    <w:rsid w:val="007C780C"/>
    <w:rsid w:val="007C78E9"/>
    <w:rsid w:val="007D066A"/>
    <w:rsid w:val="007D1625"/>
    <w:rsid w:val="007D3466"/>
    <w:rsid w:val="007D3526"/>
    <w:rsid w:val="007D441B"/>
    <w:rsid w:val="007D4B5D"/>
    <w:rsid w:val="007D4CF9"/>
    <w:rsid w:val="007D6002"/>
    <w:rsid w:val="007D7809"/>
    <w:rsid w:val="007D7900"/>
    <w:rsid w:val="007E0FAD"/>
    <w:rsid w:val="007E2514"/>
    <w:rsid w:val="007E2BD0"/>
    <w:rsid w:val="007E3B91"/>
    <w:rsid w:val="007E61D4"/>
    <w:rsid w:val="007E66F4"/>
    <w:rsid w:val="007E68BC"/>
    <w:rsid w:val="007E774E"/>
    <w:rsid w:val="007E7921"/>
    <w:rsid w:val="007E7D92"/>
    <w:rsid w:val="007E7EA2"/>
    <w:rsid w:val="007F029A"/>
    <w:rsid w:val="007F3572"/>
    <w:rsid w:val="007F3818"/>
    <w:rsid w:val="007F3A04"/>
    <w:rsid w:val="007F3DDC"/>
    <w:rsid w:val="007F4359"/>
    <w:rsid w:val="007F4A13"/>
    <w:rsid w:val="007F5485"/>
    <w:rsid w:val="007F64C6"/>
    <w:rsid w:val="007F6B1F"/>
    <w:rsid w:val="007F6DCA"/>
    <w:rsid w:val="007F7F98"/>
    <w:rsid w:val="00800C79"/>
    <w:rsid w:val="00801105"/>
    <w:rsid w:val="00802D8B"/>
    <w:rsid w:val="00803024"/>
    <w:rsid w:val="00803B24"/>
    <w:rsid w:val="00805D60"/>
    <w:rsid w:val="0080636C"/>
    <w:rsid w:val="00806A61"/>
    <w:rsid w:val="0080798F"/>
    <w:rsid w:val="008110F2"/>
    <w:rsid w:val="008118A6"/>
    <w:rsid w:val="00812499"/>
    <w:rsid w:val="0081264E"/>
    <w:rsid w:val="0081364C"/>
    <w:rsid w:val="008205A0"/>
    <w:rsid w:val="0082095B"/>
    <w:rsid w:val="00821BDB"/>
    <w:rsid w:val="00822DB4"/>
    <w:rsid w:val="0082300D"/>
    <w:rsid w:val="00823821"/>
    <w:rsid w:val="00824FB6"/>
    <w:rsid w:val="00827836"/>
    <w:rsid w:val="008314FE"/>
    <w:rsid w:val="0083178B"/>
    <w:rsid w:val="0083443F"/>
    <w:rsid w:val="008357B5"/>
    <w:rsid w:val="00837631"/>
    <w:rsid w:val="00837CE7"/>
    <w:rsid w:val="00837D74"/>
    <w:rsid w:val="008413A9"/>
    <w:rsid w:val="00841AB8"/>
    <w:rsid w:val="00841B79"/>
    <w:rsid w:val="00842039"/>
    <w:rsid w:val="00842FFF"/>
    <w:rsid w:val="00844182"/>
    <w:rsid w:val="008445D1"/>
    <w:rsid w:val="008455AA"/>
    <w:rsid w:val="00845791"/>
    <w:rsid w:val="00845E45"/>
    <w:rsid w:val="00845ED7"/>
    <w:rsid w:val="0084666F"/>
    <w:rsid w:val="0084681B"/>
    <w:rsid w:val="00846B84"/>
    <w:rsid w:val="00846EF6"/>
    <w:rsid w:val="00847016"/>
    <w:rsid w:val="00847AA9"/>
    <w:rsid w:val="00847DEA"/>
    <w:rsid w:val="00851410"/>
    <w:rsid w:val="00852D91"/>
    <w:rsid w:val="00854A5B"/>
    <w:rsid w:val="00855A35"/>
    <w:rsid w:val="00857838"/>
    <w:rsid w:val="00860C0B"/>
    <w:rsid w:val="00860E23"/>
    <w:rsid w:val="00861061"/>
    <w:rsid w:val="00861B46"/>
    <w:rsid w:val="0086236A"/>
    <w:rsid w:val="00863A07"/>
    <w:rsid w:val="00864DDA"/>
    <w:rsid w:val="008665DE"/>
    <w:rsid w:val="00866DB8"/>
    <w:rsid w:val="00870C0C"/>
    <w:rsid w:val="0087271C"/>
    <w:rsid w:val="00872E20"/>
    <w:rsid w:val="00873C53"/>
    <w:rsid w:val="00875881"/>
    <w:rsid w:val="008771CA"/>
    <w:rsid w:val="0088036A"/>
    <w:rsid w:val="008811D9"/>
    <w:rsid w:val="00882047"/>
    <w:rsid w:val="0088398D"/>
    <w:rsid w:val="00884B46"/>
    <w:rsid w:val="00885289"/>
    <w:rsid w:val="00885B48"/>
    <w:rsid w:val="0088696A"/>
    <w:rsid w:val="00886C99"/>
    <w:rsid w:val="00887506"/>
    <w:rsid w:val="0089066A"/>
    <w:rsid w:val="00892E84"/>
    <w:rsid w:val="00895771"/>
    <w:rsid w:val="0089623A"/>
    <w:rsid w:val="00896989"/>
    <w:rsid w:val="00896FCA"/>
    <w:rsid w:val="00897762"/>
    <w:rsid w:val="008A1CB0"/>
    <w:rsid w:val="008A20DD"/>
    <w:rsid w:val="008A3693"/>
    <w:rsid w:val="008A4346"/>
    <w:rsid w:val="008A64E6"/>
    <w:rsid w:val="008A71C0"/>
    <w:rsid w:val="008B0148"/>
    <w:rsid w:val="008B2ACE"/>
    <w:rsid w:val="008B4139"/>
    <w:rsid w:val="008B416A"/>
    <w:rsid w:val="008B4D18"/>
    <w:rsid w:val="008B5E2C"/>
    <w:rsid w:val="008B61F1"/>
    <w:rsid w:val="008B6DD3"/>
    <w:rsid w:val="008B7ADE"/>
    <w:rsid w:val="008C0E7A"/>
    <w:rsid w:val="008C1536"/>
    <w:rsid w:val="008C1A73"/>
    <w:rsid w:val="008C1C93"/>
    <w:rsid w:val="008C33DD"/>
    <w:rsid w:val="008C34B7"/>
    <w:rsid w:val="008C59AB"/>
    <w:rsid w:val="008C68E9"/>
    <w:rsid w:val="008C750C"/>
    <w:rsid w:val="008C7630"/>
    <w:rsid w:val="008C772F"/>
    <w:rsid w:val="008C7B48"/>
    <w:rsid w:val="008D113C"/>
    <w:rsid w:val="008D1F15"/>
    <w:rsid w:val="008D2A71"/>
    <w:rsid w:val="008D303C"/>
    <w:rsid w:val="008D376F"/>
    <w:rsid w:val="008D4B4D"/>
    <w:rsid w:val="008D5702"/>
    <w:rsid w:val="008D6F63"/>
    <w:rsid w:val="008D74B5"/>
    <w:rsid w:val="008D7958"/>
    <w:rsid w:val="008E18D9"/>
    <w:rsid w:val="008E4E9C"/>
    <w:rsid w:val="008E6246"/>
    <w:rsid w:val="008E6C70"/>
    <w:rsid w:val="008E7BA7"/>
    <w:rsid w:val="008F01FB"/>
    <w:rsid w:val="008F03E4"/>
    <w:rsid w:val="008F09BA"/>
    <w:rsid w:val="008F0AB7"/>
    <w:rsid w:val="008F174A"/>
    <w:rsid w:val="008F19DA"/>
    <w:rsid w:val="008F3C6E"/>
    <w:rsid w:val="008F54C6"/>
    <w:rsid w:val="008F5B33"/>
    <w:rsid w:val="008F6177"/>
    <w:rsid w:val="008F756D"/>
    <w:rsid w:val="008F7A6F"/>
    <w:rsid w:val="009001DD"/>
    <w:rsid w:val="00901D42"/>
    <w:rsid w:val="00905139"/>
    <w:rsid w:val="00905CF8"/>
    <w:rsid w:val="00905E40"/>
    <w:rsid w:val="00906597"/>
    <w:rsid w:val="009070FE"/>
    <w:rsid w:val="0091002C"/>
    <w:rsid w:val="00910506"/>
    <w:rsid w:val="00910B89"/>
    <w:rsid w:val="00911100"/>
    <w:rsid w:val="009116A4"/>
    <w:rsid w:val="009118DB"/>
    <w:rsid w:val="009128C8"/>
    <w:rsid w:val="00912C5B"/>
    <w:rsid w:val="00913CBF"/>
    <w:rsid w:val="00914C4E"/>
    <w:rsid w:val="00916DE3"/>
    <w:rsid w:val="00917BB1"/>
    <w:rsid w:val="0092249D"/>
    <w:rsid w:val="00923644"/>
    <w:rsid w:val="009247F9"/>
    <w:rsid w:val="00924961"/>
    <w:rsid w:val="00924B09"/>
    <w:rsid w:val="00925880"/>
    <w:rsid w:val="009270E1"/>
    <w:rsid w:val="0093005A"/>
    <w:rsid w:val="00930C68"/>
    <w:rsid w:val="0093154A"/>
    <w:rsid w:val="00932348"/>
    <w:rsid w:val="009324BC"/>
    <w:rsid w:val="009330EF"/>
    <w:rsid w:val="0093451A"/>
    <w:rsid w:val="009369FE"/>
    <w:rsid w:val="00937FC3"/>
    <w:rsid w:val="0094006C"/>
    <w:rsid w:val="0094194C"/>
    <w:rsid w:val="00942220"/>
    <w:rsid w:val="00942816"/>
    <w:rsid w:val="009437E5"/>
    <w:rsid w:val="0094572E"/>
    <w:rsid w:val="00947BD0"/>
    <w:rsid w:val="00947DA9"/>
    <w:rsid w:val="00951952"/>
    <w:rsid w:val="00952133"/>
    <w:rsid w:val="0095256C"/>
    <w:rsid w:val="009572BF"/>
    <w:rsid w:val="00961DCD"/>
    <w:rsid w:val="00962602"/>
    <w:rsid w:val="00963445"/>
    <w:rsid w:val="00963698"/>
    <w:rsid w:val="009651B9"/>
    <w:rsid w:val="00966988"/>
    <w:rsid w:val="00966AC0"/>
    <w:rsid w:val="00966EF9"/>
    <w:rsid w:val="00967E81"/>
    <w:rsid w:val="0097136E"/>
    <w:rsid w:val="0097248D"/>
    <w:rsid w:val="00973AC9"/>
    <w:rsid w:val="00975D21"/>
    <w:rsid w:val="009762A0"/>
    <w:rsid w:val="0097758A"/>
    <w:rsid w:val="00980531"/>
    <w:rsid w:val="00980B85"/>
    <w:rsid w:val="0098132D"/>
    <w:rsid w:val="0098236A"/>
    <w:rsid w:val="0098270B"/>
    <w:rsid w:val="00983AEF"/>
    <w:rsid w:val="009841B3"/>
    <w:rsid w:val="00984456"/>
    <w:rsid w:val="00985712"/>
    <w:rsid w:val="0098598F"/>
    <w:rsid w:val="00985B47"/>
    <w:rsid w:val="00986C83"/>
    <w:rsid w:val="00990A0E"/>
    <w:rsid w:val="00990B42"/>
    <w:rsid w:val="00990F6D"/>
    <w:rsid w:val="00991D11"/>
    <w:rsid w:val="009954FA"/>
    <w:rsid w:val="00995E17"/>
    <w:rsid w:val="0099731C"/>
    <w:rsid w:val="00997C1E"/>
    <w:rsid w:val="00997EEA"/>
    <w:rsid w:val="009A065F"/>
    <w:rsid w:val="009A1102"/>
    <w:rsid w:val="009A240D"/>
    <w:rsid w:val="009A2442"/>
    <w:rsid w:val="009A2A21"/>
    <w:rsid w:val="009A2B69"/>
    <w:rsid w:val="009A311F"/>
    <w:rsid w:val="009B0227"/>
    <w:rsid w:val="009B394B"/>
    <w:rsid w:val="009B4E89"/>
    <w:rsid w:val="009B4F23"/>
    <w:rsid w:val="009B5434"/>
    <w:rsid w:val="009B5943"/>
    <w:rsid w:val="009B7647"/>
    <w:rsid w:val="009B7996"/>
    <w:rsid w:val="009B7AAA"/>
    <w:rsid w:val="009C00CD"/>
    <w:rsid w:val="009C135B"/>
    <w:rsid w:val="009C235F"/>
    <w:rsid w:val="009C3734"/>
    <w:rsid w:val="009C3880"/>
    <w:rsid w:val="009C3F53"/>
    <w:rsid w:val="009C48E2"/>
    <w:rsid w:val="009C6303"/>
    <w:rsid w:val="009C77BC"/>
    <w:rsid w:val="009D0984"/>
    <w:rsid w:val="009D0A18"/>
    <w:rsid w:val="009D1D94"/>
    <w:rsid w:val="009D28FF"/>
    <w:rsid w:val="009D387E"/>
    <w:rsid w:val="009D4A4D"/>
    <w:rsid w:val="009D75B7"/>
    <w:rsid w:val="009D7AAF"/>
    <w:rsid w:val="009E0A7C"/>
    <w:rsid w:val="009E28AD"/>
    <w:rsid w:val="009E2A33"/>
    <w:rsid w:val="009E2D04"/>
    <w:rsid w:val="009E36D7"/>
    <w:rsid w:val="009E4BC8"/>
    <w:rsid w:val="009E4E70"/>
    <w:rsid w:val="009E501B"/>
    <w:rsid w:val="009E57DE"/>
    <w:rsid w:val="009E59C5"/>
    <w:rsid w:val="009E61BD"/>
    <w:rsid w:val="009E729E"/>
    <w:rsid w:val="009E7D2F"/>
    <w:rsid w:val="009F17D1"/>
    <w:rsid w:val="009F1B51"/>
    <w:rsid w:val="009F2749"/>
    <w:rsid w:val="009F5715"/>
    <w:rsid w:val="009F5C23"/>
    <w:rsid w:val="009F6044"/>
    <w:rsid w:val="009F68CE"/>
    <w:rsid w:val="009F7250"/>
    <w:rsid w:val="009F793A"/>
    <w:rsid w:val="00A0071E"/>
    <w:rsid w:val="00A0157D"/>
    <w:rsid w:val="00A01BB1"/>
    <w:rsid w:val="00A02008"/>
    <w:rsid w:val="00A020E0"/>
    <w:rsid w:val="00A023D2"/>
    <w:rsid w:val="00A02AF3"/>
    <w:rsid w:val="00A10131"/>
    <w:rsid w:val="00A12856"/>
    <w:rsid w:val="00A12E96"/>
    <w:rsid w:val="00A13351"/>
    <w:rsid w:val="00A1372B"/>
    <w:rsid w:val="00A1425B"/>
    <w:rsid w:val="00A16323"/>
    <w:rsid w:val="00A16960"/>
    <w:rsid w:val="00A16E09"/>
    <w:rsid w:val="00A17336"/>
    <w:rsid w:val="00A20EB4"/>
    <w:rsid w:val="00A20F12"/>
    <w:rsid w:val="00A22EEB"/>
    <w:rsid w:val="00A23CC4"/>
    <w:rsid w:val="00A24003"/>
    <w:rsid w:val="00A24A0B"/>
    <w:rsid w:val="00A26F0F"/>
    <w:rsid w:val="00A2797F"/>
    <w:rsid w:val="00A303C6"/>
    <w:rsid w:val="00A30BA7"/>
    <w:rsid w:val="00A317B0"/>
    <w:rsid w:val="00A31DF4"/>
    <w:rsid w:val="00A33207"/>
    <w:rsid w:val="00A34A93"/>
    <w:rsid w:val="00A355AF"/>
    <w:rsid w:val="00A35688"/>
    <w:rsid w:val="00A35FE7"/>
    <w:rsid w:val="00A40518"/>
    <w:rsid w:val="00A40915"/>
    <w:rsid w:val="00A417E0"/>
    <w:rsid w:val="00A420DA"/>
    <w:rsid w:val="00A43FA7"/>
    <w:rsid w:val="00A44ED8"/>
    <w:rsid w:val="00A45C7E"/>
    <w:rsid w:val="00A45FF2"/>
    <w:rsid w:val="00A4680C"/>
    <w:rsid w:val="00A46980"/>
    <w:rsid w:val="00A47AC1"/>
    <w:rsid w:val="00A47D1A"/>
    <w:rsid w:val="00A50601"/>
    <w:rsid w:val="00A50DF4"/>
    <w:rsid w:val="00A521EA"/>
    <w:rsid w:val="00A52644"/>
    <w:rsid w:val="00A54A25"/>
    <w:rsid w:val="00A54D1C"/>
    <w:rsid w:val="00A5647A"/>
    <w:rsid w:val="00A60774"/>
    <w:rsid w:val="00A6119D"/>
    <w:rsid w:val="00A62A06"/>
    <w:rsid w:val="00A63B60"/>
    <w:rsid w:val="00A64BB8"/>
    <w:rsid w:val="00A65977"/>
    <w:rsid w:val="00A664D3"/>
    <w:rsid w:val="00A66675"/>
    <w:rsid w:val="00A668D0"/>
    <w:rsid w:val="00A674DF"/>
    <w:rsid w:val="00A70592"/>
    <w:rsid w:val="00A7125B"/>
    <w:rsid w:val="00A71B11"/>
    <w:rsid w:val="00A7460E"/>
    <w:rsid w:val="00A75717"/>
    <w:rsid w:val="00A77543"/>
    <w:rsid w:val="00A80AB9"/>
    <w:rsid w:val="00A80C40"/>
    <w:rsid w:val="00A819A4"/>
    <w:rsid w:val="00A84A0F"/>
    <w:rsid w:val="00A850D1"/>
    <w:rsid w:val="00A8686D"/>
    <w:rsid w:val="00A86A88"/>
    <w:rsid w:val="00A87141"/>
    <w:rsid w:val="00A87804"/>
    <w:rsid w:val="00A87B85"/>
    <w:rsid w:val="00A9057B"/>
    <w:rsid w:val="00A90BF4"/>
    <w:rsid w:val="00A93138"/>
    <w:rsid w:val="00A9349C"/>
    <w:rsid w:val="00A93965"/>
    <w:rsid w:val="00A93C5C"/>
    <w:rsid w:val="00A95467"/>
    <w:rsid w:val="00A95874"/>
    <w:rsid w:val="00A95E3A"/>
    <w:rsid w:val="00A96714"/>
    <w:rsid w:val="00AA2BF2"/>
    <w:rsid w:val="00AB004F"/>
    <w:rsid w:val="00AB2996"/>
    <w:rsid w:val="00AB2F06"/>
    <w:rsid w:val="00AB30A0"/>
    <w:rsid w:val="00AB35BF"/>
    <w:rsid w:val="00AB373A"/>
    <w:rsid w:val="00AB380E"/>
    <w:rsid w:val="00AB45B7"/>
    <w:rsid w:val="00AB489E"/>
    <w:rsid w:val="00AB5F6E"/>
    <w:rsid w:val="00AB68B4"/>
    <w:rsid w:val="00AB6CC1"/>
    <w:rsid w:val="00AB74FE"/>
    <w:rsid w:val="00AB753E"/>
    <w:rsid w:val="00AC091A"/>
    <w:rsid w:val="00AC1728"/>
    <w:rsid w:val="00AC1B35"/>
    <w:rsid w:val="00AC2571"/>
    <w:rsid w:val="00AC5B04"/>
    <w:rsid w:val="00AC62E2"/>
    <w:rsid w:val="00AC7499"/>
    <w:rsid w:val="00AC752C"/>
    <w:rsid w:val="00AC755B"/>
    <w:rsid w:val="00AC77D2"/>
    <w:rsid w:val="00AD00E2"/>
    <w:rsid w:val="00AD09F4"/>
    <w:rsid w:val="00AD0C74"/>
    <w:rsid w:val="00AD1E04"/>
    <w:rsid w:val="00AD2289"/>
    <w:rsid w:val="00AD33E7"/>
    <w:rsid w:val="00AD3DBF"/>
    <w:rsid w:val="00AD48D8"/>
    <w:rsid w:val="00AD4D7F"/>
    <w:rsid w:val="00AD7B33"/>
    <w:rsid w:val="00AE068C"/>
    <w:rsid w:val="00AE076B"/>
    <w:rsid w:val="00AE114C"/>
    <w:rsid w:val="00AE159E"/>
    <w:rsid w:val="00AE1FE9"/>
    <w:rsid w:val="00AE2801"/>
    <w:rsid w:val="00AE285D"/>
    <w:rsid w:val="00AE2F86"/>
    <w:rsid w:val="00AE37C4"/>
    <w:rsid w:val="00AE5352"/>
    <w:rsid w:val="00AF0D3C"/>
    <w:rsid w:val="00AF157F"/>
    <w:rsid w:val="00AF177C"/>
    <w:rsid w:val="00AF2873"/>
    <w:rsid w:val="00AF2A55"/>
    <w:rsid w:val="00AF3103"/>
    <w:rsid w:val="00AF443F"/>
    <w:rsid w:val="00AF4B95"/>
    <w:rsid w:val="00AF645C"/>
    <w:rsid w:val="00AF6873"/>
    <w:rsid w:val="00AF7D8D"/>
    <w:rsid w:val="00B001F1"/>
    <w:rsid w:val="00B00D2B"/>
    <w:rsid w:val="00B03B7B"/>
    <w:rsid w:val="00B03F8F"/>
    <w:rsid w:val="00B07E4E"/>
    <w:rsid w:val="00B103D9"/>
    <w:rsid w:val="00B113C0"/>
    <w:rsid w:val="00B118F0"/>
    <w:rsid w:val="00B11C44"/>
    <w:rsid w:val="00B122D3"/>
    <w:rsid w:val="00B13183"/>
    <w:rsid w:val="00B172DF"/>
    <w:rsid w:val="00B17A6C"/>
    <w:rsid w:val="00B205FE"/>
    <w:rsid w:val="00B20ED7"/>
    <w:rsid w:val="00B214D1"/>
    <w:rsid w:val="00B215CC"/>
    <w:rsid w:val="00B23C13"/>
    <w:rsid w:val="00B24701"/>
    <w:rsid w:val="00B25BEF"/>
    <w:rsid w:val="00B326A0"/>
    <w:rsid w:val="00B32CEF"/>
    <w:rsid w:val="00B33B67"/>
    <w:rsid w:val="00B4005A"/>
    <w:rsid w:val="00B40718"/>
    <w:rsid w:val="00B4442A"/>
    <w:rsid w:val="00B4464F"/>
    <w:rsid w:val="00B44887"/>
    <w:rsid w:val="00B45195"/>
    <w:rsid w:val="00B46E48"/>
    <w:rsid w:val="00B47B9D"/>
    <w:rsid w:val="00B5035D"/>
    <w:rsid w:val="00B50978"/>
    <w:rsid w:val="00B526F3"/>
    <w:rsid w:val="00B527F3"/>
    <w:rsid w:val="00B545EB"/>
    <w:rsid w:val="00B54A29"/>
    <w:rsid w:val="00B54CF4"/>
    <w:rsid w:val="00B60BED"/>
    <w:rsid w:val="00B611C7"/>
    <w:rsid w:val="00B62289"/>
    <w:rsid w:val="00B623B0"/>
    <w:rsid w:val="00B63C93"/>
    <w:rsid w:val="00B63E7C"/>
    <w:rsid w:val="00B63F6D"/>
    <w:rsid w:val="00B6588B"/>
    <w:rsid w:val="00B66E0E"/>
    <w:rsid w:val="00B673CA"/>
    <w:rsid w:val="00B677E3"/>
    <w:rsid w:val="00B711DC"/>
    <w:rsid w:val="00B732A1"/>
    <w:rsid w:val="00B74D9F"/>
    <w:rsid w:val="00B75408"/>
    <w:rsid w:val="00B8039B"/>
    <w:rsid w:val="00B80563"/>
    <w:rsid w:val="00B82ED5"/>
    <w:rsid w:val="00B83E9E"/>
    <w:rsid w:val="00B858A5"/>
    <w:rsid w:val="00B86110"/>
    <w:rsid w:val="00B86319"/>
    <w:rsid w:val="00B87CC3"/>
    <w:rsid w:val="00B9085C"/>
    <w:rsid w:val="00B91731"/>
    <w:rsid w:val="00B92159"/>
    <w:rsid w:val="00B92C86"/>
    <w:rsid w:val="00B95CA9"/>
    <w:rsid w:val="00B963B9"/>
    <w:rsid w:val="00B97FA5"/>
    <w:rsid w:val="00BA04CE"/>
    <w:rsid w:val="00BA1DA5"/>
    <w:rsid w:val="00BA2D46"/>
    <w:rsid w:val="00BA3AC1"/>
    <w:rsid w:val="00BA439C"/>
    <w:rsid w:val="00BA4A08"/>
    <w:rsid w:val="00BA4A17"/>
    <w:rsid w:val="00BA4EEA"/>
    <w:rsid w:val="00BA66A9"/>
    <w:rsid w:val="00BB007B"/>
    <w:rsid w:val="00BB0148"/>
    <w:rsid w:val="00BB068E"/>
    <w:rsid w:val="00BB2840"/>
    <w:rsid w:val="00BB2AF0"/>
    <w:rsid w:val="00BB4148"/>
    <w:rsid w:val="00BB5329"/>
    <w:rsid w:val="00BB574F"/>
    <w:rsid w:val="00BB57AB"/>
    <w:rsid w:val="00BB66BC"/>
    <w:rsid w:val="00BB6C1D"/>
    <w:rsid w:val="00BB6E89"/>
    <w:rsid w:val="00BB7C1F"/>
    <w:rsid w:val="00BB7CC9"/>
    <w:rsid w:val="00BC0DF1"/>
    <w:rsid w:val="00BC28F6"/>
    <w:rsid w:val="00BC2EAC"/>
    <w:rsid w:val="00BC33F9"/>
    <w:rsid w:val="00BC3B62"/>
    <w:rsid w:val="00BC43FD"/>
    <w:rsid w:val="00BC447D"/>
    <w:rsid w:val="00BC4E7D"/>
    <w:rsid w:val="00BC5AA8"/>
    <w:rsid w:val="00BC693B"/>
    <w:rsid w:val="00BC754A"/>
    <w:rsid w:val="00BD115B"/>
    <w:rsid w:val="00BD1C12"/>
    <w:rsid w:val="00BD23D3"/>
    <w:rsid w:val="00BD3300"/>
    <w:rsid w:val="00BD3C76"/>
    <w:rsid w:val="00BD4008"/>
    <w:rsid w:val="00BD6C58"/>
    <w:rsid w:val="00BE0438"/>
    <w:rsid w:val="00BE174D"/>
    <w:rsid w:val="00BE1851"/>
    <w:rsid w:val="00BE213B"/>
    <w:rsid w:val="00BE2F62"/>
    <w:rsid w:val="00BE4320"/>
    <w:rsid w:val="00BE516D"/>
    <w:rsid w:val="00BE56E7"/>
    <w:rsid w:val="00BE63C4"/>
    <w:rsid w:val="00BE6815"/>
    <w:rsid w:val="00BE687D"/>
    <w:rsid w:val="00BE6D42"/>
    <w:rsid w:val="00BF02E5"/>
    <w:rsid w:val="00BF10D3"/>
    <w:rsid w:val="00BF121D"/>
    <w:rsid w:val="00BF1A1C"/>
    <w:rsid w:val="00BF338B"/>
    <w:rsid w:val="00BF33A2"/>
    <w:rsid w:val="00BF3BF7"/>
    <w:rsid w:val="00BF607D"/>
    <w:rsid w:val="00C0144B"/>
    <w:rsid w:val="00C0199F"/>
    <w:rsid w:val="00C01ADC"/>
    <w:rsid w:val="00C01B61"/>
    <w:rsid w:val="00C04399"/>
    <w:rsid w:val="00C05420"/>
    <w:rsid w:val="00C05FF2"/>
    <w:rsid w:val="00C072C5"/>
    <w:rsid w:val="00C07486"/>
    <w:rsid w:val="00C1228B"/>
    <w:rsid w:val="00C13D17"/>
    <w:rsid w:val="00C14779"/>
    <w:rsid w:val="00C14A45"/>
    <w:rsid w:val="00C14EFC"/>
    <w:rsid w:val="00C16786"/>
    <w:rsid w:val="00C17FDB"/>
    <w:rsid w:val="00C21655"/>
    <w:rsid w:val="00C21F7B"/>
    <w:rsid w:val="00C226FC"/>
    <w:rsid w:val="00C2371E"/>
    <w:rsid w:val="00C23B15"/>
    <w:rsid w:val="00C25B64"/>
    <w:rsid w:val="00C27B69"/>
    <w:rsid w:val="00C322FF"/>
    <w:rsid w:val="00C36818"/>
    <w:rsid w:val="00C36B3F"/>
    <w:rsid w:val="00C36EF8"/>
    <w:rsid w:val="00C37744"/>
    <w:rsid w:val="00C41354"/>
    <w:rsid w:val="00C413C7"/>
    <w:rsid w:val="00C41B24"/>
    <w:rsid w:val="00C42D6D"/>
    <w:rsid w:val="00C451E0"/>
    <w:rsid w:val="00C4584E"/>
    <w:rsid w:val="00C46246"/>
    <w:rsid w:val="00C46361"/>
    <w:rsid w:val="00C4725A"/>
    <w:rsid w:val="00C50D9D"/>
    <w:rsid w:val="00C50E13"/>
    <w:rsid w:val="00C54DB3"/>
    <w:rsid w:val="00C569B9"/>
    <w:rsid w:val="00C56E60"/>
    <w:rsid w:val="00C57961"/>
    <w:rsid w:val="00C57A80"/>
    <w:rsid w:val="00C57ABF"/>
    <w:rsid w:val="00C60295"/>
    <w:rsid w:val="00C613BE"/>
    <w:rsid w:val="00C61B2E"/>
    <w:rsid w:val="00C64A29"/>
    <w:rsid w:val="00C65CE2"/>
    <w:rsid w:val="00C67992"/>
    <w:rsid w:val="00C702B9"/>
    <w:rsid w:val="00C70733"/>
    <w:rsid w:val="00C72D42"/>
    <w:rsid w:val="00C73A01"/>
    <w:rsid w:val="00C75456"/>
    <w:rsid w:val="00C7579C"/>
    <w:rsid w:val="00C77428"/>
    <w:rsid w:val="00C774BF"/>
    <w:rsid w:val="00C80AC3"/>
    <w:rsid w:val="00C821D9"/>
    <w:rsid w:val="00C822F5"/>
    <w:rsid w:val="00C82D04"/>
    <w:rsid w:val="00C83486"/>
    <w:rsid w:val="00C84B2A"/>
    <w:rsid w:val="00C84E1D"/>
    <w:rsid w:val="00C86C49"/>
    <w:rsid w:val="00C87FF6"/>
    <w:rsid w:val="00C9279F"/>
    <w:rsid w:val="00C92DAC"/>
    <w:rsid w:val="00C92F98"/>
    <w:rsid w:val="00C94BF9"/>
    <w:rsid w:val="00C95115"/>
    <w:rsid w:val="00C95ACA"/>
    <w:rsid w:val="00C95F7C"/>
    <w:rsid w:val="00C96158"/>
    <w:rsid w:val="00C96507"/>
    <w:rsid w:val="00CA075D"/>
    <w:rsid w:val="00CA2AF3"/>
    <w:rsid w:val="00CA3591"/>
    <w:rsid w:val="00CA3BCB"/>
    <w:rsid w:val="00CA4A32"/>
    <w:rsid w:val="00CA61FD"/>
    <w:rsid w:val="00CA6C58"/>
    <w:rsid w:val="00CA7D6D"/>
    <w:rsid w:val="00CB2470"/>
    <w:rsid w:val="00CB2B99"/>
    <w:rsid w:val="00CB3015"/>
    <w:rsid w:val="00CB3062"/>
    <w:rsid w:val="00CB368B"/>
    <w:rsid w:val="00CB46A7"/>
    <w:rsid w:val="00CB46FB"/>
    <w:rsid w:val="00CB49D6"/>
    <w:rsid w:val="00CB78AE"/>
    <w:rsid w:val="00CC02D9"/>
    <w:rsid w:val="00CC05F3"/>
    <w:rsid w:val="00CC38D4"/>
    <w:rsid w:val="00CC3A89"/>
    <w:rsid w:val="00CC3BB1"/>
    <w:rsid w:val="00CC45AD"/>
    <w:rsid w:val="00CC5A01"/>
    <w:rsid w:val="00CC65EC"/>
    <w:rsid w:val="00CC76EE"/>
    <w:rsid w:val="00CD0E48"/>
    <w:rsid w:val="00CD2282"/>
    <w:rsid w:val="00CD26DA"/>
    <w:rsid w:val="00CD302C"/>
    <w:rsid w:val="00CD31A1"/>
    <w:rsid w:val="00CD3268"/>
    <w:rsid w:val="00CD56D5"/>
    <w:rsid w:val="00CD5FDC"/>
    <w:rsid w:val="00CD6AC0"/>
    <w:rsid w:val="00CD77EA"/>
    <w:rsid w:val="00CE1F4F"/>
    <w:rsid w:val="00CE34E9"/>
    <w:rsid w:val="00CE3F53"/>
    <w:rsid w:val="00CE407B"/>
    <w:rsid w:val="00CF044B"/>
    <w:rsid w:val="00CF111F"/>
    <w:rsid w:val="00CF2756"/>
    <w:rsid w:val="00CF3ECA"/>
    <w:rsid w:val="00CF4027"/>
    <w:rsid w:val="00CF5181"/>
    <w:rsid w:val="00CF5255"/>
    <w:rsid w:val="00CF7EFB"/>
    <w:rsid w:val="00D002F5"/>
    <w:rsid w:val="00D00A6C"/>
    <w:rsid w:val="00D01244"/>
    <w:rsid w:val="00D01F81"/>
    <w:rsid w:val="00D0335F"/>
    <w:rsid w:val="00D041AA"/>
    <w:rsid w:val="00D106EA"/>
    <w:rsid w:val="00D10AA6"/>
    <w:rsid w:val="00D11CC0"/>
    <w:rsid w:val="00D11E82"/>
    <w:rsid w:val="00D12521"/>
    <w:rsid w:val="00D12964"/>
    <w:rsid w:val="00D1357C"/>
    <w:rsid w:val="00D1412B"/>
    <w:rsid w:val="00D21390"/>
    <w:rsid w:val="00D213A4"/>
    <w:rsid w:val="00D22391"/>
    <w:rsid w:val="00D22B52"/>
    <w:rsid w:val="00D249F6"/>
    <w:rsid w:val="00D252FF"/>
    <w:rsid w:val="00D266C9"/>
    <w:rsid w:val="00D26A23"/>
    <w:rsid w:val="00D2737D"/>
    <w:rsid w:val="00D2771D"/>
    <w:rsid w:val="00D27BC5"/>
    <w:rsid w:val="00D304E9"/>
    <w:rsid w:val="00D305E8"/>
    <w:rsid w:val="00D309F6"/>
    <w:rsid w:val="00D3147B"/>
    <w:rsid w:val="00D320C1"/>
    <w:rsid w:val="00D33387"/>
    <w:rsid w:val="00D34EC4"/>
    <w:rsid w:val="00D35324"/>
    <w:rsid w:val="00D35448"/>
    <w:rsid w:val="00D36617"/>
    <w:rsid w:val="00D37016"/>
    <w:rsid w:val="00D41FDA"/>
    <w:rsid w:val="00D43C91"/>
    <w:rsid w:val="00D459CA"/>
    <w:rsid w:val="00D45D4B"/>
    <w:rsid w:val="00D462E3"/>
    <w:rsid w:val="00D46374"/>
    <w:rsid w:val="00D47027"/>
    <w:rsid w:val="00D52F95"/>
    <w:rsid w:val="00D53992"/>
    <w:rsid w:val="00D54401"/>
    <w:rsid w:val="00D5661C"/>
    <w:rsid w:val="00D56A02"/>
    <w:rsid w:val="00D611F6"/>
    <w:rsid w:val="00D623BF"/>
    <w:rsid w:val="00D63D8D"/>
    <w:rsid w:val="00D63E27"/>
    <w:rsid w:val="00D66ADB"/>
    <w:rsid w:val="00D67045"/>
    <w:rsid w:val="00D67052"/>
    <w:rsid w:val="00D70580"/>
    <w:rsid w:val="00D72FEC"/>
    <w:rsid w:val="00D737B0"/>
    <w:rsid w:val="00D76148"/>
    <w:rsid w:val="00D76384"/>
    <w:rsid w:val="00D77525"/>
    <w:rsid w:val="00D77DFB"/>
    <w:rsid w:val="00D80B34"/>
    <w:rsid w:val="00D80E15"/>
    <w:rsid w:val="00D82355"/>
    <w:rsid w:val="00D8346E"/>
    <w:rsid w:val="00D83A7E"/>
    <w:rsid w:val="00D84DBC"/>
    <w:rsid w:val="00D85254"/>
    <w:rsid w:val="00D854C2"/>
    <w:rsid w:val="00D855D6"/>
    <w:rsid w:val="00D8710E"/>
    <w:rsid w:val="00D9022C"/>
    <w:rsid w:val="00D9060F"/>
    <w:rsid w:val="00D90BB3"/>
    <w:rsid w:val="00D91EBC"/>
    <w:rsid w:val="00D92BA8"/>
    <w:rsid w:val="00D92E9B"/>
    <w:rsid w:val="00D93B1C"/>
    <w:rsid w:val="00D9466C"/>
    <w:rsid w:val="00D94E85"/>
    <w:rsid w:val="00D95247"/>
    <w:rsid w:val="00D956F1"/>
    <w:rsid w:val="00D959A8"/>
    <w:rsid w:val="00D97536"/>
    <w:rsid w:val="00D97DF5"/>
    <w:rsid w:val="00DA09F8"/>
    <w:rsid w:val="00DA1347"/>
    <w:rsid w:val="00DA3126"/>
    <w:rsid w:val="00DA3E80"/>
    <w:rsid w:val="00DA4767"/>
    <w:rsid w:val="00DA5028"/>
    <w:rsid w:val="00DA7C7E"/>
    <w:rsid w:val="00DB30C7"/>
    <w:rsid w:val="00DB3422"/>
    <w:rsid w:val="00DB3BD3"/>
    <w:rsid w:val="00DB6437"/>
    <w:rsid w:val="00DB656E"/>
    <w:rsid w:val="00DB7306"/>
    <w:rsid w:val="00DC018D"/>
    <w:rsid w:val="00DC0262"/>
    <w:rsid w:val="00DC525E"/>
    <w:rsid w:val="00DC52FE"/>
    <w:rsid w:val="00DC575D"/>
    <w:rsid w:val="00DC66FF"/>
    <w:rsid w:val="00DC6A9C"/>
    <w:rsid w:val="00DC722B"/>
    <w:rsid w:val="00DC77B2"/>
    <w:rsid w:val="00DC7B08"/>
    <w:rsid w:val="00DC7F05"/>
    <w:rsid w:val="00DD04CA"/>
    <w:rsid w:val="00DD0DB9"/>
    <w:rsid w:val="00DD16B1"/>
    <w:rsid w:val="00DD2A75"/>
    <w:rsid w:val="00DD344C"/>
    <w:rsid w:val="00DD414D"/>
    <w:rsid w:val="00DD5F14"/>
    <w:rsid w:val="00DD6B76"/>
    <w:rsid w:val="00DD73DD"/>
    <w:rsid w:val="00DE04AA"/>
    <w:rsid w:val="00DE04FD"/>
    <w:rsid w:val="00DE0FCA"/>
    <w:rsid w:val="00DE1B14"/>
    <w:rsid w:val="00DE1CF2"/>
    <w:rsid w:val="00DE262C"/>
    <w:rsid w:val="00DE277B"/>
    <w:rsid w:val="00DE2C06"/>
    <w:rsid w:val="00DE56AC"/>
    <w:rsid w:val="00DE72B5"/>
    <w:rsid w:val="00DF380E"/>
    <w:rsid w:val="00DF3DC8"/>
    <w:rsid w:val="00DF415E"/>
    <w:rsid w:val="00DF4280"/>
    <w:rsid w:val="00DF59DB"/>
    <w:rsid w:val="00DF6211"/>
    <w:rsid w:val="00DF6DF7"/>
    <w:rsid w:val="00E00FEC"/>
    <w:rsid w:val="00E022C3"/>
    <w:rsid w:val="00E038FE"/>
    <w:rsid w:val="00E040C1"/>
    <w:rsid w:val="00E048E9"/>
    <w:rsid w:val="00E05AE7"/>
    <w:rsid w:val="00E05DDF"/>
    <w:rsid w:val="00E10DCB"/>
    <w:rsid w:val="00E116AD"/>
    <w:rsid w:val="00E11A56"/>
    <w:rsid w:val="00E1316A"/>
    <w:rsid w:val="00E14753"/>
    <w:rsid w:val="00E15291"/>
    <w:rsid w:val="00E15EA5"/>
    <w:rsid w:val="00E1687E"/>
    <w:rsid w:val="00E16D19"/>
    <w:rsid w:val="00E20337"/>
    <w:rsid w:val="00E23324"/>
    <w:rsid w:val="00E2647A"/>
    <w:rsid w:val="00E2664A"/>
    <w:rsid w:val="00E26725"/>
    <w:rsid w:val="00E26E2C"/>
    <w:rsid w:val="00E303CD"/>
    <w:rsid w:val="00E3152A"/>
    <w:rsid w:val="00E316A4"/>
    <w:rsid w:val="00E32F5F"/>
    <w:rsid w:val="00E33553"/>
    <w:rsid w:val="00E3442F"/>
    <w:rsid w:val="00E347EB"/>
    <w:rsid w:val="00E35679"/>
    <w:rsid w:val="00E35D0F"/>
    <w:rsid w:val="00E37095"/>
    <w:rsid w:val="00E37489"/>
    <w:rsid w:val="00E404CC"/>
    <w:rsid w:val="00E42DC4"/>
    <w:rsid w:val="00E44BDD"/>
    <w:rsid w:val="00E45453"/>
    <w:rsid w:val="00E454BB"/>
    <w:rsid w:val="00E46453"/>
    <w:rsid w:val="00E46D2F"/>
    <w:rsid w:val="00E46EC2"/>
    <w:rsid w:val="00E473CB"/>
    <w:rsid w:val="00E47883"/>
    <w:rsid w:val="00E50618"/>
    <w:rsid w:val="00E5086E"/>
    <w:rsid w:val="00E512B7"/>
    <w:rsid w:val="00E512D5"/>
    <w:rsid w:val="00E520B4"/>
    <w:rsid w:val="00E53EA6"/>
    <w:rsid w:val="00E5593F"/>
    <w:rsid w:val="00E55F1C"/>
    <w:rsid w:val="00E56747"/>
    <w:rsid w:val="00E56FB2"/>
    <w:rsid w:val="00E5741F"/>
    <w:rsid w:val="00E57E8A"/>
    <w:rsid w:val="00E60B8A"/>
    <w:rsid w:val="00E60F77"/>
    <w:rsid w:val="00E6260C"/>
    <w:rsid w:val="00E640D3"/>
    <w:rsid w:val="00E64AF8"/>
    <w:rsid w:val="00E6676A"/>
    <w:rsid w:val="00E67C75"/>
    <w:rsid w:val="00E72FA3"/>
    <w:rsid w:val="00E74358"/>
    <w:rsid w:val="00E74EEC"/>
    <w:rsid w:val="00E76073"/>
    <w:rsid w:val="00E771B0"/>
    <w:rsid w:val="00E7751A"/>
    <w:rsid w:val="00E80D7C"/>
    <w:rsid w:val="00E812B4"/>
    <w:rsid w:val="00E81C84"/>
    <w:rsid w:val="00E82764"/>
    <w:rsid w:val="00E82A54"/>
    <w:rsid w:val="00E835EA"/>
    <w:rsid w:val="00E83E92"/>
    <w:rsid w:val="00E83EB1"/>
    <w:rsid w:val="00E83FD9"/>
    <w:rsid w:val="00E84276"/>
    <w:rsid w:val="00E85508"/>
    <w:rsid w:val="00E86E73"/>
    <w:rsid w:val="00E87758"/>
    <w:rsid w:val="00E9025F"/>
    <w:rsid w:val="00E90AA6"/>
    <w:rsid w:val="00E91021"/>
    <w:rsid w:val="00E9249B"/>
    <w:rsid w:val="00E94E9B"/>
    <w:rsid w:val="00E96B74"/>
    <w:rsid w:val="00E97D1F"/>
    <w:rsid w:val="00EA04D6"/>
    <w:rsid w:val="00EA05AA"/>
    <w:rsid w:val="00EA0C34"/>
    <w:rsid w:val="00EA39D5"/>
    <w:rsid w:val="00EA3E13"/>
    <w:rsid w:val="00EA4F0C"/>
    <w:rsid w:val="00EA523A"/>
    <w:rsid w:val="00EB11BD"/>
    <w:rsid w:val="00EB2619"/>
    <w:rsid w:val="00EB2AD4"/>
    <w:rsid w:val="00EB4178"/>
    <w:rsid w:val="00EB47F9"/>
    <w:rsid w:val="00EB60F9"/>
    <w:rsid w:val="00EB6516"/>
    <w:rsid w:val="00EB6CB1"/>
    <w:rsid w:val="00EB6EE9"/>
    <w:rsid w:val="00EB7F7B"/>
    <w:rsid w:val="00EC0C0C"/>
    <w:rsid w:val="00EC1799"/>
    <w:rsid w:val="00EC29FF"/>
    <w:rsid w:val="00EC2C6D"/>
    <w:rsid w:val="00EC35A6"/>
    <w:rsid w:val="00EC5ECB"/>
    <w:rsid w:val="00EC61B8"/>
    <w:rsid w:val="00EC6A73"/>
    <w:rsid w:val="00EC6DD5"/>
    <w:rsid w:val="00EC7532"/>
    <w:rsid w:val="00ED3E01"/>
    <w:rsid w:val="00ED58DB"/>
    <w:rsid w:val="00ED5FD6"/>
    <w:rsid w:val="00ED64EB"/>
    <w:rsid w:val="00ED7624"/>
    <w:rsid w:val="00EE0037"/>
    <w:rsid w:val="00EE0A49"/>
    <w:rsid w:val="00EE2878"/>
    <w:rsid w:val="00EE521C"/>
    <w:rsid w:val="00EE5656"/>
    <w:rsid w:val="00EF0892"/>
    <w:rsid w:val="00EF1362"/>
    <w:rsid w:val="00EF3794"/>
    <w:rsid w:val="00EF4AAF"/>
    <w:rsid w:val="00EF56D5"/>
    <w:rsid w:val="00EF5FF2"/>
    <w:rsid w:val="00EF64C4"/>
    <w:rsid w:val="00EF6E9F"/>
    <w:rsid w:val="00EF7248"/>
    <w:rsid w:val="00EF7390"/>
    <w:rsid w:val="00EF7581"/>
    <w:rsid w:val="00EF7889"/>
    <w:rsid w:val="00EF79F1"/>
    <w:rsid w:val="00F004AE"/>
    <w:rsid w:val="00F00C7F"/>
    <w:rsid w:val="00F00CF1"/>
    <w:rsid w:val="00F01E7B"/>
    <w:rsid w:val="00F02787"/>
    <w:rsid w:val="00F035EA"/>
    <w:rsid w:val="00F036D4"/>
    <w:rsid w:val="00F0504C"/>
    <w:rsid w:val="00F0589B"/>
    <w:rsid w:val="00F05BD6"/>
    <w:rsid w:val="00F065F1"/>
    <w:rsid w:val="00F06FD0"/>
    <w:rsid w:val="00F07048"/>
    <w:rsid w:val="00F0739C"/>
    <w:rsid w:val="00F11F6F"/>
    <w:rsid w:val="00F12C89"/>
    <w:rsid w:val="00F13F9E"/>
    <w:rsid w:val="00F150D5"/>
    <w:rsid w:val="00F16027"/>
    <w:rsid w:val="00F16702"/>
    <w:rsid w:val="00F16BCE"/>
    <w:rsid w:val="00F207B9"/>
    <w:rsid w:val="00F21580"/>
    <w:rsid w:val="00F23DD9"/>
    <w:rsid w:val="00F25AD3"/>
    <w:rsid w:val="00F26323"/>
    <w:rsid w:val="00F26B34"/>
    <w:rsid w:val="00F2795C"/>
    <w:rsid w:val="00F318C9"/>
    <w:rsid w:val="00F33F5D"/>
    <w:rsid w:val="00F3488F"/>
    <w:rsid w:val="00F34FF7"/>
    <w:rsid w:val="00F35AC7"/>
    <w:rsid w:val="00F35B2D"/>
    <w:rsid w:val="00F36017"/>
    <w:rsid w:val="00F36318"/>
    <w:rsid w:val="00F37BEE"/>
    <w:rsid w:val="00F42434"/>
    <w:rsid w:val="00F43091"/>
    <w:rsid w:val="00F435EC"/>
    <w:rsid w:val="00F43772"/>
    <w:rsid w:val="00F443EE"/>
    <w:rsid w:val="00F443F6"/>
    <w:rsid w:val="00F4444F"/>
    <w:rsid w:val="00F4533E"/>
    <w:rsid w:val="00F466F9"/>
    <w:rsid w:val="00F508FB"/>
    <w:rsid w:val="00F5120D"/>
    <w:rsid w:val="00F5144F"/>
    <w:rsid w:val="00F51BC5"/>
    <w:rsid w:val="00F52CCE"/>
    <w:rsid w:val="00F5302C"/>
    <w:rsid w:val="00F5347A"/>
    <w:rsid w:val="00F53854"/>
    <w:rsid w:val="00F53A1B"/>
    <w:rsid w:val="00F554A9"/>
    <w:rsid w:val="00F55986"/>
    <w:rsid w:val="00F57054"/>
    <w:rsid w:val="00F57DE4"/>
    <w:rsid w:val="00F618AC"/>
    <w:rsid w:val="00F62435"/>
    <w:rsid w:val="00F629C9"/>
    <w:rsid w:val="00F63EDA"/>
    <w:rsid w:val="00F6403F"/>
    <w:rsid w:val="00F66B11"/>
    <w:rsid w:val="00F66C74"/>
    <w:rsid w:val="00F67221"/>
    <w:rsid w:val="00F67661"/>
    <w:rsid w:val="00F67CFC"/>
    <w:rsid w:val="00F70F44"/>
    <w:rsid w:val="00F712A6"/>
    <w:rsid w:val="00F716B7"/>
    <w:rsid w:val="00F72274"/>
    <w:rsid w:val="00F72D0C"/>
    <w:rsid w:val="00F72FB2"/>
    <w:rsid w:val="00F73850"/>
    <w:rsid w:val="00F73D1F"/>
    <w:rsid w:val="00F74773"/>
    <w:rsid w:val="00F7507D"/>
    <w:rsid w:val="00F762CF"/>
    <w:rsid w:val="00F767A2"/>
    <w:rsid w:val="00F772A4"/>
    <w:rsid w:val="00F80B64"/>
    <w:rsid w:val="00F80E63"/>
    <w:rsid w:val="00F81D36"/>
    <w:rsid w:val="00F82FCB"/>
    <w:rsid w:val="00F83307"/>
    <w:rsid w:val="00F838A3"/>
    <w:rsid w:val="00F840FE"/>
    <w:rsid w:val="00F846D6"/>
    <w:rsid w:val="00F8574A"/>
    <w:rsid w:val="00F86223"/>
    <w:rsid w:val="00F86D37"/>
    <w:rsid w:val="00F876C0"/>
    <w:rsid w:val="00F87CD7"/>
    <w:rsid w:val="00F9020B"/>
    <w:rsid w:val="00F90FC0"/>
    <w:rsid w:val="00F9136F"/>
    <w:rsid w:val="00F924A3"/>
    <w:rsid w:val="00F92C21"/>
    <w:rsid w:val="00F9344A"/>
    <w:rsid w:val="00F95854"/>
    <w:rsid w:val="00F961E6"/>
    <w:rsid w:val="00F96356"/>
    <w:rsid w:val="00F97D95"/>
    <w:rsid w:val="00FA4366"/>
    <w:rsid w:val="00FA4A9E"/>
    <w:rsid w:val="00FA592A"/>
    <w:rsid w:val="00FA5DFC"/>
    <w:rsid w:val="00FA5F30"/>
    <w:rsid w:val="00FA6314"/>
    <w:rsid w:val="00FA659F"/>
    <w:rsid w:val="00FA7A76"/>
    <w:rsid w:val="00FA7BFB"/>
    <w:rsid w:val="00FA7D49"/>
    <w:rsid w:val="00FB0529"/>
    <w:rsid w:val="00FB0B99"/>
    <w:rsid w:val="00FB0DB9"/>
    <w:rsid w:val="00FB38AA"/>
    <w:rsid w:val="00FB3993"/>
    <w:rsid w:val="00FB5D60"/>
    <w:rsid w:val="00FB6388"/>
    <w:rsid w:val="00FB6943"/>
    <w:rsid w:val="00FC12A5"/>
    <w:rsid w:val="00FC21ED"/>
    <w:rsid w:val="00FC2951"/>
    <w:rsid w:val="00FC3000"/>
    <w:rsid w:val="00FC3BC3"/>
    <w:rsid w:val="00FC4424"/>
    <w:rsid w:val="00FC5216"/>
    <w:rsid w:val="00FC5594"/>
    <w:rsid w:val="00FC5644"/>
    <w:rsid w:val="00FD081D"/>
    <w:rsid w:val="00FD1D41"/>
    <w:rsid w:val="00FD2E92"/>
    <w:rsid w:val="00FD3138"/>
    <w:rsid w:val="00FD31E4"/>
    <w:rsid w:val="00FD36D7"/>
    <w:rsid w:val="00FD37AD"/>
    <w:rsid w:val="00FD68DB"/>
    <w:rsid w:val="00FD7BF7"/>
    <w:rsid w:val="00FE16D1"/>
    <w:rsid w:val="00FE1807"/>
    <w:rsid w:val="00FE331D"/>
    <w:rsid w:val="00FE4428"/>
    <w:rsid w:val="00FE44CB"/>
    <w:rsid w:val="00FE4FEF"/>
    <w:rsid w:val="00FE6462"/>
    <w:rsid w:val="00FE6518"/>
    <w:rsid w:val="00FE6E70"/>
    <w:rsid w:val="00FE723C"/>
    <w:rsid w:val="00FF064C"/>
    <w:rsid w:val="00FF0A4D"/>
    <w:rsid w:val="00FF26C8"/>
    <w:rsid w:val="00FF52BE"/>
    <w:rsid w:val="00FF5D5A"/>
    <w:rsid w:val="00FF5F67"/>
    <w:rsid w:val="00FF698A"/>
    <w:rsid w:val="00FF788E"/>
    <w:rsid w:val="1E0078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DC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F924A3"/>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F924A3"/>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F924A3"/>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F924A3"/>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F924A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F924A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F924A3"/>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F924A3"/>
    <w:rPr>
      <w:rFonts w:asciiTheme="majorHAnsi" w:eastAsiaTheme="majorEastAsia" w:hAnsiTheme="majorHAnsi" w:cstheme="majorBidi"/>
      <w:b/>
      <w:iCs/>
    </w:rPr>
  </w:style>
  <w:style w:type="paragraph" w:customStyle="1" w:styleId="BodyText1">
    <w:name w:val="Body Text1"/>
    <w:basedOn w:val="Normal"/>
    <w:qFormat/>
    <w:rsid w:val="00F924A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TableText">
    <w:name w:val="Table Text"/>
    <w:rsid w:val="009D0A18"/>
    <w:pPr>
      <w:spacing w:before="60" w:after="120"/>
    </w:pPr>
    <w:rPr>
      <w:rFonts w:ascii="Arial" w:eastAsia="Times New Roman" w:hAnsi="Arial" w:cs="Times New Roman"/>
      <w:noProof/>
      <w:sz w:val="18"/>
      <w:szCs w:val="20"/>
      <w:lang w:eastAsia="en-GB"/>
    </w:rPr>
  </w:style>
  <w:style w:type="paragraph" w:customStyle="1" w:styleId="TableHeadCentre">
    <w:name w:val="Table Head Centre"/>
    <w:basedOn w:val="Normal"/>
    <w:rsid w:val="009D0A18"/>
    <w:pPr>
      <w:spacing w:before="60" w:after="60" w:line="240" w:lineRule="auto"/>
      <w:jc w:val="center"/>
    </w:pPr>
    <w:rPr>
      <w:rFonts w:ascii="Arial" w:eastAsia="Times New Roman" w:hAnsi="Arial" w:cs="Times New Roman"/>
      <w:b/>
      <w:noProof/>
      <w:sz w:val="18"/>
      <w:szCs w:val="20"/>
      <w:lang w:eastAsia="en-GB"/>
    </w:rPr>
  </w:style>
  <w:style w:type="paragraph" w:styleId="TOCHeading">
    <w:name w:val="TOC Heading"/>
    <w:basedOn w:val="Heading1"/>
    <w:next w:val="Normal"/>
    <w:uiPriority w:val="39"/>
    <w:unhideWhenUsed/>
    <w:qFormat/>
    <w:rsid w:val="00B24701"/>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24701"/>
    <w:pPr>
      <w:spacing w:after="100"/>
    </w:pPr>
  </w:style>
  <w:style w:type="paragraph" w:styleId="TOC2">
    <w:name w:val="toc 2"/>
    <w:basedOn w:val="Normal"/>
    <w:next w:val="Normal"/>
    <w:autoRedefine/>
    <w:uiPriority w:val="39"/>
    <w:unhideWhenUsed/>
    <w:rsid w:val="00B24701"/>
    <w:pPr>
      <w:spacing w:after="100"/>
      <w:ind w:left="240"/>
    </w:pPr>
  </w:style>
  <w:style w:type="paragraph" w:styleId="TOC3">
    <w:name w:val="toc 3"/>
    <w:basedOn w:val="Normal"/>
    <w:next w:val="Normal"/>
    <w:autoRedefine/>
    <w:uiPriority w:val="39"/>
    <w:unhideWhenUsed/>
    <w:rsid w:val="00B24701"/>
    <w:pPr>
      <w:spacing w:after="100"/>
      <w:ind w:left="480"/>
    </w:p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6D437F"/>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AB45B7"/>
    <w:rPr>
      <w:rFonts w:eastAsiaTheme="minorEastAsia"/>
    </w:rPr>
  </w:style>
  <w:style w:type="character" w:customStyle="1" w:styleId="A16">
    <w:name w:val="A16"/>
    <w:uiPriority w:val="99"/>
    <w:rsid w:val="00AB45B7"/>
    <w:rPr>
      <w:rFonts w:cs="HelveticaNeueLT Std"/>
      <w:color w:val="000000"/>
      <w:sz w:val="30"/>
      <w:szCs w:val="30"/>
    </w:rPr>
  </w:style>
  <w:style w:type="paragraph" w:customStyle="1" w:styleId="Bulletted">
    <w:name w:val="Bulletted"/>
    <w:basedOn w:val="Normal"/>
    <w:next w:val="Normal"/>
    <w:rsid w:val="00C05FF2"/>
    <w:pPr>
      <w:numPr>
        <w:numId w:val="1"/>
      </w:numPr>
      <w:tabs>
        <w:tab w:val="left" w:pos="360"/>
        <w:tab w:val="left" w:pos="1080"/>
        <w:tab w:val="left" w:pos="1800"/>
        <w:tab w:val="left" w:pos="3240"/>
      </w:tabs>
      <w:spacing w:before="120" w:after="120" w:line="240" w:lineRule="auto"/>
      <w:jc w:val="both"/>
    </w:pPr>
    <w:rPr>
      <w:rFonts w:ascii="Times New Roman" w:eastAsia="Calibri" w:hAnsi="Times New Roman" w:cs="Times New Roman"/>
      <w:szCs w:val="22"/>
      <w:lang w:eastAsia="fr-FR"/>
    </w:rPr>
  </w:style>
  <w:style w:type="character" w:styleId="CommentReference">
    <w:name w:val="annotation reference"/>
    <w:basedOn w:val="DefaultParagraphFont"/>
    <w:uiPriority w:val="99"/>
    <w:semiHidden/>
    <w:unhideWhenUsed/>
    <w:rsid w:val="00467A1C"/>
    <w:rPr>
      <w:sz w:val="16"/>
      <w:szCs w:val="16"/>
    </w:rPr>
  </w:style>
  <w:style w:type="paragraph" w:styleId="CommentText">
    <w:name w:val="annotation text"/>
    <w:basedOn w:val="Normal"/>
    <w:link w:val="CommentTextChar"/>
    <w:uiPriority w:val="99"/>
    <w:unhideWhenUsed/>
    <w:rsid w:val="00467A1C"/>
    <w:pPr>
      <w:spacing w:line="240" w:lineRule="auto"/>
    </w:pPr>
    <w:rPr>
      <w:sz w:val="20"/>
      <w:szCs w:val="20"/>
    </w:rPr>
  </w:style>
  <w:style w:type="character" w:customStyle="1" w:styleId="CommentTextChar">
    <w:name w:val="Comment Text Char"/>
    <w:basedOn w:val="DefaultParagraphFont"/>
    <w:link w:val="CommentText"/>
    <w:uiPriority w:val="99"/>
    <w:rsid w:val="00467A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67A1C"/>
    <w:rPr>
      <w:b/>
      <w:bCs/>
    </w:rPr>
  </w:style>
  <w:style w:type="character" w:customStyle="1" w:styleId="CommentSubjectChar">
    <w:name w:val="Comment Subject Char"/>
    <w:basedOn w:val="CommentTextChar"/>
    <w:link w:val="CommentSubject"/>
    <w:uiPriority w:val="99"/>
    <w:semiHidden/>
    <w:rsid w:val="00467A1C"/>
    <w:rPr>
      <w:rFonts w:eastAsiaTheme="minorEastAsia"/>
      <w:b/>
      <w:bCs/>
      <w:sz w:val="20"/>
      <w:szCs w:val="20"/>
    </w:rPr>
  </w:style>
  <w:style w:type="paragraph" w:customStyle="1" w:styleId="KAHead1">
    <w:name w:val="KAHead1"/>
    <w:basedOn w:val="Heading1"/>
    <w:qFormat/>
    <w:rsid w:val="00690180"/>
    <w:pPr>
      <w:numPr>
        <w:numId w:val="2"/>
      </w:numPr>
      <w:spacing w:line="276" w:lineRule="auto"/>
    </w:pPr>
    <w:rPr>
      <w:bCs/>
      <w:color w:val="004B56" w:themeColor="accent1" w:themeShade="BF"/>
      <w:sz w:val="28"/>
      <w:szCs w:val="28"/>
    </w:rPr>
  </w:style>
  <w:style w:type="paragraph" w:customStyle="1" w:styleId="KAHead2">
    <w:name w:val="KAHead2"/>
    <w:basedOn w:val="Heading2"/>
    <w:qFormat/>
    <w:rsid w:val="00690180"/>
    <w:pPr>
      <w:numPr>
        <w:ilvl w:val="1"/>
        <w:numId w:val="2"/>
      </w:numPr>
      <w:spacing w:before="200" w:after="0" w:line="276" w:lineRule="auto"/>
    </w:pPr>
    <w:rPr>
      <w:bCs/>
      <w:color w:val="016574" w:themeColor="accent1"/>
      <w:sz w:val="26"/>
    </w:rPr>
  </w:style>
  <w:style w:type="paragraph" w:customStyle="1" w:styleId="KAHead3">
    <w:name w:val="KAHead3"/>
    <w:basedOn w:val="Heading3"/>
    <w:qFormat/>
    <w:rsid w:val="00690180"/>
    <w:pPr>
      <w:numPr>
        <w:ilvl w:val="2"/>
        <w:numId w:val="2"/>
      </w:numPr>
      <w:spacing w:before="200" w:after="0" w:line="276" w:lineRule="auto"/>
    </w:pPr>
    <w:rPr>
      <w:bCs/>
      <w:color w:val="016574" w:themeColor="accent1"/>
      <w:sz w:val="22"/>
      <w:szCs w:val="22"/>
    </w:rPr>
  </w:style>
  <w:style w:type="character" w:styleId="FollowedHyperlink">
    <w:name w:val="FollowedHyperlink"/>
    <w:basedOn w:val="DefaultParagraphFont"/>
    <w:uiPriority w:val="99"/>
    <w:semiHidden/>
    <w:unhideWhenUsed/>
    <w:rsid w:val="00F443EE"/>
    <w:rPr>
      <w:color w:val="016574" w:themeColor="followedHyperlink"/>
      <w:u w:val="single"/>
    </w:rPr>
  </w:style>
  <w:style w:type="character" w:styleId="Strong">
    <w:name w:val="Strong"/>
    <w:basedOn w:val="DefaultParagraphFont"/>
    <w:uiPriority w:val="22"/>
    <w:qFormat/>
    <w:rsid w:val="0070049A"/>
    <w:rPr>
      <w:b/>
      <w:bCs/>
    </w:rPr>
  </w:style>
  <w:style w:type="paragraph" w:styleId="FootnoteText">
    <w:name w:val="footnote text"/>
    <w:basedOn w:val="Normal"/>
    <w:link w:val="FootnoteTextChar"/>
    <w:uiPriority w:val="99"/>
    <w:semiHidden/>
    <w:unhideWhenUsed/>
    <w:rsid w:val="0081364C"/>
    <w:pPr>
      <w:spacing w:line="240" w:lineRule="auto"/>
    </w:pPr>
    <w:rPr>
      <w:sz w:val="20"/>
      <w:szCs w:val="20"/>
    </w:rPr>
  </w:style>
  <w:style w:type="character" w:customStyle="1" w:styleId="FootnoteTextChar">
    <w:name w:val="Footnote Text Char"/>
    <w:basedOn w:val="DefaultParagraphFont"/>
    <w:link w:val="FootnoteText"/>
    <w:uiPriority w:val="99"/>
    <w:semiHidden/>
    <w:rsid w:val="0081364C"/>
    <w:rPr>
      <w:rFonts w:eastAsiaTheme="minorEastAsia"/>
      <w:sz w:val="20"/>
      <w:szCs w:val="20"/>
    </w:rPr>
  </w:style>
  <w:style w:type="character" w:styleId="FootnoteReference">
    <w:name w:val="footnote reference"/>
    <w:basedOn w:val="DefaultParagraphFont"/>
    <w:uiPriority w:val="99"/>
    <w:semiHidden/>
    <w:unhideWhenUsed/>
    <w:rsid w:val="0081364C"/>
    <w:rPr>
      <w:vertAlign w:val="superscript"/>
    </w:rPr>
  </w:style>
  <w:style w:type="table" w:styleId="TableGrid">
    <w:name w:val="Table Grid"/>
    <w:basedOn w:val="TableNormal"/>
    <w:uiPriority w:val="59"/>
    <w:rsid w:val="00362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213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8081">
      <w:bodyDiv w:val="1"/>
      <w:marLeft w:val="0"/>
      <w:marRight w:val="0"/>
      <w:marTop w:val="0"/>
      <w:marBottom w:val="0"/>
      <w:divBdr>
        <w:top w:val="none" w:sz="0" w:space="0" w:color="auto"/>
        <w:left w:val="none" w:sz="0" w:space="0" w:color="auto"/>
        <w:bottom w:val="none" w:sz="0" w:space="0" w:color="auto"/>
        <w:right w:val="none" w:sz="0" w:space="0" w:color="auto"/>
      </w:divBdr>
    </w:div>
    <w:div w:id="339235717">
      <w:bodyDiv w:val="1"/>
      <w:marLeft w:val="0"/>
      <w:marRight w:val="0"/>
      <w:marTop w:val="0"/>
      <w:marBottom w:val="0"/>
      <w:divBdr>
        <w:top w:val="none" w:sz="0" w:space="0" w:color="auto"/>
        <w:left w:val="none" w:sz="0" w:space="0" w:color="auto"/>
        <w:bottom w:val="none" w:sz="0" w:space="0" w:color="auto"/>
        <w:right w:val="none" w:sz="0" w:space="0" w:color="auto"/>
      </w:divBdr>
    </w:div>
    <w:div w:id="383989629">
      <w:bodyDiv w:val="1"/>
      <w:marLeft w:val="0"/>
      <w:marRight w:val="0"/>
      <w:marTop w:val="0"/>
      <w:marBottom w:val="0"/>
      <w:divBdr>
        <w:top w:val="none" w:sz="0" w:space="0" w:color="auto"/>
        <w:left w:val="none" w:sz="0" w:space="0" w:color="auto"/>
        <w:bottom w:val="none" w:sz="0" w:space="0" w:color="auto"/>
        <w:right w:val="none" w:sz="0" w:space="0" w:color="auto"/>
      </w:divBdr>
    </w:div>
    <w:div w:id="390732763">
      <w:bodyDiv w:val="1"/>
      <w:marLeft w:val="0"/>
      <w:marRight w:val="0"/>
      <w:marTop w:val="0"/>
      <w:marBottom w:val="0"/>
      <w:divBdr>
        <w:top w:val="none" w:sz="0" w:space="0" w:color="auto"/>
        <w:left w:val="none" w:sz="0" w:space="0" w:color="auto"/>
        <w:bottom w:val="none" w:sz="0" w:space="0" w:color="auto"/>
        <w:right w:val="none" w:sz="0" w:space="0" w:color="auto"/>
      </w:divBdr>
      <w:divsChild>
        <w:div w:id="162010664">
          <w:marLeft w:val="547"/>
          <w:marRight w:val="0"/>
          <w:marTop w:val="0"/>
          <w:marBottom w:val="0"/>
          <w:divBdr>
            <w:top w:val="none" w:sz="0" w:space="0" w:color="auto"/>
            <w:left w:val="none" w:sz="0" w:space="0" w:color="auto"/>
            <w:bottom w:val="none" w:sz="0" w:space="0" w:color="auto"/>
            <w:right w:val="none" w:sz="0" w:space="0" w:color="auto"/>
          </w:divBdr>
        </w:div>
      </w:divsChild>
    </w:div>
    <w:div w:id="454954720">
      <w:bodyDiv w:val="1"/>
      <w:marLeft w:val="0"/>
      <w:marRight w:val="0"/>
      <w:marTop w:val="0"/>
      <w:marBottom w:val="0"/>
      <w:divBdr>
        <w:top w:val="none" w:sz="0" w:space="0" w:color="auto"/>
        <w:left w:val="none" w:sz="0" w:space="0" w:color="auto"/>
        <w:bottom w:val="none" w:sz="0" w:space="0" w:color="auto"/>
        <w:right w:val="none" w:sz="0" w:space="0" w:color="auto"/>
      </w:divBdr>
    </w:div>
    <w:div w:id="569464417">
      <w:bodyDiv w:val="1"/>
      <w:marLeft w:val="0"/>
      <w:marRight w:val="0"/>
      <w:marTop w:val="0"/>
      <w:marBottom w:val="0"/>
      <w:divBdr>
        <w:top w:val="none" w:sz="0" w:space="0" w:color="auto"/>
        <w:left w:val="none" w:sz="0" w:space="0" w:color="auto"/>
        <w:bottom w:val="none" w:sz="0" w:space="0" w:color="auto"/>
        <w:right w:val="none" w:sz="0" w:space="0" w:color="auto"/>
      </w:divBdr>
    </w:div>
    <w:div w:id="810900761">
      <w:bodyDiv w:val="1"/>
      <w:marLeft w:val="0"/>
      <w:marRight w:val="0"/>
      <w:marTop w:val="0"/>
      <w:marBottom w:val="0"/>
      <w:divBdr>
        <w:top w:val="none" w:sz="0" w:space="0" w:color="auto"/>
        <w:left w:val="none" w:sz="0" w:space="0" w:color="auto"/>
        <w:bottom w:val="none" w:sz="0" w:space="0" w:color="auto"/>
        <w:right w:val="none" w:sz="0" w:space="0" w:color="auto"/>
      </w:divBdr>
      <w:divsChild>
        <w:div w:id="384109733">
          <w:marLeft w:val="547"/>
          <w:marRight w:val="0"/>
          <w:marTop w:val="0"/>
          <w:marBottom w:val="0"/>
          <w:divBdr>
            <w:top w:val="none" w:sz="0" w:space="0" w:color="auto"/>
            <w:left w:val="none" w:sz="0" w:space="0" w:color="auto"/>
            <w:bottom w:val="none" w:sz="0" w:space="0" w:color="auto"/>
            <w:right w:val="none" w:sz="0" w:space="0" w:color="auto"/>
          </w:divBdr>
        </w:div>
      </w:divsChild>
    </w:div>
    <w:div w:id="899638812">
      <w:bodyDiv w:val="1"/>
      <w:marLeft w:val="0"/>
      <w:marRight w:val="0"/>
      <w:marTop w:val="0"/>
      <w:marBottom w:val="0"/>
      <w:divBdr>
        <w:top w:val="none" w:sz="0" w:space="0" w:color="auto"/>
        <w:left w:val="none" w:sz="0" w:space="0" w:color="auto"/>
        <w:bottom w:val="none" w:sz="0" w:space="0" w:color="auto"/>
        <w:right w:val="none" w:sz="0" w:space="0" w:color="auto"/>
      </w:divBdr>
    </w:div>
    <w:div w:id="1018460754">
      <w:bodyDiv w:val="1"/>
      <w:marLeft w:val="0"/>
      <w:marRight w:val="0"/>
      <w:marTop w:val="0"/>
      <w:marBottom w:val="0"/>
      <w:divBdr>
        <w:top w:val="none" w:sz="0" w:space="0" w:color="auto"/>
        <w:left w:val="none" w:sz="0" w:space="0" w:color="auto"/>
        <w:bottom w:val="none" w:sz="0" w:space="0" w:color="auto"/>
        <w:right w:val="none" w:sz="0" w:space="0" w:color="auto"/>
      </w:divBdr>
      <w:divsChild>
        <w:div w:id="353845501">
          <w:marLeft w:val="547"/>
          <w:marRight w:val="0"/>
          <w:marTop w:val="0"/>
          <w:marBottom w:val="0"/>
          <w:divBdr>
            <w:top w:val="none" w:sz="0" w:space="0" w:color="auto"/>
            <w:left w:val="none" w:sz="0" w:space="0" w:color="auto"/>
            <w:bottom w:val="none" w:sz="0" w:space="0" w:color="auto"/>
            <w:right w:val="none" w:sz="0" w:space="0" w:color="auto"/>
          </w:divBdr>
        </w:div>
      </w:divsChild>
    </w:div>
    <w:div w:id="1098408193">
      <w:bodyDiv w:val="1"/>
      <w:marLeft w:val="0"/>
      <w:marRight w:val="0"/>
      <w:marTop w:val="0"/>
      <w:marBottom w:val="0"/>
      <w:divBdr>
        <w:top w:val="none" w:sz="0" w:space="0" w:color="auto"/>
        <w:left w:val="none" w:sz="0" w:space="0" w:color="auto"/>
        <w:bottom w:val="none" w:sz="0" w:space="0" w:color="auto"/>
        <w:right w:val="none" w:sz="0" w:space="0" w:color="auto"/>
      </w:divBdr>
    </w:div>
    <w:div w:id="1114206973">
      <w:bodyDiv w:val="1"/>
      <w:marLeft w:val="0"/>
      <w:marRight w:val="0"/>
      <w:marTop w:val="0"/>
      <w:marBottom w:val="0"/>
      <w:divBdr>
        <w:top w:val="none" w:sz="0" w:space="0" w:color="auto"/>
        <w:left w:val="none" w:sz="0" w:space="0" w:color="auto"/>
        <w:bottom w:val="none" w:sz="0" w:space="0" w:color="auto"/>
        <w:right w:val="none" w:sz="0" w:space="0" w:color="auto"/>
      </w:divBdr>
    </w:div>
    <w:div w:id="1397556582">
      <w:bodyDiv w:val="1"/>
      <w:marLeft w:val="0"/>
      <w:marRight w:val="0"/>
      <w:marTop w:val="0"/>
      <w:marBottom w:val="0"/>
      <w:divBdr>
        <w:top w:val="none" w:sz="0" w:space="0" w:color="auto"/>
        <w:left w:val="none" w:sz="0" w:space="0" w:color="auto"/>
        <w:bottom w:val="none" w:sz="0" w:space="0" w:color="auto"/>
        <w:right w:val="none" w:sz="0" w:space="0" w:color="auto"/>
      </w:divBdr>
      <w:divsChild>
        <w:div w:id="395129001">
          <w:marLeft w:val="547"/>
          <w:marRight w:val="0"/>
          <w:marTop w:val="0"/>
          <w:marBottom w:val="0"/>
          <w:divBdr>
            <w:top w:val="none" w:sz="0" w:space="0" w:color="auto"/>
            <w:left w:val="none" w:sz="0" w:space="0" w:color="auto"/>
            <w:bottom w:val="none" w:sz="0" w:space="0" w:color="auto"/>
            <w:right w:val="none" w:sz="0" w:space="0" w:color="auto"/>
          </w:divBdr>
        </w:div>
      </w:divsChild>
    </w:div>
    <w:div w:id="1441487711">
      <w:bodyDiv w:val="1"/>
      <w:marLeft w:val="0"/>
      <w:marRight w:val="0"/>
      <w:marTop w:val="0"/>
      <w:marBottom w:val="0"/>
      <w:divBdr>
        <w:top w:val="none" w:sz="0" w:space="0" w:color="auto"/>
        <w:left w:val="none" w:sz="0" w:space="0" w:color="auto"/>
        <w:bottom w:val="none" w:sz="0" w:space="0" w:color="auto"/>
        <w:right w:val="none" w:sz="0" w:space="0" w:color="auto"/>
      </w:divBdr>
    </w:div>
    <w:div w:id="16254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access-to-information/guide-to-information/class-6-procurement/" TargetMode="External"/><Relationship Id="rId18" Type="http://schemas.openxmlformats.org/officeDocument/2006/relationships/hyperlink" Target="https://www.legislation.gov.uk/ssi/2015/446/contents/made" TargetMode="External"/><Relationship Id="rId26" Type="http://schemas.openxmlformats.org/officeDocument/2006/relationships/hyperlink" Target="https://www.procurementjourney.scot/" TargetMode="External"/><Relationship Id="rId39" Type="http://schemas.openxmlformats.org/officeDocument/2006/relationships/hyperlink" Target="https://www.gov.scot/policies/public-sector-procurement/sustainable-procurement-duty/" TargetMode="External"/><Relationship Id="rId21" Type="http://schemas.openxmlformats.org/officeDocument/2006/relationships/hyperlink" Target="https://www.gov.scot/collections/scottish-procurement-policy-notes-sppns/" TargetMode="External"/><Relationship Id="rId34" Type="http://schemas.openxmlformats.org/officeDocument/2006/relationships/hyperlink" Target="https://www.cips.org/" TargetMode="External"/><Relationship Id="rId42" Type="http://schemas.openxmlformats.org/officeDocument/2006/relationships/hyperlink" Target="https://www.procurementjourney.scot/pcip/pcip-overview" TargetMode="External"/><Relationship Id="rId47" Type="http://schemas.openxmlformats.org/officeDocument/2006/relationships/image" Target="media/image3.gif"/><Relationship Id="rId50" Type="http://schemas.openxmlformats.org/officeDocument/2006/relationships/footer" Target="footer1.xml"/><Relationship Id="rId55" Type="http://schemas.openxmlformats.org/officeDocument/2006/relationships/hyperlink" Target="mailto:equalities@sepa.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cot/publications/public-procurement-strategy-scotland-2023-2028/pages/6/" TargetMode="External"/><Relationship Id="rId29" Type="http://schemas.openxmlformats.org/officeDocument/2006/relationships/diagramQuickStyle" Target="diagrams/quickStyle1.xml"/><Relationship Id="rId11" Type="http://schemas.openxmlformats.org/officeDocument/2006/relationships/hyperlink" Target="https://scottishepa.sharepoint.com/sites/StaffUpdate/SitePages/One-SEPA-Modernisation(1).aspx?csf=1&amp;web=1&amp;e=xygJYd" TargetMode="External"/><Relationship Id="rId24" Type="http://schemas.openxmlformats.org/officeDocument/2006/relationships/hyperlink" Target="https://www.gov.scot/publications/construction-procurement-handbook/" TargetMode="External"/><Relationship Id="rId32" Type="http://schemas.openxmlformats.org/officeDocument/2006/relationships/hyperlink" Target="https://www.legislation.gov.uk/ssi/2015/446/contents/made" TargetMode="External"/><Relationship Id="rId37" Type="http://schemas.openxmlformats.org/officeDocument/2006/relationships/hyperlink" Target="https://www.gov.scot/publications/public-procurement-strategy-scotland-2023-2028/" TargetMode="External"/><Relationship Id="rId40" Type="http://schemas.openxmlformats.org/officeDocument/2006/relationships/hyperlink" Target="https://www.gov.scot/publications/taking-account-of-climate-and-circular-economy-considerations-in-public-procurement-sppn-1-2021/" TargetMode="External"/><Relationship Id="rId45" Type="http://schemas.openxmlformats.org/officeDocument/2006/relationships/hyperlink" Target="https://www.gov.scot/publications/scottish-procurement-policy-manual/"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legislation.gov.uk/ssi/2016/65/contents/ma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dgs.un.org/goals" TargetMode="External"/><Relationship Id="rId22" Type="http://schemas.openxmlformats.org/officeDocument/2006/relationships/hyperlink" Target="https://www.procurementjourney.scot/pcip/pcip-overview"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gov.scot/policies/public-sector-procurement/sustainable-procurement-duty/" TargetMode="External"/><Relationship Id="rId43" Type="http://schemas.openxmlformats.org/officeDocument/2006/relationships/hyperlink" Target="https://www.gov.scot/publications/scotlands-environment-economy-leaders-group-tackling-climate-emergency-sharing-stories/" TargetMode="External"/><Relationship Id="rId48" Type="http://schemas.openxmlformats.org/officeDocument/2006/relationships/header" Target="header1.xml"/><Relationship Id="rId56" Type="http://schemas.openxmlformats.org/officeDocument/2006/relationships/hyperlink" Target="http://contactscotland-bsl.org/"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legislation.gov.uk/asp/2014/12/contents" TargetMode="External"/><Relationship Id="rId17" Type="http://schemas.openxmlformats.org/officeDocument/2006/relationships/hyperlink" Target="https://www.legislation.gov.uk/asp/2014/12/contents" TargetMode="External"/><Relationship Id="rId25" Type="http://schemas.openxmlformats.org/officeDocument/2006/relationships/hyperlink" Target="https://www.gov.scot/policies/public-sector-procurement/sustainable-procurement-duty/" TargetMode="External"/><Relationship Id="rId33" Type="http://schemas.openxmlformats.org/officeDocument/2006/relationships/hyperlink" Target="https://www.legislation.gov.uk/asp/2014/12/contents" TargetMode="External"/><Relationship Id="rId38" Type="http://schemas.openxmlformats.org/officeDocument/2006/relationships/hyperlink" Target="https://www.gov.scot/policies/public-sector-procurement/guidance-suppliers/" TargetMode="External"/><Relationship Id="rId46" Type="http://schemas.openxmlformats.org/officeDocument/2006/relationships/hyperlink" Target="https://www.legislation.gov.uk/asp/2014/12/section/18" TargetMode="External"/><Relationship Id="rId20" Type="http://schemas.openxmlformats.org/officeDocument/2006/relationships/hyperlink" Target="https://www.legislation.gov.uk/ukpga/2010/15/contents" TargetMode="External"/><Relationship Id="rId41" Type="http://schemas.openxmlformats.org/officeDocument/2006/relationships/hyperlink" Target="https://www.gov.scot/publications/ensuring-compliance-with-environmental-social-and-labour-laws-sppn-092016/"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tionalperformance.gov.scot/" TargetMode="External"/><Relationship Id="rId23" Type="http://schemas.openxmlformats.org/officeDocument/2006/relationships/hyperlink" Target="https://www.gov.scot/publications/scottish-public-finance-manual/" TargetMode="External"/><Relationship Id="rId28" Type="http://schemas.openxmlformats.org/officeDocument/2006/relationships/diagramLayout" Target="diagrams/layout1.xml"/><Relationship Id="rId36" Type="http://schemas.openxmlformats.org/officeDocument/2006/relationships/hyperlink" Target="https://beta.sepa.scot/about-sepa/access-to-information/guide-to-information/class-6-procurement/"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hyperlink" Target="https://www.legislation.gov.uk/ssi/2015/446/contents/made" TargetMode="External"/><Relationship Id="rId31" Type="http://schemas.microsoft.com/office/2007/relationships/diagramDrawing" Target="diagrams/drawing1.xml"/><Relationship Id="rId44" Type="http://schemas.openxmlformats.org/officeDocument/2006/relationships/hyperlink" Target="https://beta.sepa.scot/about-sepa/how-we-work/data-protection-policy/" TargetMode="External"/><Relationship Id="rId5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public-procurement-strategy-scotland-2023-2028/pages/1/" TargetMode="External"/><Relationship Id="rId1" Type="http://schemas.openxmlformats.org/officeDocument/2006/relationships/hyperlink" Target="https://www.gov.scot/publications/public-procurement-strategy-scotland-2023-202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E12EF2-A8DB-4E2B-A237-4DD2EBD62F11}" type="doc">
      <dgm:prSet loTypeId="urn:microsoft.com/office/officeart/2005/8/layout/pyramid2" loCatId="pyramid" qsTypeId="urn:microsoft.com/office/officeart/2005/8/quickstyle/simple1" qsCatId="simple" csTypeId="urn:microsoft.com/office/officeart/2005/8/colors/accent1_2" csCatId="accent1" phldr="1"/>
      <dgm:spPr/>
      <dgm:t>
        <a:bodyPr/>
        <a:lstStyle/>
        <a:p>
          <a:endParaRPr lang="en-GB"/>
        </a:p>
      </dgm:t>
    </dgm:pt>
    <dgm:pt modelId="{C9A3DB93-EC6E-4D6E-AF1D-2462E525E8A0}">
      <dgm:prSet phldrT="[Text]" custT="1"/>
      <dgm:spPr>
        <a:solidFill>
          <a:schemeClr val="bg1">
            <a:alpha val="90000"/>
          </a:schemeClr>
        </a:solidFill>
        <a:ln>
          <a:solidFill>
            <a:srgbClr val="92D050"/>
          </a:solidFill>
        </a:ln>
      </dgm:spPr>
      <dgm:t>
        <a:bodyPr/>
        <a:lstStyle/>
        <a:p>
          <a:pPr algn="ctr"/>
          <a:r>
            <a:rPr lang="en-GB" sz="1100" b="1"/>
            <a:t>Corporate Plan</a:t>
          </a:r>
        </a:p>
      </dgm:t>
    </dgm:pt>
    <dgm:pt modelId="{E05FFE53-2CA7-47EC-8EF1-CE9850DA3388}" type="parTrans" cxnId="{4420D825-3347-4411-8CD5-3ADF2707DAA2}">
      <dgm:prSet/>
      <dgm:spPr/>
      <dgm:t>
        <a:bodyPr/>
        <a:lstStyle/>
        <a:p>
          <a:endParaRPr lang="en-GB"/>
        </a:p>
      </dgm:t>
    </dgm:pt>
    <dgm:pt modelId="{8BFA5A94-8690-403E-8E1D-34218B509A85}" type="sibTrans" cxnId="{4420D825-3347-4411-8CD5-3ADF2707DAA2}">
      <dgm:prSet/>
      <dgm:spPr/>
      <dgm:t>
        <a:bodyPr/>
        <a:lstStyle/>
        <a:p>
          <a:endParaRPr lang="en-GB"/>
        </a:p>
      </dgm:t>
    </dgm:pt>
    <dgm:pt modelId="{702535E9-1608-4499-8C99-FD5BAE520733}">
      <dgm:prSet custT="1"/>
      <dgm:spPr>
        <a:ln>
          <a:solidFill>
            <a:srgbClr val="92D050"/>
          </a:solidFill>
        </a:ln>
      </dgm:spPr>
      <dgm:t>
        <a:bodyPr/>
        <a:lstStyle/>
        <a:p>
          <a:pPr algn="l">
            <a:buFont typeface="Symbol" panose="05050102010706020507" pitchFamily="18" charset="2"/>
            <a:buChar char=""/>
          </a:pPr>
          <a:r>
            <a:rPr lang="en-GB" sz="1200"/>
            <a:t>Business environmental performance </a:t>
          </a:r>
        </a:p>
      </dgm:t>
    </dgm:pt>
    <dgm:pt modelId="{3D6AFFD7-1906-402E-ADEF-1258919FA4A5}" type="parTrans" cxnId="{FDE69D57-EB25-4958-90F3-6CDF35F36D4F}">
      <dgm:prSet/>
      <dgm:spPr/>
      <dgm:t>
        <a:bodyPr/>
        <a:lstStyle/>
        <a:p>
          <a:endParaRPr lang="en-GB"/>
        </a:p>
      </dgm:t>
    </dgm:pt>
    <dgm:pt modelId="{5454C37F-6EBF-4A0A-BED8-819BD353B69D}" type="sibTrans" cxnId="{FDE69D57-EB25-4958-90F3-6CDF35F36D4F}">
      <dgm:prSet/>
      <dgm:spPr/>
      <dgm:t>
        <a:bodyPr/>
        <a:lstStyle/>
        <a:p>
          <a:endParaRPr lang="en-GB"/>
        </a:p>
      </dgm:t>
    </dgm:pt>
    <dgm:pt modelId="{42A77E8E-C06F-4D57-9E70-A1CDFF1D91B1}">
      <dgm:prSet custT="1"/>
      <dgm:spPr>
        <a:ln>
          <a:solidFill>
            <a:srgbClr val="92D050"/>
          </a:solidFill>
        </a:ln>
      </dgm:spPr>
      <dgm:t>
        <a:bodyPr/>
        <a:lstStyle/>
        <a:p>
          <a:pPr algn="l">
            <a:buFont typeface="Symbol" panose="05050102010706020507" pitchFamily="18" charset="2"/>
            <a:buChar char=""/>
          </a:pPr>
          <a:r>
            <a:rPr lang="en-GB" sz="1200"/>
            <a:t>Water environment</a:t>
          </a:r>
        </a:p>
      </dgm:t>
    </dgm:pt>
    <dgm:pt modelId="{397540D1-2AEC-4D20-B718-1CDCD1F4CD62}" type="sibTrans" cxnId="{B4A9EF4E-EB4F-4D6F-BB4B-C4A4B3BA3302}">
      <dgm:prSet/>
      <dgm:spPr/>
      <dgm:t>
        <a:bodyPr/>
        <a:lstStyle/>
        <a:p>
          <a:endParaRPr lang="en-GB"/>
        </a:p>
      </dgm:t>
    </dgm:pt>
    <dgm:pt modelId="{C2FA6501-9EB0-4736-8024-94EF820E8DC8}" type="parTrans" cxnId="{B4A9EF4E-EB4F-4D6F-BB4B-C4A4B3BA3302}">
      <dgm:prSet/>
      <dgm:spPr/>
      <dgm:t>
        <a:bodyPr/>
        <a:lstStyle/>
        <a:p>
          <a:endParaRPr lang="en-GB"/>
        </a:p>
      </dgm:t>
    </dgm:pt>
    <dgm:pt modelId="{591C07DE-69B9-4BE1-A114-2B466272AE37}">
      <dgm:prSet custT="1"/>
      <dgm:spPr>
        <a:ln>
          <a:solidFill>
            <a:srgbClr val="92D050"/>
          </a:solidFill>
        </a:ln>
      </dgm:spPr>
      <dgm:t>
        <a:bodyPr/>
        <a:lstStyle/>
        <a:p>
          <a:pPr algn="l">
            <a:buFont typeface="Symbol" panose="05050102010706020507" pitchFamily="18" charset="2"/>
            <a:buChar char=""/>
          </a:pPr>
          <a:r>
            <a:rPr lang="en-GB" sz="1200"/>
            <a:t>Climate </a:t>
          </a:r>
        </a:p>
        <a:p>
          <a:pPr algn="l">
            <a:buFont typeface="Symbol" panose="05050102010706020507" pitchFamily="18" charset="2"/>
            <a:buChar char=""/>
          </a:pPr>
          <a:r>
            <a:rPr lang="en-GB" sz="1200"/>
            <a:t>resilience</a:t>
          </a:r>
        </a:p>
      </dgm:t>
    </dgm:pt>
    <dgm:pt modelId="{C82C1499-4FB7-4EA0-992F-B7FEBB2A37B5}" type="parTrans" cxnId="{76879087-DD0C-494D-A2FD-CFC82828EC9A}">
      <dgm:prSet/>
      <dgm:spPr/>
      <dgm:t>
        <a:bodyPr/>
        <a:lstStyle/>
        <a:p>
          <a:endParaRPr lang="en-GB"/>
        </a:p>
      </dgm:t>
    </dgm:pt>
    <dgm:pt modelId="{E5378424-6D1F-4475-982E-A621525FA4A9}" type="sibTrans" cxnId="{76879087-DD0C-494D-A2FD-CFC82828EC9A}">
      <dgm:prSet/>
      <dgm:spPr/>
      <dgm:t>
        <a:bodyPr/>
        <a:lstStyle/>
        <a:p>
          <a:endParaRPr lang="en-GB"/>
        </a:p>
      </dgm:t>
    </dgm:pt>
    <dgm:pt modelId="{99698F4B-64D0-4DB3-AFF8-50FCA578A5FC}">
      <dgm:prSet custT="1"/>
      <dgm:spPr>
        <a:ln>
          <a:solidFill>
            <a:srgbClr val="92D050"/>
          </a:solidFill>
        </a:ln>
      </dgm:spPr>
      <dgm:t>
        <a:bodyPr/>
        <a:lstStyle/>
        <a:p>
          <a:pPr algn="l">
            <a:buFont typeface="Symbol" panose="05050102010706020507" pitchFamily="18" charset="2"/>
            <a:buChar char=""/>
          </a:pPr>
          <a:r>
            <a:rPr lang="en-GB" sz="1200"/>
            <a:t>Net zero</a:t>
          </a:r>
        </a:p>
      </dgm:t>
    </dgm:pt>
    <dgm:pt modelId="{5616FA0C-4F1E-4767-AC03-DDE12C749F53}" type="parTrans" cxnId="{DB0E4B17-FA9B-4224-90F1-F7F92FA7E220}">
      <dgm:prSet/>
      <dgm:spPr/>
      <dgm:t>
        <a:bodyPr/>
        <a:lstStyle/>
        <a:p>
          <a:endParaRPr lang="en-GB"/>
        </a:p>
      </dgm:t>
    </dgm:pt>
    <dgm:pt modelId="{7E1A28FD-DEE4-498B-98F4-54FF56E8AD6A}" type="sibTrans" cxnId="{DB0E4B17-FA9B-4224-90F1-F7F92FA7E220}">
      <dgm:prSet/>
      <dgm:spPr/>
      <dgm:t>
        <a:bodyPr/>
        <a:lstStyle/>
        <a:p>
          <a:endParaRPr lang="en-GB"/>
        </a:p>
      </dgm:t>
    </dgm:pt>
    <dgm:pt modelId="{6FA111F9-2262-450A-8AF6-E13C458D89EF}">
      <dgm:prSet custT="1"/>
      <dgm:spPr>
        <a:ln>
          <a:solidFill>
            <a:srgbClr val="92D050"/>
          </a:solidFill>
        </a:ln>
      </dgm:spPr>
      <dgm:t>
        <a:bodyPr/>
        <a:lstStyle/>
        <a:p>
          <a:pPr algn="l">
            <a:buFont typeface="Symbol" panose="05050102010706020507" pitchFamily="18" charset="2"/>
            <a:buChar char=""/>
          </a:pPr>
          <a:r>
            <a:rPr lang="en-GB" sz="1200"/>
            <a:t>Resource efficiency (circular)</a:t>
          </a:r>
        </a:p>
      </dgm:t>
    </dgm:pt>
    <dgm:pt modelId="{A4BEFF83-7049-4455-A296-E17374DA8E90}" type="parTrans" cxnId="{4A9D7FE4-4E9A-48ED-B90C-DD7D10620196}">
      <dgm:prSet/>
      <dgm:spPr/>
      <dgm:t>
        <a:bodyPr/>
        <a:lstStyle/>
        <a:p>
          <a:endParaRPr lang="en-GB"/>
        </a:p>
      </dgm:t>
    </dgm:pt>
    <dgm:pt modelId="{7D24959F-6C14-4A2A-A29F-18BAF1E5F12B}" type="sibTrans" cxnId="{4A9D7FE4-4E9A-48ED-B90C-DD7D10620196}">
      <dgm:prSet/>
      <dgm:spPr/>
      <dgm:t>
        <a:bodyPr/>
        <a:lstStyle/>
        <a:p>
          <a:endParaRPr lang="en-GB"/>
        </a:p>
      </dgm:t>
    </dgm:pt>
    <dgm:pt modelId="{B2076677-0AEA-4F5A-8A29-FA3E5055C100}">
      <dgm:prSet phldrT="[Text]" custT="1"/>
      <dgm:spPr/>
      <dgm:t>
        <a:bodyPr/>
        <a:lstStyle/>
        <a:p>
          <a:pPr algn="ctr"/>
          <a:r>
            <a:rPr lang="en-GB" sz="1200" b="1"/>
            <a:t>Strategic aims</a:t>
          </a:r>
        </a:p>
      </dgm:t>
    </dgm:pt>
    <dgm:pt modelId="{A2C54336-DF56-4396-BDDD-304ED4D472A1}" type="sibTrans" cxnId="{F757D9BD-D6AD-49DB-8CD7-76382CA699CD}">
      <dgm:prSet/>
      <dgm:spPr/>
      <dgm:t>
        <a:bodyPr/>
        <a:lstStyle/>
        <a:p>
          <a:endParaRPr lang="en-GB"/>
        </a:p>
      </dgm:t>
    </dgm:pt>
    <dgm:pt modelId="{C9869FEC-212A-4BC7-B08F-7F005EF3D304}" type="parTrans" cxnId="{F757D9BD-D6AD-49DB-8CD7-76382CA699CD}">
      <dgm:prSet/>
      <dgm:spPr/>
      <dgm:t>
        <a:bodyPr/>
        <a:lstStyle/>
        <a:p>
          <a:endParaRPr lang="en-GB"/>
        </a:p>
      </dgm:t>
    </dgm:pt>
    <dgm:pt modelId="{6F83C8FA-8A91-40C5-846C-186BD382DA94}">
      <dgm:prSet phldrT="[Text]" custT="1"/>
      <dgm:spPr>
        <a:solidFill>
          <a:schemeClr val="bg1"/>
        </a:solidFill>
      </dgm:spPr>
      <dgm:t>
        <a:bodyPr/>
        <a:lstStyle/>
        <a:p>
          <a:pPr algn="ctr">
            <a:lnSpc>
              <a:spcPct val="100000"/>
            </a:lnSpc>
            <a:spcAft>
              <a:spcPts val="0"/>
            </a:spcAft>
          </a:pPr>
          <a:r>
            <a:rPr lang="en-GB" sz="1200" b="0"/>
            <a:t>Customer focus</a:t>
          </a:r>
        </a:p>
        <a:p>
          <a:pPr algn="ctr">
            <a:lnSpc>
              <a:spcPct val="100000"/>
            </a:lnSpc>
            <a:spcAft>
              <a:spcPts val="0"/>
            </a:spcAft>
          </a:pPr>
          <a:r>
            <a:rPr lang="en-GB" sz="1200" b="0"/>
            <a:t>Governance and compliance</a:t>
          </a:r>
        </a:p>
        <a:p>
          <a:pPr algn="ctr">
            <a:lnSpc>
              <a:spcPct val="100000"/>
            </a:lnSpc>
            <a:spcAft>
              <a:spcPts val="0"/>
            </a:spcAft>
          </a:pPr>
          <a:r>
            <a:rPr lang="en-GB" sz="1200" b="0"/>
            <a:t>Capability and capacity</a:t>
          </a:r>
        </a:p>
        <a:p>
          <a:pPr algn="ctr">
            <a:lnSpc>
              <a:spcPct val="100000"/>
            </a:lnSpc>
            <a:spcAft>
              <a:spcPts val="0"/>
            </a:spcAft>
          </a:pPr>
          <a:r>
            <a:rPr lang="en-GB" sz="1200" b="0"/>
            <a:t>Technology</a:t>
          </a:r>
        </a:p>
        <a:p>
          <a:pPr algn="ctr">
            <a:lnSpc>
              <a:spcPct val="100000"/>
            </a:lnSpc>
            <a:spcAft>
              <a:spcPts val="0"/>
            </a:spcAft>
          </a:pPr>
          <a:r>
            <a:rPr lang="en-GB" sz="1200" b="0"/>
            <a:t>Sustainable procurement </a:t>
          </a:r>
        </a:p>
        <a:p>
          <a:pPr algn="ctr">
            <a:lnSpc>
              <a:spcPct val="100000"/>
            </a:lnSpc>
            <a:spcAft>
              <a:spcPts val="0"/>
            </a:spcAft>
          </a:pPr>
          <a:r>
            <a:rPr lang="en-GB" sz="1200" b="0"/>
            <a:t>CSM</a:t>
          </a:r>
        </a:p>
      </dgm:t>
    </dgm:pt>
    <dgm:pt modelId="{5C1C7386-D742-4D8C-A958-84A6B71C378D}" type="sibTrans" cxnId="{E1321CE5-7391-49BE-9795-F0DE15C80244}">
      <dgm:prSet/>
      <dgm:spPr/>
      <dgm:t>
        <a:bodyPr/>
        <a:lstStyle/>
        <a:p>
          <a:endParaRPr lang="en-GB"/>
        </a:p>
      </dgm:t>
    </dgm:pt>
    <dgm:pt modelId="{30806CE2-502F-4652-BB10-E56EF6502F33}" type="parTrans" cxnId="{E1321CE5-7391-49BE-9795-F0DE15C80244}">
      <dgm:prSet/>
      <dgm:spPr/>
      <dgm:t>
        <a:bodyPr/>
        <a:lstStyle/>
        <a:p>
          <a:endParaRPr lang="en-GB"/>
        </a:p>
      </dgm:t>
    </dgm:pt>
    <dgm:pt modelId="{F0F4C31C-A8CF-4715-B4B6-8BC3BA71E2AB}" type="pres">
      <dgm:prSet presAssocID="{29E12EF2-A8DB-4E2B-A237-4DD2EBD62F11}" presName="compositeShape" presStyleCnt="0">
        <dgm:presLayoutVars>
          <dgm:dir/>
          <dgm:resizeHandles/>
        </dgm:presLayoutVars>
      </dgm:prSet>
      <dgm:spPr/>
    </dgm:pt>
    <dgm:pt modelId="{EB96FBB0-CA49-498A-AC25-1D2B6BE93DE1}" type="pres">
      <dgm:prSet presAssocID="{29E12EF2-A8DB-4E2B-A237-4DD2EBD62F11}" presName="pyramid" presStyleLbl="node1" presStyleIdx="0" presStyleCnt="1" custScaleX="114667" custLinFactNeighborX="-1399" custLinFactNeighborY="1678"/>
      <dgm:spPr/>
    </dgm:pt>
    <dgm:pt modelId="{057A8C4B-8EB5-4EFE-BF11-8788CD54F293}" type="pres">
      <dgm:prSet presAssocID="{29E12EF2-A8DB-4E2B-A237-4DD2EBD62F11}" presName="theList" presStyleCnt="0"/>
      <dgm:spPr/>
    </dgm:pt>
    <dgm:pt modelId="{00391D07-B778-42C3-B73E-E4874A73F019}" type="pres">
      <dgm:prSet presAssocID="{C9A3DB93-EC6E-4D6E-AF1D-2462E525E8A0}" presName="aNode" presStyleLbl="fgAcc1" presStyleIdx="0" presStyleCnt="8" custScaleX="40422" custScaleY="610445" custLinFactY="-136675" custLinFactNeighborX="-51009" custLinFactNeighborY="-200000">
        <dgm:presLayoutVars>
          <dgm:bulletEnabled val="1"/>
        </dgm:presLayoutVars>
      </dgm:prSet>
      <dgm:spPr/>
    </dgm:pt>
    <dgm:pt modelId="{0265DD33-37EF-43E2-99F3-583BB8E67D38}" type="pres">
      <dgm:prSet presAssocID="{C9A3DB93-EC6E-4D6E-AF1D-2462E525E8A0}" presName="aSpace" presStyleCnt="0"/>
      <dgm:spPr/>
    </dgm:pt>
    <dgm:pt modelId="{970B5F97-A00C-4398-994F-098A86DFF492}" type="pres">
      <dgm:prSet presAssocID="{99698F4B-64D0-4DB3-AFF8-50FCA578A5FC}" presName="aNode" presStyleLbl="fgAcc1" presStyleIdx="1" presStyleCnt="8" custAng="0" custScaleX="24252" custScaleY="884397" custLinFactY="213673" custLinFactNeighborX="-96452" custLinFactNeighborY="300000">
        <dgm:presLayoutVars>
          <dgm:bulletEnabled val="1"/>
        </dgm:presLayoutVars>
      </dgm:prSet>
      <dgm:spPr/>
    </dgm:pt>
    <dgm:pt modelId="{E05EEA33-D7A8-47AE-93FA-34FA97E31EEB}" type="pres">
      <dgm:prSet presAssocID="{99698F4B-64D0-4DB3-AFF8-50FCA578A5FC}" presName="aSpace" presStyleCnt="0"/>
      <dgm:spPr/>
    </dgm:pt>
    <dgm:pt modelId="{0E2C9CCE-0943-4EDD-A5F5-C40313BCE9CB}" type="pres">
      <dgm:prSet presAssocID="{42A77E8E-C06F-4D57-9E70-A1CDFF1D91B1}" presName="aNode" presStyleLbl="fgAcc1" presStyleIdx="2" presStyleCnt="8" custAng="0" custScaleX="51092" custScaleY="480080" custLinFactY="-219757" custLinFactNeighborX="-51940" custLinFactNeighborY="-300000">
        <dgm:presLayoutVars>
          <dgm:bulletEnabled val="1"/>
        </dgm:presLayoutVars>
      </dgm:prSet>
      <dgm:spPr/>
    </dgm:pt>
    <dgm:pt modelId="{3B8543E0-6050-47D2-804F-9063B25C68AE}" type="pres">
      <dgm:prSet presAssocID="{42A77E8E-C06F-4D57-9E70-A1CDFF1D91B1}" presName="aSpace" presStyleCnt="0"/>
      <dgm:spPr/>
    </dgm:pt>
    <dgm:pt modelId="{6F5D631D-3876-4CAA-9858-A3E88014B6FF}" type="pres">
      <dgm:prSet presAssocID="{702535E9-1608-4499-8C99-FD5BAE520733}" presName="aNode" presStyleLbl="fgAcc1" presStyleIdx="3" presStyleCnt="8" custAng="0" custScaleX="64847" custScaleY="745405" custLinFactY="100000" custLinFactNeighborX="-83405" custLinFactNeighborY="194941">
        <dgm:presLayoutVars>
          <dgm:bulletEnabled val="1"/>
        </dgm:presLayoutVars>
      </dgm:prSet>
      <dgm:spPr/>
    </dgm:pt>
    <dgm:pt modelId="{F6E6CC6B-728F-4BE5-8042-D501C5DDE27D}" type="pres">
      <dgm:prSet presAssocID="{702535E9-1608-4499-8C99-FD5BAE520733}" presName="aSpace" presStyleCnt="0"/>
      <dgm:spPr/>
    </dgm:pt>
    <dgm:pt modelId="{AD019E06-A2EF-43DA-9ADA-4ACE1648D136}" type="pres">
      <dgm:prSet presAssocID="{B2076677-0AEA-4F5A-8A29-FA3E5055C100}" presName="aNode" presStyleLbl="fgAcc1" presStyleIdx="4" presStyleCnt="8" custScaleX="43087" custScaleY="542555" custLinFactY="1015415" custLinFactNeighborX="-51397" custLinFactNeighborY="1100000">
        <dgm:presLayoutVars>
          <dgm:bulletEnabled val="1"/>
        </dgm:presLayoutVars>
      </dgm:prSet>
      <dgm:spPr/>
    </dgm:pt>
    <dgm:pt modelId="{1FB5F1D1-CBF0-4DFD-A92A-C54F370009ED}" type="pres">
      <dgm:prSet presAssocID="{B2076677-0AEA-4F5A-8A29-FA3E5055C100}" presName="aSpace" presStyleCnt="0"/>
      <dgm:spPr/>
    </dgm:pt>
    <dgm:pt modelId="{C15BDE96-75ED-45CE-A4E8-47F094F44013}" type="pres">
      <dgm:prSet presAssocID="{6F83C8FA-8A91-40C5-846C-186BD382DA94}" presName="aNode" presStyleLbl="fgAcc1" presStyleIdx="5" presStyleCnt="8" custScaleX="95061" custScaleY="2000000" custLinFactY="1425137" custLinFactNeighborX="-49609" custLinFactNeighborY="1500000">
        <dgm:presLayoutVars>
          <dgm:bulletEnabled val="1"/>
        </dgm:presLayoutVars>
      </dgm:prSet>
      <dgm:spPr/>
    </dgm:pt>
    <dgm:pt modelId="{5814C3C1-F02B-4EC9-BCAF-0741839B180D}" type="pres">
      <dgm:prSet presAssocID="{6F83C8FA-8A91-40C5-846C-186BD382DA94}" presName="aSpace" presStyleCnt="0"/>
      <dgm:spPr/>
    </dgm:pt>
    <dgm:pt modelId="{88B2CCF8-8940-45E2-B3E5-65E40C1922B3}" type="pres">
      <dgm:prSet presAssocID="{591C07DE-69B9-4BE1-A114-2B466272AE37}" presName="aNode" presStyleLbl="fgAcc1" presStyleIdx="6" presStyleCnt="8" custAng="0" custScaleX="35751" custScaleY="937271" custLinFactY="-4065644" custLinFactNeighborX="-4997" custLinFactNeighborY="-4100000">
        <dgm:presLayoutVars>
          <dgm:bulletEnabled val="1"/>
        </dgm:presLayoutVars>
      </dgm:prSet>
      <dgm:spPr/>
    </dgm:pt>
    <dgm:pt modelId="{AE81DD04-E4B2-4B15-A4D0-9D1D1E380C5E}" type="pres">
      <dgm:prSet presAssocID="{591C07DE-69B9-4BE1-A114-2B466272AE37}" presName="aSpace" presStyleCnt="0"/>
      <dgm:spPr/>
    </dgm:pt>
    <dgm:pt modelId="{5FCE5E0E-3281-4928-B619-18CEA77CD4DD}" type="pres">
      <dgm:prSet presAssocID="{6FA111F9-2262-450A-8AF6-E13C458D89EF}" presName="aNode" presStyleLbl="fgAcc1" presStyleIdx="7" presStyleCnt="8" custAng="0" custScaleX="59505" custScaleY="745405" custLinFactY="-3685230" custLinFactNeighborX="-14543" custLinFactNeighborY="-3700000">
        <dgm:presLayoutVars>
          <dgm:bulletEnabled val="1"/>
        </dgm:presLayoutVars>
      </dgm:prSet>
      <dgm:spPr/>
    </dgm:pt>
    <dgm:pt modelId="{074DBFC7-81C3-4CA9-B383-B252BC51FB66}" type="pres">
      <dgm:prSet presAssocID="{6FA111F9-2262-450A-8AF6-E13C458D89EF}" presName="aSpace" presStyleCnt="0"/>
      <dgm:spPr/>
    </dgm:pt>
  </dgm:ptLst>
  <dgm:cxnLst>
    <dgm:cxn modelId="{865E4F0C-9DE6-4C2F-BEB5-CECE6822D725}" type="presOf" srcId="{B2076677-0AEA-4F5A-8A29-FA3E5055C100}" destId="{AD019E06-A2EF-43DA-9ADA-4ACE1648D136}" srcOrd="0" destOrd="0" presId="urn:microsoft.com/office/officeart/2005/8/layout/pyramid2"/>
    <dgm:cxn modelId="{0E48E814-1C56-44A0-8639-B01E99E9F078}" type="presOf" srcId="{6FA111F9-2262-450A-8AF6-E13C458D89EF}" destId="{5FCE5E0E-3281-4928-B619-18CEA77CD4DD}" srcOrd="0" destOrd="0" presId="urn:microsoft.com/office/officeart/2005/8/layout/pyramid2"/>
    <dgm:cxn modelId="{DB0E4B17-FA9B-4224-90F1-F7F92FA7E220}" srcId="{29E12EF2-A8DB-4E2B-A237-4DD2EBD62F11}" destId="{99698F4B-64D0-4DB3-AFF8-50FCA578A5FC}" srcOrd="1" destOrd="0" parTransId="{5616FA0C-4F1E-4767-AC03-DDE12C749F53}" sibTransId="{7E1A28FD-DEE4-498B-98F4-54FF56E8AD6A}"/>
    <dgm:cxn modelId="{323D4820-073B-4F0B-895F-8469F34C50C6}" type="presOf" srcId="{702535E9-1608-4499-8C99-FD5BAE520733}" destId="{6F5D631D-3876-4CAA-9858-A3E88014B6FF}" srcOrd="0" destOrd="0" presId="urn:microsoft.com/office/officeart/2005/8/layout/pyramid2"/>
    <dgm:cxn modelId="{4420D825-3347-4411-8CD5-3ADF2707DAA2}" srcId="{29E12EF2-A8DB-4E2B-A237-4DD2EBD62F11}" destId="{C9A3DB93-EC6E-4D6E-AF1D-2462E525E8A0}" srcOrd="0" destOrd="0" parTransId="{E05FFE53-2CA7-47EC-8EF1-CE9850DA3388}" sibTransId="{8BFA5A94-8690-403E-8E1D-34218B509A85}"/>
    <dgm:cxn modelId="{A40D5B47-3703-4935-9C84-8351726805B7}" type="presOf" srcId="{591C07DE-69B9-4BE1-A114-2B466272AE37}" destId="{88B2CCF8-8940-45E2-B3E5-65E40C1922B3}" srcOrd="0" destOrd="0" presId="urn:microsoft.com/office/officeart/2005/8/layout/pyramid2"/>
    <dgm:cxn modelId="{B4A9EF4E-EB4F-4D6F-BB4B-C4A4B3BA3302}" srcId="{29E12EF2-A8DB-4E2B-A237-4DD2EBD62F11}" destId="{42A77E8E-C06F-4D57-9E70-A1CDFF1D91B1}" srcOrd="2" destOrd="0" parTransId="{C2FA6501-9EB0-4736-8024-94EF820E8DC8}" sibTransId="{397540D1-2AEC-4D20-B718-1CDCD1F4CD62}"/>
    <dgm:cxn modelId="{FDE69D57-EB25-4958-90F3-6CDF35F36D4F}" srcId="{29E12EF2-A8DB-4E2B-A237-4DD2EBD62F11}" destId="{702535E9-1608-4499-8C99-FD5BAE520733}" srcOrd="3" destOrd="0" parTransId="{3D6AFFD7-1906-402E-ADEF-1258919FA4A5}" sibTransId="{5454C37F-6EBF-4A0A-BED8-819BD353B69D}"/>
    <dgm:cxn modelId="{76879087-DD0C-494D-A2FD-CFC82828EC9A}" srcId="{29E12EF2-A8DB-4E2B-A237-4DD2EBD62F11}" destId="{591C07DE-69B9-4BE1-A114-2B466272AE37}" srcOrd="6" destOrd="0" parTransId="{C82C1499-4FB7-4EA0-992F-B7FEBB2A37B5}" sibTransId="{E5378424-6D1F-4475-982E-A621525FA4A9}"/>
    <dgm:cxn modelId="{F757D9BD-D6AD-49DB-8CD7-76382CA699CD}" srcId="{29E12EF2-A8DB-4E2B-A237-4DD2EBD62F11}" destId="{B2076677-0AEA-4F5A-8A29-FA3E5055C100}" srcOrd="4" destOrd="0" parTransId="{C9869FEC-212A-4BC7-B08F-7F005EF3D304}" sibTransId="{A2C54336-DF56-4396-BDDD-304ED4D472A1}"/>
    <dgm:cxn modelId="{4D9AC6C3-C3EF-40A3-9147-E507C6B0A315}" type="presOf" srcId="{99698F4B-64D0-4DB3-AFF8-50FCA578A5FC}" destId="{970B5F97-A00C-4398-994F-098A86DFF492}" srcOrd="0" destOrd="0" presId="urn:microsoft.com/office/officeart/2005/8/layout/pyramid2"/>
    <dgm:cxn modelId="{9E88E8D0-4C8D-4687-ADC4-BA5F882A2406}" type="presOf" srcId="{6F83C8FA-8A91-40C5-846C-186BD382DA94}" destId="{C15BDE96-75ED-45CE-A4E8-47F094F44013}" srcOrd="0" destOrd="0" presId="urn:microsoft.com/office/officeart/2005/8/layout/pyramid2"/>
    <dgm:cxn modelId="{68285AD4-F9BE-4D47-994E-C24209DEA3BF}" type="presOf" srcId="{29E12EF2-A8DB-4E2B-A237-4DD2EBD62F11}" destId="{F0F4C31C-A8CF-4715-B4B6-8BC3BA71E2AB}" srcOrd="0" destOrd="0" presId="urn:microsoft.com/office/officeart/2005/8/layout/pyramid2"/>
    <dgm:cxn modelId="{4A9D7FE4-4E9A-48ED-B90C-DD7D10620196}" srcId="{29E12EF2-A8DB-4E2B-A237-4DD2EBD62F11}" destId="{6FA111F9-2262-450A-8AF6-E13C458D89EF}" srcOrd="7" destOrd="0" parTransId="{A4BEFF83-7049-4455-A296-E17374DA8E90}" sibTransId="{7D24959F-6C14-4A2A-A29F-18BAF1E5F12B}"/>
    <dgm:cxn modelId="{E1321CE5-7391-49BE-9795-F0DE15C80244}" srcId="{29E12EF2-A8DB-4E2B-A237-4DD2EBD62F11}" destId="{6F83C8FA-8A91-40C5-846C-186BD382DA94}" srcOrd="5" destOrd="0" parTransId="{30806CE2-502F-4652-BB10-E56EF6502F33}" sibTransId="{5C1C7386-D742-4D8C-A958-84A6B71C378D}"/>
    <dgm:cxn modelId="{DF36ECF0-01B6-4964-A061-CCFB74EEE537}" type="presOf" srcId="{42A77E8E-C06F-4D57-9E70-A1CDFF1D91B1}" destId="{0E2C9CCE-0943-4EDD-A5F5-C40313BCE9CB}" srcOrd="0" destOrd="0" presId="urn:microsoft.com/office/officeart/2005/8/layout/pyramid2"/>
    <dgm:cxn modelId="{5A81A0F8-D7F5-46D0-8F1F-F4ABFFFE6D2F}" type="presOf" srcId="{C9A3DB93-EC6E-4D6E-AF1D-2462E525E8A0}" destId="{00391D07-B778-42C3-B73E-E4874A73F019}" srcOrd="0" destOrd="0" presId="urn:microsoft.com/office/officeart/2005/8/layout/pyramid2"/>
    <dgm:cxn modelId="{082C07B7-7A07-4FE1-A288-D3254724230D}" type="presParOf" srcId="{F0F4C31C-A8CF-4715-B4B6-8BC3BA71E2AB}" destId="{EB96FBB0-CA49-498A-AC25-1D2B6BE93DE1}" srcOrd="0" destOrd="0" presId="urn:microsoft.com/office/officeart/2005/8/layout/pyramid2"/>
    <dgm:cxn modelId="{2E93FC29-4A82-4517-A127-5ACE3DA37899}" type="presParOf" srcId="{F0F4C31C-A8CF-4715-B4B6-8BC3BA71E2AB}" destId="{057A8C4B-8EB5-4EFE-BF11-8788CD54F293}" srcOrd="1" destOrd="0" presId="urn:microsoft.com/office/officeart/2005/8/layout/pyramid2"/>
    <dgm:cxn modelId="{C89B027E-C87F-4BD5-AC49-E22B7A52F72C}" type="presParOf" srcId="{057A8C4B-8EB5-4EFE-BF11-8788CD54F293}" destId="{00391D07-B778-42C3-B73E-E4874A73F019}" srcOrd="0" destOrd="0" presId="urn:microsoft.com/office/officeart/2005/8/layout/pyramid2"/>
    <dgm:cxn modelId="{36413657-C88D-43B2-B7B3-81E64A0779EF}" type="presParOf" srcId="{057A8C4B-8EB5-4EFE-BF11-8788CD54F293}" destId="{0265DD33-37EF-43E2-99F3-583BB8E67D38}" srcOrd="1" destOrd="0" presId="urn:microsoft.com/office/officeart/2005/8/layout/pyramid2"/>
    <dgm:cxn modelId="{B39F0181-F41A-4472-8835-12AEAF815104}" type="presParOf" srcId="{057A8C4B-8EB5-4EFE-BF11-8788CD54F293}" destId="{970B5F97-A00C-4398-994F-098A86DFF492}" srcOrd="2" destOrd="0" presId="urn:microsoft.com/office/officeart/2005/8/layout/pyramid2"/>
    <dgm:cxn modelId="{DA0BECA3-A438-4EE3-8A46-9278C998BC0B}" type="presParOf" srcId="{057A8C4B-8EB5-4EFE-BF11-8788CD54F293}" destId="{E05EEA33-D7A8-47AE-93FA-34FA97E31EEB}" srcOrd="3" destOrd="0" presId="urn:microsoft.com/office/officeart/2005/8/layout/pyramid2"/>
    <dgm:cxn modelId="{7BB34370-04FF-4D31-A905-8FBA50E4ED77}" type="presParOf" srcId="{057A8C4B-8EB5-4EFE-BF11-8788CD54F293}" destId="{0E2C9CCE-0943-4EDD-A5F5-C40313BCE9CB}" srcOrd="4" destOrd="0" presId="urn:microsoft.com/office/officeart/2005/8/layout/pyramid2"/>
    <dgm:cxn modelId="{D76EDA63-BF6B-44B6-9344-D67FD5ACC5F1}" type="presParOf" srcId="{057A8C4B-8EB5-4EFE-BF11-8788CD54F293}" destId="{3B8543E0-6050-47D2-804F-9063B25C68AE}" srcOrd="5" destOrd="0" presId="urn:microsoft.com/office/officeart/2005/8/layout/pyramid2"/>
    <dgm:cxn modelId="{5B0B3A62-C312-4861-96F7-DE7C73308992}" type="presParOf" srcId="{057A8C4B-8EB5-4EFE-BF11-8788CD54F293}" destId="{6F5D631D-3876-4CAA-9858-A3E88014B6FF}" srcOrd="6" destOrd="0" presId="urn:microsoft.com/office/officeart/2005/8/layout/pyramid2"/>
    <dgm:cxn modelId="{4007AA3F-76AD-4050-B1F2-01A0915D93A5}" type="presParOf" srcId="{057A8C4B-8EB5-4EFE-BF11-8788CD54F293}" destId="{F6E6CC6B-728F-4BE5-8042-D501C5DDE27D}" srcOrd="7" destOrd="0" presId="urn:microsoft.com/office/officeart/2005/8/layout/pyramid2"/>
    <dgm:cxn modelId="{6ECF41A3-2B06-406B-BE27-020CAB09C840}" type="presParOf" srcId="{057A8C4B-8EB5-4EFE-BF11-8788CD54F293}" destId="{AD019E06-A2EF-43DA-9ADA-4ACE1648D136}" srcOrd="8" destOrd="0" presId="urn:microsoft.com/office/officeart/2005/8/layout/pyramid2"/>
    <dgm:cxn modelId="{061AF3FF-3B5F-4652-8443-41F408A622A4}" type="presParOf" srcId="{057A8C4B-8EB5-4EFE-BF11-8788CD54F293}" destId="{1FB5F1D1-CBF0-4DFD-A92A-C54F370009ED}" srcOrd="9" destOrd="0" presId="urn:microsoft.com/office/officeart/2005/8/layout/pyramid2"/>
    <dgm:cxn modelId="{9879B93E-2CA8-4AD0-BB80-9A99773515F5}" type="presParOf" srcId="{057A8C4B-8EB5-4EFE-BF11-8788CD54F293}" destId="{C15BDE96-75ED-45CE-A4E8-47F094F44013}" srcOrd="10" destOrd="0" presId="urn:microsoft.com/office/officeart/2005/8/layout/pyramid2"/>
    <dgm:cxn modelId="{34964077-2B4D-46B9-89F1-8E88F004144E}" type="presParOf" srcId="{057A8C4B-8EB5-4EFE-BF11-8788CD54F293}" destId="{5814C3C1-F02B-4EC9-BCAF-0741839B180D}" srcOrd="11" destOrd="0" presId="urn:microsoft.com/office/officeart/2005/8/layout/pyramid2"/>
    <dgm:cxn modelId="{581F7328-9DDA-469B-9DE2-0F504DE7A573}" type="presParOf" srcId="{057A8C4B-8EB5-4EFE-BF11-8788CD54F293}" destId="{88B2CCF8-8940-45E2-B3E5-65E40C1922B3}" srcOrd="12" destOrd="0" presId="urn:microsoft.com/office/officeart/2005/8/layout/pyramid2"/>
    <dgm:cxn modelId="{82F01E38-B3F9-487F-9A04-7582E832C426}" type="presParOf" srcId="{057A8C4B-8EB5-4EFE-BF11-8788CD54F293}" destId="{AE81DD04-E4B2-4B15-A4D0-9D1D1E380C5E}" srcOrd="13" destOrd="0" presId="urn:microsoft.com/office/officeart/2005/8/layout/pyramid2"/>
    <dgm:cxn modelId="{E48383B8-7BCC-4F89-8EB4-EAAA66ED0DC9}" type="presParOf" srcId="{057A8C4B-8EB5-4EFE-BF11-8788CD54F293}" destId="{5FCE5E0E-3281-4928-B619-18CEA77CD4DD}" srcOrd="14" destOrd="0" presId="urn:microsoft.com/office/officeart/2005/8/layout/pyramid2"/>
    <dgm:cxn modelId="{5B7776D8-A2DC-43D6-8FA0-BDD9B711E531}" type="presParOf" srcId="{057A8C4B-8EB5-4EFE-BF11-8788CD54F293}" destId="{074DBFC7-81C3-4CA9-B383-B252BC51FB66}" srcOrd="15" destOrd="0" presId="urn:microsoft.com/office/officeart/2005/8/layout/pyramid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6FBB0-CA49-498A-AC25-1D2B6BE93DE1}">
      <dsp:nvSpPr>
        <dsp:cNvPr id="0" name=""/>
        <dsp:cNvSpPr/>
      </dsp:nvSpPr>
      <dsp:spPr>
        <a:xfrm>
          <a:off x="38913" y="0"/>
          <a:ext cx="4944039" cy="431165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391D07-B778-42C3-B73E-E4874A73F019}">
      <dsp:nvSpPr>
        <dsp:cNvPr id="0" name=""/>
        <dsp:cNvSpPr/>
      </dsp:nvSpPr>
      <dsp:spPr>
        <a:xfrm>
          <a:off x="1976547" y="352352"/>
          <a:ext cx="1132855" cy="298801"/>
        </a:xfrm>
        <a:prstGeom prst="roundRect">
          <a:avLst/>
        </a:prstGeom>
        <a:solidFill>
          <a:schemeClr val="bg1">
            <a:alpha val="9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Corporate Plan</a:t>
          </a:r>
        </a:p>
      </dsp:txBody>
      <dsp:txXfrm>
        <a:off x="1991133" y="366938"/>
        <a:ext cx="1103683" cy="269629"/>
      </dsp:txXfrm>
    </dsp:sp>
    <dsp:sp modelId="{970B5F97-A00C-4398-994F-098A86DFF492}">
      <dsp:nvSpPr>
        <dsp:cNvPr id="0" name=""/>
        <dsp:cNvSpPr/>
      </dsp:nvSpPr>
      <dsp:spPr>
        <a:xfrm>
          <a:off x="929562" y="859353"/>
          <a:ext cx="679679" cy="432896"/>
        </a:xfrm>
        <a:prstGeom prst="round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Net zero</a:t>
          </a:r>
        </a:p>
      </dsp:txBody>
      <dsp:txXfrm>
        <a:off x="950694" y="880485"/>
        <a:ext cx="637415" cy="390632"/>
      </dsp:txXfrm>
    </dsp:sp>
    <dsp:sp modelId="{0E2C9CCE-0943-4EDD-A5F5-C40313BCE9CB}">
      <dsp:nvSpPr>
        <dsp:cNvPr id="0" name=""/>
        <dsp:cNvSpPr/>
      </dsp:nvSpPr>
      <dsp:spPr>
        <a:xfrm>
          <a:off x="1800938" y="1049501"/>
          <a:ext cx="1431890" cy="234990"/>
        </a:xfrm>
        <a:prstGeom prst="round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Water environment</a:t>
          </a:r>
        </a:p>
      </dsp:txBody>
      <dsp:txXfrm>
        <a:off x="1812409" y="1060972"/>
        <a:ext cx="1408948" cy="212048"/>
      </dsp:txXfrm>
    </dsp:sp>
    <dsp:sp modelId="{6F5D631D-3876-4CAA-9858-A3E88014B6FF}">
      <dsp:nvSpPr>
        <dsp:cNvPr id="0" name=""/>
        <dsp:cNvSpPr/>
      </dsp:nvSpPr>
      <dsp:spPr>
        <a:xfrm>
          <a:off x="726362" y="1477408"/>
          <a:ext cx="1817384" cy="364862"/>
        </a:xfrm>
        <a:prstGeom prst="round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Business environmental performance </a:t>
          </a:r>
        </a:p>
      </dsp:txBody>
      <dsp:txXfrm>
        <a:off x="744173" y="1495219"/>
        <a:ext cx="1781762" cy="329240"/>
      </dsp:txXfrm>
    </dsp:sp>
    <dsp:sp modelId="{AD019E06-A2EF-43DA-9ADA-4ACE1648D136}">
      <dsp:nvSpPr>
        <dsp:cNvPr id="0" name=""/>
        <dsp:cNvSpPr/>
      </dsp:nvSpPr>
      <dsp:spPr>
        <a:xfrm>
          <a:off x="1928329" y="2351844"/>
          <a:ext cx="1207544" cy="2655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Strategic aims</a:t>
          </a:r>
        </a:p>
      </dsp:txBody>
      <dsp:txXfrm>
        <a:off x="1941293" y="2364808"/>
        <a:ext cx="1181616" cy="239642"/>
      </dsp:txXfrm>
    </dsp:sp>
    <dsp:sp modelId="{C15BDE96-75ED-45CE-A4E8-47F094F44013}">
      <dsp:nvSpPr>
        <dsp:cNvPr id="0" name=""/>
        <dsp:cNvSpPr/>
      </dsp:nvSpPr>
      <dsp:spPr>
        <a:xfrm>
          <a:off x="1250134" y="2848559"/>
          <a:ext cx="2664153" cy="978963"/>
        </a:xfrm>
        <a:prstGeom prst="roundRect">
          <a:avLst/>
        </a:prstGeom>
        <a:solidFill>
          <a:schemeClr val="bg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GB" sz="1200" b="0" kern="1200"/>
            <a:t>Customer focus</a:t>
          </a:r>
        </a:p>
        <a:p>
          <a:pPr marL="0" lvl="0" indent="0" algn="ctr" defTabSz="533400">
            <a:lnSpc>
              <a:spcPct val="100000"/>
            </a:lnSpc>
            <a:spcBef>
              <a:spcPct val="0"/>
            </a:spcBef>
            <a:spcAft>
              <a:spcPts val="0"/>
            </a:spcAft>
            <a:buNone/>
          </a:pPr>
          <a:r>
            <a:rPr lang="en-GB" sz="1200" b="0" kern="1200"/>
            <a:t>Governance and compliance</a:t>
          </a:r>
        </a:p>
        <a:p>
          <a:pPr marL="0" lvl="0" indent="0" algn="ctr" defTabSz="533400">
            <a:lnSpc>
              <a:spcPct val="100000"/>
            </a:lnSpc>
            <a:spcBef>
              <a:spcPct val="0"/>
            </a:spcBef>
            <a:spcAft>
              <a:spcPts val="0"/>
            </a:spcAft>
            <a:buNone/>
          </a:pPr>
          <a:r>
            <a:rPr lang="en-GB" sz="1200" b="0" kern="1200"/>
            <a:t>Capability and capacity</a:t>
          </a:r>
        </a:p>
        <a:p>
          <a:pPr marL="0" lvl="0" indent="0" algn="ctr" defTabSz="533400">
            <a:lnSpc>
              <a:spcPct val="100000"/>
            </a:lnSpc>
            <a:spcBef>
              <a:spcPct val="0"/>
            </a:spcBef>
            <a:spcAft>
              <a:spcPts val="0"/>
            </a:spcAft>
            <a:buNone/>
          </a:pPr>
          <a:r>
            <a:rPr lang="en-GB" sz="1200" b="0" kern="1200"/>
            <a:t>Technology</a:t>
          </a:r>
        </a:p>
        <a:p>
          <a:pPr marL="0" lvl="0" indent="0" algn="ctr" defTabSz="533400">
            <a:lnSpc>
              <a:spcPct val="100000"/>
            </a:lnSpc>
            <a:spcBef>
              <a:spcPct val="0"/>
            </a:spcBef>
            <a:spcAft>
              <a:spcPts val="0"/>
            </a:spcAft>
            <a:buNone/>
          </a:pPr>
          <a:r>
            <a:rPr lang="en-GB" sz="1200" b="0" kern="1200"/>
            <a:t>Sustainable procurement </a:t>
          </a:r>
        </a:p>
        <a:p>
          <a:pPr marL="0" lvl="0" indent="0" algn="ctr" defTabSz="533400">
            <a:lnSpc>
              <a:spcPct val="100000"/>
            </a:lnSpc>
            <a:spcBef>
              <a:spcPct val="0"/>
            </a:spcBef>
            <a:spcAft>
              <a:spcPts val="0"/>
            </a:spcAft>
            <a:buNone/>
          </a:pPr>
          <a:r>
            <a:rPr lang="en-GB" sz="1200" b="0" kern="1200"/>
            <a:t>CSM</a:t>
          </a:r>
        </a:p>
      </dsp:txBody>
      <dsp:txXfrm>
        <a:off x="1297923" y="2896348"/>
        <a:ext cx="2568575" cy="883385"/>
      </dsp:txXfrm>
    </dsp:sp>
    <dsp:sp modelId="{88B2CCF8-8940-45E2-B3E5-65E40C1922B3}">
      <dsp:nvSpPr>
        <dsp:cNvPr id="0" name=""/>
        <dsp:cNvSpPr/>
      </dsp:nvSpPr>
      <dsp:spPr>
        <a:xfrm>
          <a:off x="3331521" y="803366"/>
          <a:ext cx="1001947" cy="458777"/>
        </a:xfrm>
        <a:prstGeom prst="round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Climate </a:t>
          </a:r>
        </a:p>
        <a:p>
          <a:pPr marL="0" lvl="0" indent="0" algn="l" defTabSz="533400">
            <a:lnSpc>
              <a:spcPct val="90000"/>
            </a:lnSpc>
            <a:spcBef>
              <a:spcPct val="0"/>
            </a:spcBef>
            <a:spcAft>
              <a:spcPct val="35000"/>
            </a:spcAft>
            <a:buFont typeface="Symbol" panose="05050102010706020507" pitchFamily="18" charset="2"/>
            <a:buNone/>
          </a:pPr>
          <a:r>
            <a:rPr lang="en-GB" sz="1200" kern="1200"/>
            <a:t>resilience</a:t>
          </a:r>
        </a:p>
      </dsp:txBody>
      <dsp:txXfrm>
        <a:off x="3353917" y="825762"/>
        <a:ext cx="957155" cy="413985"/>
      </dsp:txXfrm>
    </dsp:sp>
    <dsp:sp modelId="{5FCE5E0E-3281-4928-B619-18CEA77CD4DD}">
      <dsp:nvSpPr>
        <dsp:cNvPr id="0" name=""/>
        <dsp:cNvSpPr/>
      </dsp:nvSpPr>
      <dsp:spPr>
        <a:xfrm>
          <a:off x="2731126" y="1478942"/>
          <a:ext cx="1667670" cy="364862"/>
        </a:xfrm>
        <a:prstGeom prst="round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Resource efficiency (circular)</a:t>
          </a:r>
        </a:p>
      </dsp:txBody>
      <dsp:txXfrm>
        <a:off x="2748937" y="1496753"/>
        <a:ext cx="1632048" cy="3292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4754</Words>
  <Characters>27099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2025-06-30T16:06:00Z</dcterms:created>
  <dcterms:modified xsi:type="dcterms:W3CDTF">2025-06-30T16:10:00Z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8c98d65,9f6e156,4f5f158c</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1abc564e,1df6c311,744e7db7</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2025-06-30T16:07:45Z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11c54cb7-b552-43f3-8d7e-891da887fc07</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