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0DF61B91" w14:textId="6288BE91" w:rsidR="004073BC" w:rsidRDefault="00F72274" w:rsidP="0059498C">
          <w:r>
            <w:rPr>
              <w:noProof/>
            </w:rPr>
            <w:drawing>
              <wp:anchor distT="0" distB="0" distL="114300" distR="114300" simplePos="0" relativeHeight="251658240" behindDoc="1" locked="0" layoutInCell="1" allowOverlap="1" wp14:anchorId="167C3F5A" wp14:editId="7C09B16A">
                <wp:simplePos x="0" y="0"/>
                <wp:positionH relativeFrom="column">
                  <wp:posOffset>-559760</wp:posOffset>
                </wp:positionH>
                <wp:positionV relativeFrom="paragraph">
                  <wp:posOffset>-879182</wp:posOffset>
                </wp:positionV>
                <wp:extent cx="7559040" cy="11026592"/>
                <wp:effectExtent l="0" t="0" r="3810"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1026592"/>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B98FBB5" wp14:editId="76FD18B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58C3D3A" w14:textId="77777777" w:rsidR="004073BC" w:rsidRDefault="004073BC" w:rsidP="008C1A73"/>
        <w:p w14:paraId="2940CE25" w14:textId="4C694825" w:rsidR="0096615F" w:rsidRDefault="0096615F" w:rsidP="0096615F">
          <w:pPr>
            <w:pStyle w:val="BodyText1"/>
            <w:spacing w:line="240" w:lineRule="auto"/>
            <w:rPr>
              <w:rFonts w:eastAsia="Times New Roman"/>
              <w:b/>
              <w:color w:val="FFFFFF" w:themeColor="background1"/>
              <w:sz w:val="48"/>
              <w:szCs w:val="48"/>
              <w:lang w:eastAsia="en-GB"/>
            </w:rPr>
          </w:pPr>
          <w:r w:rsidRPr="001B4C45">
            <w:rPr>
              <w:rFonts w:eastAsia="Times New Roman"/>
              <w:b/>
              <w:color w:val="FFFFFF" w:themeColor="background1"/>
              <w:sz w:val="48"/>
              <w:szCs w:val="48"/>
              <w:lang w:eastAsia="en-GB"/>
            </w:rPr>
            <w:t>WAT-G-</w:t>
          </w:r>
          <w:r w:rsidR="006A3C5D">
            <w:rPr>
              <w:rFonts w:eastAsia="Times New Roman"/>
              <w:b/>
              <w:color w:val="FFFFFF" w:themeColor="background1"/>
              <w:sz w:val="48"/>
              <w:szCs w:val="48"/>
              <w:lang w:eastAsia="en-GB"/>
            </w:rPr>
            <w:t>058</w:t>
          </w:r>
        </w:p>
        <w:p w14:paraId="30223591" w14:textId="77777777" w:rsidR="004073BC" w:rsidRDefault="004073BC" w:rsidP="008C1A73"/>
        <w:p w14:paraId="2B6DC3E9" w14:textId="77777777" w:rsidR="004073BC" w:rsidRDefault="004073BC" w:rsidP="008C1A73"/>
        <w:p w14:paraId="6B7F9F6E" w14:textId="77777777" w:rsidR="00086F43" w:rsidRDefault="00086F43" w:rsidP="004133B7">
          <w:pPr>
            <w:spacing w:line="240" w:lineRule="auto"/>
            <w:rPr>
              <w:b/>
              <w:bCs/>
              <w:color w:val="FFFFFF" w:themeColor="background1"/>
              <w:sz w:val="84"/>
              <w:szCs w:val="84"/>
            </w:rPr>
          </w:pPr>
        </w:p>
        <w:p w14:paraId="7A5BDE93" w14:textId="10D449C6" w:rsidR="004439BC" w:rsidRDefault="009907E5" w:rsidP="004133B7">
          <w:pPr>
            <w:spacing w:line="240" w:lineRule="auto"/>
            <w:rPr>
              <w:b/>
              <w:bCs/>
              <w:color w:val="FFFFFF" w:themeColor="background1"/>
              <w:sz w:val="84"/>
              <w:szCs w:val="84"/>
            </w:rPr>
          </w:pPr>
          <w:bookmarkStart w:id="0" w:name="_Hlk193292083"/>
          <w:r>
            <w:rPr>
              <w:b/>
              <w:bCs/>
              <w:color w:val="FFFFFF" w:themeColor="background1"/>
              <w:sz w:val="84"/>
              <w:szCs w:val="84"/>
            </w:rPr>
            <w:t>EASR Guidance</w:t>
          </w:r>
          <w:r w:rsidR="004439BC">
            <w:rPr>
              <w:b/>
              <w:bCs/>
              <w:color w:val="FFFFFF" w:themeColor="background1"/>
              <w:sz w:val="84"/>
              <w:szCs w:val="84"/>
            </w:rPr>
            <w:t>:</w:t>
          </w:r>
        </w:p>
        <w:p w14:paraId="0833AF7C" w14:textId="77777777" w:rsidR="00190C9B" w:rsidRDefault="00190C9B" w:rsidP="004133B7">
          <w:pPr>
            <w:spacing w:line="240" w:lineRule="auto"/>
            <w:rPr>
              <w:b/>
              <w:bCs/>
              <w:color w:val="FFFFFF" w:themeColor="background1"/>
              <w:sz w:val="84"/>
              <w:szCs w:val="84"/>
            </w:rPr>
          </w:pPr>
          <w:r w:rsidRPr="00190C9B">
            <w:rPr>
              <w:b/>
              <w:bCs/>
              <w:color w:val="FFFFFF" w:themeColor="background1"/>
              <w:sz w:val="84"/>
              <w:szCs w:val="84"/>
            </w:rPr>
            <w:t>Permit Activity:</w:t>
          </w:r>
        </w:p>
        <w:p w14:paraId="2C8C7136" w14:textId="5D41BA58" w:rsidR="00801105" w:rsidRDefault="000B32FB" w:rsidP="004133B7">
          <w:pPr>
            <w:spacing w:line="240" w:lineRule="auto"/>
            <w:rPr>
              <w:b/>
              <w:bCs/>
              <w:color w:val="FFFFFF" w:themeColor="background1"/>
              <w:sz w:val="84"/>
              <w:szCs w:val="84"/>
            </w:rPr>
          </w:pPr>
          <w:r>
            <w:rPr>
              <w:b/>
              <w:bCs/>
              <w:color w:val="FFFFFF" w:themeColor="background1"/>
              <w:sz w:val="84"/>
              <w:szCs w:val="84"/>
            </w:rPr>
            <w:t>Sewer Overflow</w:t>
          </w:r>
          <w:r w:rsidR="00E77E18">
            <w:rPr>
              <w:b/>
              <w:bCs/>
              <w:color w:val="FFFFFF" w:themeColor="background1"/>
              <w:sz w:val="84"/>
              <w:szCs w:val="84"/>
            </w:rPr>
            <w:t>s</w:t>
          </w:r>
          <w:r>
            <w:rPr>
              <w:b/>
              <w:bCs/>
              <w:color w:val="FFFFFF" w:themeColor="background1"/>
              <w:sz w:val="84"/>
              <w:szCs w:val="84"/>
            </w:rPr>
            <w:t xml:space="preserve"> </w:t>
          </w:r>
        </w:p>
        <w:bookmarkEnd w:id="0"/>
        <w:p w14:paraId="22DFE788" w14:textId="3D96AFE4" w:rsidR="008C1A73" w:rsidRPr="00CF7EFB" w:rsidRDefault="00F36BBC" w:rsidP="00CF7EFB">
          <w:pPr>
            <w:rPr>
              <w:b/>
              <w:bCs/>
              <w:color w:val="FFFFFF" w:themeColor="background1"/>
              <w:sz w:val="84"/>
              <w:szCs w:val="84"/>
            </w:rPr>
          </w:pPr>
          <w:r w:rsidRPr="00F36BBC">
            <w:rPr>
              <w:b/>
              <w:bCs/>
              <w:noProof/>
              <w:color w:val="FFFFFF" w:themeColor="background1"/>
              <w:sz w:val="84"/>
              <w:szCs w:val="84"/>
            </w:rPr>
            <mc:AlternateContent>
              <mc:Choice Requires="wps">
                <w:drawing>
                  <wp:anchor distT="45720" distB="45720" distL="114300" distR="114300" simplePos="0" relativeHeight="251658241" behindDoc="0" locked="0" layoutInCell="1" allowOverlap="1" wp14:anchorId="5CC64407" wp14:editId="1E352C54">
                    <wp:simplePos x="0" y="0"/>
                    <wp:positionH relativeFrom="column">
                      <wp:posOffset>5080</wp:posOffset>
                    </wp:positionH>
                    <wp:positionV relativeFrom="paragraph">
                      <wp:posOffset>4375785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noFill/>
                              <a:headEnd/>
                              <a:tailEnd/>
                            </a:ln>
                          </wps:spPr>
                          <wps:style>
                            <a:lnRef idx="2">
                              <a:schemeClr val="accent1">
                                <a:shade val="15000"/>
                              </a:schemeClr>
                            </a:lnRef>
                            <a:fillRef idx="1">
                              <a:schemeClr val="accent1"/>
                            </a:fillRef>
                            <a:effectRef idx="0">
                              <a:schemeClr val="accent1"/>
                            </a:effectRef>
                            <a:fontRef idx="minor">
                              <a:schemeClr val="lt1"/>
                            </a:fontRef>
                          </wps:style>
                          <wps:txbx>
                            <w:txbxContent>
                              <w:p w14:paraId="7553C40E" w14:textId="3C35C619" w:rsidR="00F36BBC" w:rsidRDefault="00F36BBC">
                                <w:r>
                                  <w:t>Version 1.0, August 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C64407" id="_x0000_t202" coordsize="21600,21600" o:spt="202" path="m,l,21600r21600,l21600,xe">
                    <v:stroke joinstyle="miter"/>
                    <v:path gradientshapeok="t" o:connecttype="rect"/>
                  </v:shapetype>
                  <v:shape id="Text Box 2" o:spid="_x0000_s1026" type="#_x0000_t202" style="position:absolute;margin-left:.4pt;margin-top:344.55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" fillcolor="#016574 [3204]" stroked="f" strokeweight="1pt">
                    <v:textbox style="mso-fit-shape-to-text:t">
                      <w:txbxContent>
                        <w:p w14:paraId="7553C40E" w14:textId="3C35C619" w:rsidR="00F36BBC" w:rsidRDefault="00F36BBC">
                          <w:r>
                            <w:t>Version 1.0, August 2025</w:t>
                          </w:r>
                        </w:p>
                      </w:txbxContent>
                    </v:textbox>
                    <w10:wrap type="square"/>
                  </v:shape>
                </w:pict>
              </mc:Fallback>
            </mc:AlternateContent>
          </w:r>
          <w:r w:rsidR="008C1A73">
            <w:br w:type="page"/>
          </w:r>
        </w:p>
      </w:sdtContent>
    </w:sdt>
    <w:p w14:paraId="053F0821" w14:textId="77777777" w:rsidR="00BA1580" w:rsidRDefault="00BA1580" w:rsidP="00BA1580"/>
    <w:sdt>
      <w:sdtPr>
        <w:rPr>
          <w:rFonts w:asciiTheme="minorHAnsi" w:eastAsiaTheme="minorEastAsia" w:hAnsiTheme="minorHAnsi" w:cstheme="minorBidi"/>
          <w:color w:val="auto"/>
          <w:sz w:val="24"/>
          <w:szCs w:val="24"/>
          <w:lang w:val="en-GB"/>
        </w:rPr>
        <w:id w:val="163528896"/>
        <w:docPartObj>
          <w:docPartGallery w:val="Table of Contents"/>
          <w:docPartUnique/>
        </w:docPartObj>
      </w:sdtPr>
      <w:sdtEndPr>
        <w:rPr>
          <w:b/>
          <w:bCs/>
          <w:noProof/>
        </w:rPr>
      </w:sdtEndPr>
      <w:sdtContent>
        <w:p w14:paraId="027CCF9C" w14:textId="68C912B8" w:rsidR="00B379F3" w:rsidRPr="00E77E18" w:rsidRDefault="00B379F3">
          <w:pPr>
            <w:pStyle w:val="TOCHeading"/>
            <w:rPr>
              <w:rStyle w:val="Heading1Char"/>
            </w:rPr>
          </w:pPr>
          <w:r w:rsidRPr="00E77E18">
            <w:rPr>
              <w:rStyle w:val="Heading1Char"/>
            </w:rPr>
            <w:t>Contents</w:t>
          </w:r>
        </w:p>
        <w:p w14:paraId="7A0A59B5" w14:textId="0D9F34EC" w:rsidR="0059498C" w:rsidRDefault="00B379F3">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3872476" w:history="1">
            <w:r w:rsidR="0059498C" w:rsidRPr="009E363E">
              <w:rPr>
                <w:rStyle w:val="Hyperlink"/>
                <w:rFonts w:eastAsia="Times New Roman"/>
                <w:noProof/>
              </w:rPr>
              <w:t>1.</w:t>
            </w:r>
            <w:r w:rsidR="0059498C">
              <w:rPr>
                <w:noProof/>
                <w:kern w:val="2"/>
                <w:lang w:eastAsia="en-GB"/>
                <w14:ligatures w14:val="standardContextual"/>
              </w:rPr>
              <w:tab/>
            </w:r>
            <w:r w:rsidR="0059498C" w:rsidRPr="009E363E">
              <w:rPr>
                <w:rStyle w:val="Hyperlink"/>
                <w:rFonts w:eastAsia="Times New Roman"/>
                <w:noProof/>
              </w:rPr>
              <w:t>Purpose</w:t>
            </w:r>
            <w:r w:rsidR="0059498C">
              <w:rPr>
                <w:noProof/>
                <w:webHidden/>
              </w:rPr>
              <w:tab/>
            </w:r>
            <w:r w:rsidR="0059498C">
              <w:rPr>
                <w:noProof/>
                <w:webHidden/>
              </w:rPr>
              <w:fldChar w:fldCharType="begin"/>
            </w:r>
            <w:r w:rsidR="0059498C">
              <w:rPr>
                <w:noProof/>
                <w:webHidden/>
              </w:rPr>
              <w:instrText xml:space="preserve"> PAGEREF _Toc193872476 \h </w:instrText>
            </w:r>
            <w:r w:rsidR="0059498C">
              <w:rPr>
                <w:noProof/>
                <w:webHidden/>
              </w:rPr>
            </w:r>
            <w:r w:rsidR="0059498C">
              <w:rPr>
                <w:noProof/>
                <w:webHidden/>
              </w:rPr>
              <w:fldChar w:fldCharType="separate"/>
            </w:r>
            <w:r w:rsidR="0059498C">
              <w:rPr>
                <w:noProof/>
                <w:webHidden/>
              </w:rPr>
              <w:t>3</w:t>
            </w:r>
            <w:r w:rsidR="0059498C">
              <w:rPr>
                <w:noProof/>
                <w:webHidden/>
              </w:rPr>
              <w:fldChar w:fldCharType="end"/>
            </w:r>
          </w:hyperlink>
        </w:p>
        <w:p w14:paraId="7A207A46" w14:textId="2D057121" w:rsidR="0059498C" w:rsidRDefault="0059498C">
          <w:pPr>
            <w:pStyle w:val="TOC1"/>
            <w:tabs>
              <w:tab w:val="left" w:pos="480"/>
              <w:tab w:val="right" w:leader="dot" w:pos="10212"/>
            </w:tabs>
            <w:rPr>
              <w:noProof/>
              <w:kern w:val="2"/>
              <w:lang w:eastAsia="en-GB"/>
              <w14:ligatures w14:val="standardContextual"/>
            </w:rPr>
          </w:pPr>
          <w:hyperlink w:anchor="_Toc193872477" w:history="1">
            <w:r w:rsidRPr="009E363E">
              <w:rPr>
                <w:rStyle w:val="Hyperlink"/>
                <w:rFonts w:eastAsia="Times New Roman"/>
                <w:noProof/>
              </w:rPr>
              <w:t>2.</w:t>
            </w:r>
            <w:r>
              <w:rPr>
                <w:noProof/>
                <w:kern w:val="2"/>
                <w:lang w:eastAsia="en-GB"/>
                <w14:ligatures w14:val="standardContextual"/>
              </w:rPr>
              <w:tab/>
            </w:r>
            <w:r w:rsidRPr="009E363E">
              <w:rPr>
                <w:rStyle w:val="Hyperlink"/>
                <w:rFonts w:eastAsia="Times New Roman"/>
                <w:noProof/>
              </w:rPr>
              <w:t>Types of overflows</w:t>
            </w:r>
            <w:r>
              <w:rPr>
                <w:noProof/>
                <w:webHidden/>
              </w:rPr>
              <w:tab/>
            </w:r>
            <w:r>
              <w:rPr>
                <w:noProof/>
                <w:webHidden/>
              </w:rPr>
              <w:fldChar w:fldCharType="begin"/>
            </w:r>
            <w:r>
              <w:rPr>
                <w:noProof/>
                <w:webHidden/>
              </w:rPr>
              <w:instrText xml:space="preserve"> PAGEREF _Toc193872477 \h </w:instrText>
            </w:r>
            <w:r>
              <w:rPr>
                <w:noProof/>
                <w:webHidden/>
              </w:rPr>
            </w:r>
            <w:r>
              <w:rPr>
                <w:noProof/>
                <w:webHidden/>
              </w:rPr>
              <w:fldChar w:fldCharType="separate"/>
            </w:r>
            <w:r>
              <w:rPr>
                <w:noProof/>
                <w:webHidden/>
              </w:rPr>
              <w:t>3</w:t>
            </w:r>
            <w:r>
              <w:rPr>
                <w:noProof/>
                <w:webHidden/>
              </w:rPr>
              <w:fldChar w:fldCharType="end"/>
            </w:r>
          </w:hyperlink>
        </w:p>
        <w:p w14:paraId="4AFFC3A5" w14:textId="08A47494" w:rsidR="0059498C" w:rsidRDefault="0059498C">
          <w:pPr>
            <w:pStyle w:val="TOC1"/>
            <w:tabs>
              <w:tab w:val="left" w:pos="480"/>
              <w:tab w:val="right" w:leader="dot" w:pos="10212"/>
            </w:tabs>
            <w:rPr>
              <w:noProof/>
              <w:kern w:val="2"/>
              <w:lang w:eastAsia="en-GB"/>
              <w14:ligatures w14:val="standardContextual"/>
            </w:rPr>
          </w:pPr>
          <w:hyperlink w:anchor="_Toc193872478" w:history="1">
            <w:r w:rsidRPr="009E363E">
              <w:rPr>
                <w:rStyle w:val="Hyperlink"/>
                <w:noProof/>
              </w:rPr>
              <w:t>3.</w:t>
            </w:r>
            <w:r>
              <w:rPr>
                <w:noProof/>
                <w:kern w:val="2"/>
                <w:lang w:eastAsia="en-GB"/>
                <w14:ligatures w14:val="standardContextual"/>
              </w:rPr>
              <w:tab/>
            </w:r>
            <w:r w:rsidRPr="009E363E">
              <w:rPr>
                <w:rStyle w:val="Hyperlink"/>
                <w:noProof/>
              </w:rPr>
              <w:t>Applying for a permit for an overflow</w:t>
            </w:r>
            <w:r>
              <w:rPr>
                <w:noProof/>
                <w:webHidden/>
              </w:rPr>
              <w:tab/>
            </w:r>
            <w:r>
              <w:rPr>
                <w:noProof/>
                <w:webHidden/>
              </w:rPr>
              <w:fldChar w:fldCharType="begin"/>
            </w:r>
            <w:r>
              <w:rPr>
                <w:noProof/>
                <w:webHidden/>
              </w:rPr>
              <w:instrText xml:space="preserve"> PAGEREF _Toc193872478 \h </w:instrText>
            </w:r>
            <w:r>
              <w:rPr>
                <w:noProof/>
                <w:webHidden/>
              </w:rPr>
            </w:r>
            <w:r>
              <w:rPr>
                <w:noProof/>
                <w:webHidden/>
              </w:rPr>
              <w:fldChar w:fldCharType="separate"/>
            </w:r>
            <w:r>
              <w:rPr>
                <w:noProof/>
                <w:webHidden/>
              </w:rPr>
              <w:t>4</w:t>
            </w:r>
            <w:r>
              <w:rPr>
                <w:noProof/>
                <w:webHidden/>
              </w:rPr>
              <w:fldChar w:fldCharType="end"/>
            </w:r>
          </w:hyperlink>
        </w:p>
        <w:p w14:paraId="5101604A" w14:textId="4FC8D5C3" w:rsidR="0059498C" w:rsidRDefault="0059498C">
          <w:pPr>
            <w:pStyle w:val="TOC2"/>
            <w:tabs>
              <w:tab w:val="left" w:pos="960"/>
              <w:tab w:val="right" w:leader="dot" w:pos="10212"/>
            </w:tabs>
            <w:rPr>
              <w:noProof/>
              <w:kern w:val="2"/>
              <w:lang w:eastAsia="en-GB"/>
              <w14:ligatures w14:val="standardContextual"/>
            </w:rPr>
          </w:pPr>
          <w:hyperlink w:anchor="_Toc193872479" w:history="1">
            <w:r w:rsidRPr="009E363E">
              <w:rPr>
                <w:rStyle w:val="Hyperlink"/>
                <w:rFonts w:eastAsia="Times New Roman"/>
                <w:noProof/>
              </w:rPr>
              <w:t>3.1</w:t>
            </w:r>
            <w:r>
              <w:rPr>
                <w:noProof/>
                <w:kern w:val="2"/>
                <w:lang w:eastAsia="en-GB"/>
                <w14:ligatures w14:val="standardContextual"/>
              </w:rPr>
              <w:tab/>
            </w:r>
            <w:r w:rsidRPr="009E363E">
              <w:rPr>
                <w:rStyle w:val="Hyperlink"/>
                <w:rFonts w:eastAsia="Times New Roman"/>
                <w:noProof/>
              </w:rPr>
              <w:t>Permits</w:t>
            </w:r>
            <w:r>
              <w:rPr>
                <w:noProof/>
                <w:webHidden/>
              </w:rPr>
              <w:tab/>
            </w:r>
            <w:r>
              <w:rPr>
                <w:noProof/>
                <w:webHidden/>
              </w:rPr>
              <w:fldChar w:fldCharType="begin"/>
            </w:r>
            <w:r>
              <w:rPr>
                <w:noProof/>
                <w:webHidden/>
              </w:rPr>
              <w:instrText xml:space="preserve"> PAGEREF _Toc193872479 \h </w:instrText>
            </w:r>
            <w:r>
              <w:rPr>
                <w:noProof/>
                <w:webHidden/>
              </w:rPr>
            </w:r>
            <w:r>
              <w:rPr>
                <w:noProof/>
                <w:webHidden/>
              </w:rPr>
              <w:fldChar w:fldCharType="separate"/>
            </w:r>
            <w:r>
              <w:rPr>
                <w:noProof/>
                <w:webHidden/>
              </w:rPr>
              <w:t>5</w:t>
            </w:r>
            <w:r>
              <w:rPr>
                <w:noProof/>
                <w:webHidden/>
              </w:rPr>
              <w:fldChar w:fldCharType="end"/>
            </w:r>
          </w:hyperlink>
        </w:p>
        <w:p w14:paraId="3CD7DE6F" w14:textId="413FEB75" w:rsidR="0059498C" w:rsidRDefault="0059498C">
          <w:pPr>
            <w:pStyle w:val="TOC2"/>
            <w:tabs>
              <w:tab w:val="left" w:pos="960"/>
              <w:tab w:val="right" w:leader="dot" w:pos="10212"/>
            </w:tabs>
            <w:rPr>
              <w:noProof/>
              <w:kern w:val="2"/>
              <w:lang w:eastAsia="en-GB"/>
              <w14:ligatures w14:val="standardContextual"/>
            </w:rPr>
          </w:pPr>
          <w:hyperlink w:anchor="_Toc193872480" w:history="1">
            <w:r w:rsidRPr="009E363E">
              <w:rPr>
                <w:rStyle w:val="Hyperlink"/>
                <w:rFonts w:eastAsia="Times New Roman"/>
                <w:noProof/>
              </w:rPr>
              <w:t>3.2</w:t>
            </w:r>
            <w:r>
              <w:rPr>
                <w:noProof/>
                <w:kern w:val="2"/>
                <w:lang w:eastAsia="en-GB"/>
                <w14:ligatures w14:val="standardContextual"/>
              </w:rPr>
              <w:tab/>
            </w:r>
            <w:r w:rsidRPr="009E363E">
              <w:rPr>
                <w:rStyle w:val="Hyperlink"/>
                <w:rFonts w:eastAsia="Times New Roman"/>
                <w:noProof/>
              </w:rPr>
              <w:t>Permitting existing CSOs or EOs</w:t>
            </w:r>
            <w:r>
              <w:rPr>
                <w:noProof/>
                <w:webHidden/>
              </w:rPr>
              <w:tab/>
            </w:r>
            <w:r>
              <w:rPr>
                <w:noProof/>
                <w:webHidden/>
              </w:rPr>
              <w:fldChar w:fldCharType="begin"/>
            </w:r>
            <w:r>
              <w:rPr>
                <w:noProof/>
                <w:webHidden/>
              </w:rPr>
              <w:instrText xml:space="preserve"> PAGEREF _Toc193872480 \h </w:instrText>
            </w:r>
            <w:r>
              <w:rPr>
                <w:noProof/>
                <w:webHidden/>
              </w:rPr>
            </w:r>
            <w:r>
              <w:rPr>
                <w:noProof/>
                <w:webHidden/>
              </w:rPr>
              <w:fldChar w:fldCharType="separate"/>
            </w:r>
            <w:r>
              <w:rPr>
                <w:noProof/>
                <w:webHidden/>
              </w:rPr>
              <w:t>6</w:t>
            </w:r>
            <w:r>
              <w:rPr>
                <w:noProof/>
                <w:webHidden/>
              </w:rPr>
              <w:fldChar w:fldCharType="end"/>
            </w:r>
          </w:hyperlink>
        </w:p>
        <w:p w14:paraId="407D2336" w14:textId="393666C3" w:rsidR="0059498C" w:rsidRDefault="0059498C">
          <w:pPr>
            <w:pStyle w:val="TOC2"/>
            <w:tabs>
              <w:tab w:val="left" w:pos="960"/>
              <w:tab w:val="right" w:leader="dot" w:pos="10212"/>
            </w:tabs>
            <w:rPr>
              <w:noProof/>
              <w:kern w:val="2"/>
              <w:lang w:eastAsia="en-GB"/>
              <w14:ligatures w14:val="standardContextual"/>
            </w:rPr>
          </w:pPr>
          <w:hyperlink w:anchor="_Toc193872481" w:history="1">
            <w:r w:rsidRPr="009E363E">
              <w:rPr>
                <w:rStyle w:val="Hyperlink"/>
                <w:rFonts w:eastAsia="Times New Roman"/>
                <w:noProof/>
              </w:rPr>
              <w:t>3.3</w:t>
            </w:r>
            <w:r>
              <w:rPr>
                <w:noProof/>
                <w:kern w:val="2"/>
                <w:lang w:eastAsia="en-GB"/>
                <w14:ligatures w14:val="standardContextual"/>
              </w:rPr>
              <w:tab/>
            </w:r>
            <w:r w:rsidRPr="009E363E">
              <w:rPr>
                <w:rStyle w:val="Hyperlink"/>
                <w:rFonts w:eastAsia="Times New Roman"/>
                <w:noProof/>
              </w:rPr>
              <w:t>Permitting new CSOs or EOs</w:t>
            </w:r>
            <w:r>
              <w:rPr>
                <w:noProof/>
                <w:webHidden/>
              </w:rPr>
              <w:tab/>
            </w:r>
            <w:r>
              <w:rPr>
                <w:noProof/>
                <w:webHidden/>
              </w:rPr>
              <w:fldChar w:fldCharType="begin"/>
            </w:r>
            <w:r>
              <w:rPr>
                <w:noProof/>
                <w:webHidden/>
              </w:rPr>
              <w:instrText xml:space="preserve"> PAGEREF _Toc193872481 \h </w:instrText>
            </w:r>
            <w:r>
              <w:rPr>
                <w:noProof/>
                <w:webHidden/>
              </w:rPr>
            </w:r>
            <w:r>
              <w:rPr>
                <w:noProof/>
                <w:webHidden/>
              </w:rPr>
              <w:fldChar w:fldCharType="separate"/>
            </w:r>
            <w:r>
              <w:rPr>
                <w:noProof/>
                <w:webHidden/>
              </w:rPr>
              <w:t>7</w:t>
            </w:r>
            <w:r>
              <w:rPr>
                <w:noProof/>
                <w:webHidden/>
              </w:rPr>
              <w:fldChar w:fldCharType="end"/>
            </w:r>
          </w:hyperlink>
        </w:p>
        <w:p w14:paraId="1BBCB51F" w14:textId="6087B995" w:rsidR="0059498C" w:rsidRDefault="0059498C">
          <w:pPr>
            <w:pStyle w:val="TOC1"/>
            <w:tabs>
              <w:tab w:val="left" w:pos="480"/>
              <w:tab w:val="right" w:leader="dot" w:pos="10212"/>
            </w:tabs>
            <w:rPr>
              <w:noProof/>
              <w:kern w:val="2"/>
              <w:lang w:eastAsia="en-GB"/>
              <w14:ligatures w14:val="standardContextual"/>
            </w:rPr>
          </w:pPr>
          <w:hyperlink w:anchor="_Toc193872482" w:history="1">
            <w:r w:rsidRPr="009E363E">
              <w:rPr>
                <w:rStyle w:val="Hyperlink"/>
                <w:rFonts w:eastAsia="Times New Roman"/>
                <w:noProof/>
              </w:rPr>
              <w:t>4.</w:t>
            </w:r>
            <w:r>
              <w:rPr>
                <w:noProof/>
                <w:kern w:val="2"/>
                <w:lang w:eastAsia="en-GB"/>
                <w14:ligatures w14:val="standardContextual"/>
              </w:rPr>
              <w:tab/>
            </w:r>
            <w:r w:rsidRPr="009E363E">
              <w:rPr>
                <w:rStyle w:val="Hyperlink"/>
                <w:rFonts w:eastAsia="Times New Roman"/>
                <w:noProof/>
              </w:rPr>
              <w:t>Designing CSOs to protect the water environment</w:t>
            </w:r>
            <w:r>
              <w:rPr>
                <w:noProof/>
                <w:webHidden/>
              </w:rPr>
              <w:tab/>
            </w:r>
            <w:r>
              <w:rPr>
                <w:noProof/>
                <w:webHidden/>
              </w:rPr>
              <w:fldChar w:fldCharType="begin"/>
            </w:r>
            <w:r>
              <w:rPr>
                <w:noProof/>
                <w:webHidden/>
              </w:rPr>
              <w:instrText xml:space="preserve"> PAGEREF _Toc193872482 \h </w:instrText>
            </w:r>
            <w:r>
              <w:rPr>
                <w:noProof/>
                <w:webHidden/>
              </w:rPr>
            </w:r>
            <w:r>
              <w:rPr>
                <w:noProof/>
                <w:webHidden/>
              </w:rPr>
              <w:fldChar w:fldCharType="separate"/>
            </w:r>
            <w:r>
              <w:rPr>
                <w:noProof/>
                <w:webHidden/>
              </w:rPr>
              <w:t>7</w:t>
            </w:r>
            <w:r>
              <w:rPr>
                <w:noProof/>
                <w:webHidden/>
              </w:rPr>
              <w:fldChar w:fldCharType="end"/>
            </w:r>
          </w:hyperlink>
        </w:p>
        <w:p w14:paraId="317D2C52" w14:textId="1BD3A9E4" w:rsidR="0059498C" w:rsidRDefault="0059498C">
          <w:pPr>
            <w:pStyle w:val="TOC2"/>
            <w:tabs>
              <w:tab w:val="left" w:pos="960"/>
              <w:tab w:val="right" w:leader="dot" w:pos="10212"/>
            </w:tabs>
            <w:rPr>
              <w:noProof/>
              <w:kern w:val="2"/>
              <w:lang w:eastAsia="en-GB"/>
              <w14:ligatures w14:val="standardContextual"/>
            </w:rPr>
          </w:pPr>
          <w:hyperlink w:anchor="_Toc193872483" w:history="1">
            <w:r w:rsidRPr="009E363E">
              <w:rPr>
                <w:rStyle w:val="Hyperlink"/>
                <w:noProof/>
              </w:rPr>
              <w:t>4.1.</w:t>
            </w:r>
            <w:r>
              <w:rPr>
                <w:noProof/>
                <w:kern w:val="2"/>
                <w:lang w:eastAsia="en-GB"/>
                <w14:ligatures w14:val="standardContextual"/>
              </w:rPr>
              <w:tab/>
            </w:r>
            <w:r w:rsidRPr="009E363E">
              <w:rPr>
                <w:rStyle w:val="Hyperlink"/>
                <w:noProof/>
              </w:rPr>
              <w:t>CSO discharges to watercourses</w:t>
            </w:r>
            <w:r>
              <w:rPr>
                <w:noProof/>
                <w:webHidden/>
              </w:rPr>
              <w:tab/>
            </w:r>
            <w:r>
              <w:rPr>
                <w:noProof/>
                <w:webHidden/>
              </w:rPr>
              <w:fldChar w:fldCharType="begin"/>
            </w:r>
            <w:r>
              <w:rPr>
                <w:noProof/>
                <w:webHidden/>
              </w:rPr>
              <w:instrText xml:space="preserve"> PAGEREF _Toc193872483 \h </w:instrText>
            </w:r>
            <w:r>
              <w:rPr>
                <w:noProof/>
                <w:webHidden/>
              </w:rPr>
            </w:r>
            <w:r>
              <w:rPr>
                <w:noProof/>
                <w:webHidden/>
              </w:rPr>
              <w:fldChar w:fldCharType="separate"/>
            </w:r>
            <w:r>
              <w:rPr>
                <w:noProof/>
                <w:webHidden/>
              </w:rPr>
              <w:t>8</w:t>
            </w:r>
            <w:r>
              <w:rPr>
                <w:noProof/>
                <w:webHidden/>
              </w:rPr>
              <w:fldChar w:fldCharType="end"/>
            </w:r>
          </w:hyperlink>
        </w:p>
        <w:p w14:paraId="2A1A1943" w14:textId="696D3790" w:rsidR="0059498C" w:rsidRDefault="0059498C">
          <w:pPr>
            <w:pStyle w:val="TOC3"/>
            <w:tabs>
              <w:tab w:val="left" w:pos="1440"/>
              <w:tab w:val="right" w:leader="dot" w:pos="10212"/>
            </w:tabs>
            <w:rPr>
              <w:noProof/>
              <w:kern w:val="2"/>
              <w:lang w:eastAsia="en-GB"/>
              <w14:ligatures w14:val="standardContextual"/>
            </w:rPr>
          </w:pPr>
          <w:hyperlink w:anchor="_Toc193872484" w:history="1">
            <w:r w:rsidRPr="009E363E">
              <w:rPr>
                <w:rStyle w:val="Hyperlink"/>
                <w:rFonts w:eastAsia="Times New Roman"/>
                <w:noProof/>
                <w:lang w:eastAsia="en-GB"/>
              </w:rPr>
              <w:t>4.1.1</w:t>
            </w:r>
            <w:r>
              <w:rPr>
                <w:noProof/>
                <w:kern w:val="2"/>
                <w:lang w:eastAsia="en-GB"/>
                <w14:ligatures w14:val="standardContextual"/>
              </w:rPr>
              <w:tab/>
            </w:r>
            <w:r w:rsidRPr="009E363E">
              <w:rPr>
                <w:rStyle w:val="Hyperlink"/>
                <w:rFonts w:eastAsia="Times New Roman"/>
                <w:noProof/>
                <w:lang w:eastAsia="en-GB"/>
              </w:rPr>
              <w:t>Low significance discharges</w:t>
            </w:r>
            <w:r>
              <w:rPr>
                <w:noProof/>
                <w:webHidden/>
              </w:rPr>
              <w:tab/>
            </w:r>
            <w:r>
              <w:rPr>
                <w:noProof/>
                <w:webHidden/>
              </w:rPr>
              <w:fldChar w:fldCharType="begin"/>
            </w:r>
            <w:r>
              <w:rPr>
                <w:noProof/>
                <w:webHidden/>
              </w:rPr>
              <w:instrText xml:space="preserve"> PAGEREF _Toc193872484 \h </w:instrText>
            </w:r>
            <w:r>
              <w:rPr>
                <w:noProof/>
                <w:webHidden/>
              </w:rPr>
            </w:r>
            <w:r>
              <w:rPr>
                <w:noProof/>
                <w:webHidden/>
              </w:rPr>
              <w:fldChar w:fldCharType="separate"/>
            </w:r>
            <w:r>
              <w:rPr>
                <w:noProof/>
                <w:webHidden/>
              </w:rPr>
              <w:t>9</w:t>
            </w:r>
            <w:r>
              <w:rPr>
                <w:noProof/>
                <w:webHidden/>
              </w:rPr>
              <w:fldChar w:fldCharType="end"/>
            </w:r>
          </w:hyperlink>
        </w:p>
        <w:p w14:paraId="4647E027" w14:textId="1CAA68A4" w:rsidR="0059498C" w:rsidRDefault="0059498C">
          <w:pPr>
            <w:pStyle w:val="TOC3"/>
            <w:tabs>
              <w:tab w:val="left" w:pos="1440"/>
              <w:tab w:val="right" w:leader="dot" w:pos="10212"/>
            </w:tabs>
            <w:rPr>
              <w:noProof/>
              <w:kern w:val="2"/>
              <w:lang w:eastAsia="en-GB"/>
              <w14:ligatures w14:val="standardContextual"/>
            </w:rPr>
          </w:pPr>
          <w:hyperlink w:anchor="_Toc193872485" w:history="1">
            <w:r w:rsidRPr="009E363E">
              <w:rPr>
                <w:rStyle w:val="Hyperlink"/>
                <w:rFonts w:eastAsia="Times New Roman"/>
                <w:noProof/>
                <w:lang w:eastAsia="en-GB"/>
              </w:rPr>
              <w:t>4.1.2</w:t>
            </w:r>
            <w:r>
              <w:rPr>
                <w:noProof/>
                <w:kern w:val="2"/>
                <w:lang w:eastAsia="en-GB"/>
                <w14:ligatures w14:val="standardContextual"/>
              </w:rPr>
              <w:tab/>
            </w:r>
            <w:r w:rsidRPr="009E363E">
              <w:rPr>
                <w:rStyle w:val="Hyperlink"/>
                <w:rFonts w:eastAsia="Times New Roman"/>
                <w:noProof/>
                <w:lang w:eastAsia="en-GB"/>
              </w:rPr>
              <w:t>Medium significance discharges</w:t>
            </w:r>
            <w:r>
              <w:rPr>
                <w:noProof/>
                <w:webHidden/>
              </w:rPr>
              <w:tab/>
            </w:r>
            <w:r>
              <w:rPr>
                <w:noProof/>
                <w:webHidden/>
              </w:rPr>
              <w:fldChar w:fldCharType="begin"/>
            </w:r>
            <w:r>
              <w:rPr>
                <w:noProof/>
                <w:webHidden/>
              </w:rPr>
              <w:instrText xml:space="preserve"> PAGEREF _Toc193872485 \h </w:instrText>
            </w:r>
            <w:r>
              <w:rPr>
                <w:noProof/>
                <w:webHidden/>
              </w:rPr>
            </w:r>
            <w:r>
              <w:rPr>
                <w:noProof/>
                <w:webHidden/>
              </w:rPr>
              <w:fldChar w:fldCharType="separate"/>
            </w:r>
            <w:r>
              <w:rPr>
                <w:noProof/>
                <w:webHidden/>
              </w:rPr>
              <w:t>11</w:t>
            </w:r>
            <w:r>
              <w:rPr>
                <w:noProof/>
                <w:webHidden/>
              </w:rPr>
              <w:fldChar w:fldCharType="end"/>
            </w:r>
          </w:hyperlink>
        </w:p>
        <w:p w14:paraId="4E6F1694" w14:textId="0E581D89" w:rsidR="0059498C" w:rsidRDefault="0059498C">
          <w:pPr>
            <w:pStyle w:val="TOC3"/>
            <w:tabs>
              <w:tab w:val="left" w:pos="1440"/>
              <w:tab w:val="right" w:leader="dot" w:pos="10212"/>
            </w:tabs>
            <w:rPr>
              <w:noProof/>
              <w:kern w:val="2"/>
              <w:lang w:eastAsia="en-GB"/>
              <w14:ligatures w14:val="standardContextual"/>
            </w:rPr>
          </w:pPr>
          <w:hyperlink w:anchor="_Toc193872486" w:history="1">
            <w:r w:rsidRPr="009E363E">
              <w:rPr>
                <w:rStyle w:val="Hyperlink"/>
                <w:noProof/>
              </w:rPr>
              <w:t>4.1.3</w:t>
            </w:r>
            <w:r>
              <w:rPr>
                <w:noProof/>
                <w:kern w:val="2"/>
                <w:lang w:eastAsia="en-GB"/>
                <w14:ligatures w14:val="standardContextual"/>
              </w:rPr>
              <w:tab/>
            </w:r>
            <w:r w:rsidRPr="009E363E">
              <w:rPr>
                <w:rStyle w:val="Hyperlink"/>
                <w:noProof/>
              </w:rPr>
              <w:t>High significance discharges</w:t>
            </w:r>
            <w:r>
              <w:rPr>
                <w:noProof/>
                <w:webHidden/>
              </w:rPr>
              <w:tab/>
            </w:r>
            <w:r>
              <w:rPr>
                <w:noProof/>
                <w:webHidden/>
              </w:rPr>
              <w:fldChar w:fldCharType="begin"/>
            </w:r>
            <w:r>
              <w:rPr>
                <w:noProof/>
                <w:webHidden/>
              </w:rPr>
              <w:instrText xml:space="preserve"> PAGEREF _Toc193872486 \h </w:instrText>
            </w:r>
            <w:r>
              <w:rPr>
                <w:noProof/>
                <w:webHidden/>
              </w:rPr>
            </w:r>
            <w:r>
              <w:rPr>
                <w:noProof/>
                <w:webHidden/>
              </w:rPr>
              <w:fldChar w:fldCharType="separate"/>
            </w:r>
            <w:r>
              <w:rPr>
                <w:noProof/>
                <w:webHidden/>
              </w:rPr>
              <w:t>11</w:t>
            </w:r>
            <w:r>
              <w:rPr>
                <w:noProof/>
                <w:webHidden/>
              </w:rPr>
              <w:fldChar w:fldCharType="end"/>
            </w:r>
          </w:hyperlink>
        </w:p>
        <w:p w14:paraId="16C20083" w14:textId="23D8ED78" w:rsidR="0059498C" w:rsidRDefault="0059498C">
          <w:pPr>
            <w:pStyle w:val="TOC2"/>
            <w:tabs>
              <w:tab w:val="left" w:pos="960"/>
              <w:tab w:val="right" w:leader="dot" w:pos="10212"/>
            </w:tabs>
            <w:rPr>
              <w:noProof/>
              <w:kern w:val="2"/>
              <w:lang w:eastAsia="en-GB"/>
              <w14:ligatures w14:val="standardContextual"/>
            </w:rPr>
          </w:pPr>
          <w:hyperlink w:anchor="_Toc193872487" w:history="1">
            <w:r w:rsidRPr="009E363E">
              <w:rPr>
                <w:rStyle w:val="Hyperlink"/>
                <w:noProof/>
              </w:rPr>
              <w:t>4.2</w:t>
            </w:r>
            <w:r>
              <w:rPr>
                <w:noProof/>
                <w:kern w:val="2"/>
                <w:lang w:eastAsia="en-GB"/>
                <w14:ligatures w14:val="standardContextual"/>
              </w:rPr>
              <w:tab/>
            </w:r>
            <w:r w:rsidRPr="009E363E">
              <w:rPr>
                <w:rStyle w:val="Hyperlink"/>
                <w:noProof/>
              </w:rPr>
              <w:t>CSO discharges to coastal and transitional waters</w:t>
            </w:r>
            <w:r>
              <w:rPr>
                <w:noProof/>
                <w:webHidden/>
              </w:rPr>
              <w:tab/>
            </w:r>
            <w:r>
              <w:rPr>
                <w:noProof/>
                <w:webHidden/>
              </w:rPr>
              <w:fldChar w:fldCharType="begin"/>
            </w:r>
            <w:r>
              <w:rPr>
                <w:noProof/>
                <w:webHidden/>
              </w:rPr>
              <w:instrText xml:space="preserve"> PAGEREF _Toc193872487 \h </w:instrText>
            </w:r>
            <w:r>
              <w:rPr>
                <w:noProof/>
                <w:webHidden/>
              </w:rPr>
            </w:r>
            <w:r>
              <w:rPr>
                <w:noProof/>
                <w:webHidden/>
              </w:rPr>
              <w:fldChar w:fldCharType="separate"/>
            </w:r>
            <w:r>
              <w:rPr>
                <w:noProof/>
                <w:webHidden/>
              </w:rPr>
              <w:t>13</w:t>
            </w:r>
            <w:r>
              <w:rPr>
                <w:noProof/>
                <w:webHidden/>
              </w:rPr>
              <w:fldChar w:fldCharType="end"/>
            </w:r>
          </w:hyperlink>
        </w:p>
        <w:p w14:paraId="2B9A65C7" w14:textId="1261B898" w:rsidR="0059498C" w:rsidRDefault="0059498C">
          <w:pPr>
            <w:pStyle w:val="TOC3"/>
            <w:tabs>
              <w:tab w:val="left" w:pos="1440"/>
              <w:tab w:val="right" w:leader="dot" w:pos="10212"/>
            </w:tabs>
            <w:rPr>
              <w:noProof/>
              <w:kern w:val="2"/>
              <w:lang w:eastAsia="en-GB"/>
              <w14:ligatures w14:val="standardContextual"/>
            </w:rPr>
          </w:pPr>
          <w:hyperlink w:anchor="_Toc193872488" w:history="1">
            <w:r w:rsidRPr="009E363E">
              <w:rPr>
                <w:rStyle w:val="Hyperlink"/>
                <w:noProof/>
              </w:rPr>
              <w:t>4.2.1</w:t>
            </w:r>
            <w:r>
              <w:rPr>
                <w:noProof/>
                <w:kern w:val="2"/>
                <w:lang w:eastAsia="en-GB"/>
                <w14:ligatures w14:val="standardContextual"/>
              </w:rPr>
              <w:tab/>
            </w:r>
            <w:r w:rsidRPr="009E363E">
              <w:rPr>
                <w:rStyle w:val="Hyperlink"/>
                <w:noProof/>
              </w:rPr>
              <w:t>Low significance discharges</w:t>
            </w:r>
            <w:r>
              <w:rPr>
                <w:noProof/>
                <w:webHidden/>
              </w:rPr>
              <w:tab/>
            </w:r>
            <w:r>
              <w:rPr>
                <w:noProof/>
                <w:webHidden/>
              </w:rPr>
              <w:fldChar w:fldCharType="begin"/>
            </w:r>
            <w:r>
              <w:rPr>
                <w:noProof/>
                <w:webHidden/>
              </w:rPr>
              <w:instrText xml:space="preserve"> PAGEREF _Toc193872488 \h </w:instrText>
            </w:r>
            <w:r>
              <w:rPr>
                <w:noProof/>
                <w:webHidden/>
              </w:rPr>
            </w:r>
            <w:r>
              <w:rPr>
                <w:noProof/>
                <w:webHidden/>
              </w:rPr>
              <w:fldChar w:fldCharType="separate"/>
            </w:r>
            <w:r>
              <w:rPr>
                <w:noProof/>
                <w:webHidden/>
              </w:rPr>
              <w:t>13</w:t>
            </w:r>
            <w:r>
              <w:rPr>
                <w:noProof/>
                <w:webHidden/>
              </w:rPr>
              <w:fldChar w:fldCharType="end"/>
            </w:r>
          </w:hyperlink>
        </w:p>
        <w:p w14:paraId="5D3F4202" w14:textId="6D33F97D" w:rsidR="0059498C" w:rsidRDefault="0059498C">
          <w:pPr>
            <w:pStyle w:val="TOC3"/>
            <w:tabs>
              <w:tab w:val="left" w:pos="1440"/>
              <w:tab w:val="right" w:leader="dot" w:pos="10212"/>
            </w:tabs>
            <w:rPr>
              <w:noProof/>
              <w:kern w:val="2"/>
              <w:lang w:eastAsia="en-GB"/>
              <w14:ligatures w14:val="standardContextual"/>
            </w:rPr>
          </w:pPr>
          <w:hyperlink w:anchor="_Toc193872489" w:history="1">
            <w:r w:rsidRPr="009E363E">
              <w:rPr>
                <w:rStyle w:val="Hyperlink"/>
                <w:noProof/>
              </w:rPr>
              <w:t>4.2.3</w:t>
            </w:r>
            <w:r>
              <w:rPr>
                <w:noProof/>
                <w:kern w:val="2"/>
                <w:lang w:eastAsia="en-GB"/>
                <w14:ligatures w14:val="standardContextual"/>
              </w:rPr>
              <w:tab/>
            </w:r>
            <w:r w:rsidRPr="009E363E">
              <w:rPr>
                <w:rStyle w:val="Hyperlink"/>
                <w:noProof/>
              </w:rPr>
              <w:t>Medium significance discharges</w:t>
            </w:r>
            <w:r>
              <w:rPr>
                <w:noProof/>
                <w:webHidden/>
              </w:rPr>
              <w:tab/>
            </w:r>
            <w:r>
              <w:rPr>
                <w:noProof/>
                <w:webHidden/>
              </w:rPr>
              <w:fldChar w:fldCharType="begin"/>
            </w:r>
            <w:r>
              <w:rPr>
                <w:noProof/>
                <w:webHidden/>
              </w:rPr>
              <w:instrText xml:space="preserve"> PAGEREF _Toc193872489 \h </w:instrText>
            </w:r>
            <w:r>
              <w:rPr>
                <w:noProof/>
                <w:webHidden/>
              </w:rPr>
            </w:r>
            <w:r>
              <w:rPr>
                <w:noProof/>
                <w:webHidden/>
              </w:rPr>
              <w:fldChar w:fldCharType="separate"/>
            </w:r>
            <w:r>
              <w:rPr>
                <w:noProof/>
                <w:webHidden/>
              </w:rPr>
              <w:t>13</w:t>
            </w:r>
            <w:r>
              <w:rPr>
                <w:noProof/>
                <w:webHidden/>
              </w:rPr>
              <w:fldChar w:fldCharType="end"/>
            </w:r>
          </w:hyperlink>
        </w:p>
        <w:p w14:paraId="5ED421D6" w14:textId="2A5D8C1E" w:rsidR="0059498C" w:rsidRDefault="0059498C">
          <w:pPr>
            <w:pStyle w:val="TOC3"/>
            <w:tabs>
              <w:tab w:val="left" w:pos="1440"/>
              <w:tab w:val="right" w:leader="dot" w:pos="10212"/>
            </w:tabs>
            <w:rPr>
              <w:noProof/>
              <w:kern w:val="2"/>
              <w:lang w:eastAsia="en-GB"/>
              <w14:ligatures w14:val="standardContextual"/>
            </w:rPr>
          </w:pPr>
          <w:hyperlink w:anchor="_Toc193872490" w:history="1">
            <w:r w:rsidRPr="009E363E">
              <w:rPr>
                <w:rStyle w:val="Hyperlink"/>
                <w:noProof/>
              </w:rPr>
              <w:t>4.2.3</w:t>
            </w:r>
            <w:r>
              <w:rPr>
                <w:noProof/>
                <w:kern w:val="2"/>
                <w:lang w:eastAsia="en-GB"/>
                <w14:ligatures w14:val="standardContextual"/>
              </w:rPr>
              <w:tab/>
            </w:r>
            <w:r w:rsidRPr="009E363E">
              <w:rPr>
                <w:rStyle w:val="Hyperlink"/>
                <w:noProof/>
              </w:rPr>
              <w:t>High significance discharges</w:t>
            </w:r>
            <w:r>
              <w:rPr>
                <w:noProof/>
                <w:webHidden/>
              </w:rPr>
              <w:tab/>
            </w:r>
            <w:r>
              <w:rPr>
                <w:noProof/>
                <w:webHidden/>
              </w:rPr>
              <w:fldChar w:fldCharType="begin"/>
            </w:r>
            <w:r>
              <w:rPr>
                <w:noProof/>
                <w:webHidden/>
              </w:rPr>
              <w:instrText xml:space="preserve"> PAGEREF _Toc193872490 \h </w:instrText>
            </w:r>
            <w:r>
              <w:rPr>
                <w:noProof/>
                <w:webHidden/>
              </w:rPr>
            </w:r>
            <w:r>
              <w:rPr>
                <w:noProof/>
                <w:webHidden/>
              </w:rPr>
              <w:fldChar w:fldCharType="separate"/>
            </w:r>
            <w:r>
              <w:rPr>
                <w:noProof/>
                <w:webHidden/>
              </w:rPr>
              <w:t>13</w:t>
            </w:r>
            <w:r>
              <w:rPr>
                <w:noProof/>
                <w:webHidden/>
              </w:rPr>
              <w:fldChar w:fldCharType="end"/>
            </w:r>
          </w:hyperlink>
        </w:p>
        <w:p w14:paraId="0B230A27" w14:textId="2E3150EF" w:rsidR="0059498C" w:rsidRDefault="0059498C">
          <w:pPr>
            <w:pStyle w:val="TOC3"/>
            <w:tabs>
              <w:tab w:val="left" w:pos="1440"/>
              <w:tab w:val="right" w:leader="dot" w:pos="10212"/>
            </w:tabs>
            <w:rPr>
              <w:noProof/>
              <w:kern w:val="2"/>
              <w:lang w:eastAsia="en-GB"/>
              <w14:ligatures w14:val="standardContextual"/>
            </w:rPr>
          </w:pPr>
          <w:hyperlink w:anchor="_Toc193872491" w:history="1">
            <w:r w:rsidRPr="009E363E">
              <w:rPr>
                <w:rStyle w:val="Hyperlink"/>
                <w:noProof/>
              </w:rPr>
              <w:t>4.2.4</w:t>
            </w:r>
            <w:r>
              <w:rPr>
                <w:noProof/>
                <w:kern w:val="2"/>
                <w:lang w:eastAsia="en-GB"/>
                <w14:ligatures w14:val="standardContextual"/>
              </w:rPr>
              <w:tab/>
            </w:r>
            <w:r w:rsidRPr="009E363E">
              <w:rPr>
                <w:rStyle w:val="Hyperlink"/>
                <w:noProof/>
              </w:rPr>
              <w:t>Acceptable spill frequency</w:t>
            </w:r>
            <w:r>
              <w:rPr>
                <w:noProof/>
                <w:webHidden/>
              </w:rPr>
              <w:tab/>
            </w:r>
            <w:r>
              <w:rPr>
                <w:noProof/>
                <w:webHidden/>
              </w:rPr>
              <w:fldChar w:fldCharType="begin"/>
            </w:r>
            <w:r>
              <w:rPr>
                <w:noProof/>
                <w:webHidden/>
              </w:rPr>
              <w:instrText xml:space="preserve"> PAGEREF _Toc193872491 \h </w:instrText>
            </w:r>
            <w:r>
              <w:rPr>
                <w:noProof/>
                <w:webHidden/>
              </w:rPr>
            </w:r>
            <w:r>
              <w:rPr>
                <w:noProof/>
                <w:webHidden/>
              </w:rPr>
              <w:fldChar w:fldCharType="separate"/>
            </w:r>
            <w:r>
              <w:rPr>
                <w:noProof/>
                <w:webHidden/>
              </w:rPr>
              <w:t>14</w:t>
            </w:r>
            <w:r>
              <w:rPr>
                <w:noProof/>
                <w:webHidden/>
              </w:rPr>
              <w:fldChar w:fldCharType="end"/>
            </w:r>
          </w:hyperlink>
        </w:p>
        <w:p w14:paraId="5A4933DD" w14:textId="646F2EA8" w:rsidR="0059498C" w:rsidRDefault="0059498C">
          <w:pPr>
            <w:pStyle w:val="TOC3"/>
            <w:tabs>
              <w:tab w:val="left" w:pos="1440"/>
              <w:tab w:val="right" w:leader="dot" w:pos="10212"/>
            </w:tabs>
            <w:rPr>
              <w:noProof/>
              <w:kern w:val="2"/>
              <w:lang w:eastAsia="en-GB"/>
              <w14:ligatures w14:val="standardContextual"/>
            </w:rPr>
          </w:pPr>
          <w:hyperlink w:anchor="_Toc193872492" w:history="1">
            <w:r w:rsidRPr="009E363E">
              <w:rPr>
                <w:rStyle w:val="Hyperlink"/>
                <w:noProof/>
              </w:rPr>
              <w:t>4.2.5</w:t>
            </w:r>
            <w:r>
              <w:rPr>
                <w:noProof/>
                <w:kern w:val="2"/>
                <w:lang w:eastAsia="en-GB"/>
                <w14:ligatures w14:val="standardContextual"/>
              </w:rPr>
              <w:tab/>
            </w:r>
            <w:r w:rsidRPr="009E363E">
              <w:rPr>
                <w:rStyle w:val="Hyperlink"/>
                <w:noProof/>
              </w:rPr>
              <w:t>Outfall location</w:t>
            </w:r>
            <w:r>
              <w:rPr>
                <w:noProof/>
                <w:webHidden/>
              </w:rPr>
              <w:tab/>
            </w:r>
            <w:r>
              <w:rPr>
                <w:noProof/>
                <w:webHidden/>
              </w:rPr>
              <w:fldChar w:fldCharType="begin"/>
            </w:r>
            <w:r>
              <w:rPr>
                <w:noProof/>
                <w:webHidden/>
              </w:rPr>
              <w:instrText xml:space="preserve"> PAGEREF _Toc193872492 \h </w:instrText>
            </w:r>
            <w:r>
              <w:rPr>
                <w:noProof/>
                <w:webHidden/>
              </w:rPr>
            </w:r>
            <w:r>
              <w:rPr>
                <w:noProof/>
                <w:webHidden/>
              </w:rPr>
              <w:fldChar w:fldCharType="separate"/>
            </w:r>
            <w:r>
              <w:rPr>
                <w:noProof/>
                <w:webHidden/>
              </w:rPr>
              <w:t>15</w:t>
            </w:r>
            <w:r>
              <w:rPr>
                <w:noProof/>
                <w:webHidden/>
              </w:rPr>
              <w:fldChar w:fldCharType="end"/>
            </w:r>
          </w:hyperlink>
        </w:p>
        <w:p w14:paraId="455779E1" w14:textId="15BFBF80" w:rsidR="0059498C" w:rsidRDefault="0059498C">
          <w:pPr>
            <w:pStyle w:val="TOC2"/>
            <w:tabs>
              <w:tab w:val="left" w:pos="960"/>
              <w:tab w:val="right" w:leader="dot" w:pos="10212"/>
            </w:tabs>
            <w:rPr>
              <w:noProof/>
              <w:kern w:val="2"/>
              <w:lang w:eastAsia="en-GB"/>
              <w14:ligatures w14:val="standardContextual"/>
            </w:rPr>
          </w:pPr>
          <w:hyperlink w:anchor="_Toc193872493" w:history="1">
            <w:r w:rsidRPr="009E363E">
              <w:rPr>
                <w:rStyle w:val="Hyperlink"/>
                <w:noProof/>
              </w:rPr>
              <w:t>4.3</w:t>
            </w:r>
            <w:r>
              <w:rPr>
                <w:noProof/>
                <w:kern w:val="2"/>
                <w:lang w:eastAsia="en-GB"/>
                <w14:ligatures w14:val="standardContextual"/>
              </w:rPr>
              <w:tab/>
            </w:r>
            <w:r w:rsidRPr="009E363E">
              <w:rPr>
                <w:rStyle w:val="Hyperlink"/>
                <w:noProof/>
              </w:rPr>
              <w:t>Minimum screening requirements for CSOs</w:t>
            </w:r>
            <w:r>
              <w:rPr>
                <w:noProof/>
                <w:webHidden/>
              </w:rPr>
              <w:tab/>
            </w:r>
            <w:r>
              <w:rPr>
                <w:noProof/>
                <w:webHidden/>
              </w:rPr>
              <w:fldChar w:fldCharType="begin"/>
            </w:r>
            <w:r>
              <w:rPr>
                <w:noProof/>
                <w:webHidden/>
              </w:rPr>
              <w:instrText xml:space="preserve"> PAGEREF _Toc193872493 \h </w:instrText>
            </w:r>
            <w:r>
              <w:rPr>
                <w:noProof/>
                <w:webHidden/>
              </w:rPr>
            </w:r>
            <w:r>
              <w:rPr>
                <w:noProof/>
                <w:webHidden/>
              </w:rPr>
              <w:fldChar w:fldCharType="separate"/>
            </w:r>
            <w:r>
              <w:rPr>
                <w:noProof/>
                <w:webHidden/>
              </w:rPr>
              <w:t>15</w:t>
            </w:r>
            <w:r>
              <w:rPr>
                <w:noProof/>
                <w:webHidden/>
              </w:rPr>
              <w:fldChar w:fldCharType="end"/>
            </w:r>
          </w:hyperlink>
        </w:p>
        <w:p w14:paraId="47EB8959" w14:textId="0CBF60B5" w:rsidR="0059498C" w:rsidRDefault="0059498C">
          <w:pPr>
            <w:pStyle w:val="TOC3"/>
            <w:tabs>
              <w:tab w:val="left" w:pos="1440"/>
              <w:tab w:val="right" w:leader="dot" w:pos="10212"/>
            </w:tabs>
            <w:rPr>
              <w:noProof/>
              <w:kern w:val="2"/>
              <w:lang w:eastAsia="en-GB"/>
              <w14:ligatures w14:val="standardContextual"/>
            </w:rPr>
          </w:pPr>
          <w:hyperlink w:anchor="_Toc193872494" w:history="1">
            <w:r w:rsidRPr="009E363E">
              <w:rPr>
                <w:rStyle w:val="Hyperlink"/>
                <w:noProof/>
              </w:rPr>
              <w:t>4.3.1</w:t>
            </w:r>
            <w:r>
              <w:rPr>
                <w:noProof/>
                <w:kern w:val="2"/>
                <w:lang w:eastAsia="en-GB"/>
                <w14:ligatures w14:val="standardContextual"/>
              </w:rPr>
              <w:tab/>
            </w:r>
            <w:r w:rsidRPr="009E363E">
              <w:rPr>
                <w:rStyle w:val="Hyperlink"/>
                <w:noProof/>
              </w:rPr>
              <w:t>Screens required for high amenity locations</w:t>
            </w:r>
            <w:r>
              <w:rPr>
                <w:noProof/>
                <w:webHidden/>
              </w:rPr>
              <w:tab/>
            </w:r>
            <w:r>
              <w:rPr>
                <w:noProof/>
                <w:webHidden/>
              </w:rPr>
              <w:fldChar w:fldCharType="begin"/>
            </w:r>
            <w:r>
              <w:rPr>
                <w:noProof/>
                <w:webHidden/>
              </w:rPr>
              <w:instrText xml:space="preserve"> PAGEREF _Toc193872494 \h </w:instrText>
            </w:r>
            <w:r>
              <w:rPr>
                <w:noProof/>
                <w:webHidden/>
              </w:rPr>
            </w:r>
            <w:r>
              <w:rPr>
                <w:noProof/>
                <w:webHidden/>
              </w:rPr>
              <w:fldChar w:fldCharType="separate"/>
            </w:r>
            <w:r>
              <w:rPr>
                <w:noProof/>
                <w:webHidden/>
              </w:rPr>
              <w:t>17</w:t>
            </w:r>
            <w:r>
              <w:rPr>
                <w:noProof/>
                <w:webHidden/>
              </w:rPr>
              <w:fldChar w:fldCharType="end"/>
            </w:r>
          </w:hyperlink>
        </w:p>
        <w:p w14:paraId="320108A7" w14:textId="0C54A7D0" w:rsidR="0059498C" w:rsidRDefault="0059498C">
          <w:pPr>
            <w:pStyle w:val="TOC3"/>
            <w:tabs>
              <w:tab w:val="left" w:pos="1440"/>
              <w:tab w:val="right" w:leader="dot" w:pos="10212"/>
            </w:tabs>
            <w:rPr>
              <w:noProof/>
              <w:kern w:val="2"/>
              <w:lang w:eastAsia="en-GB"/>
              <w14:ligatures w14:val="standardContextual"/>
            </w:rPr>
          </w:pPr>
          <w:hyperlink w:anchor="_Toc193872495" w:history="1">
            <w:r w:rsidRPr="009E363E">
              <w:rPr>
                <w:rStyle w:val="Hyperlink"/>
                <w:noProof/>
              </w:rPr>
              <w:t>4.3.2</w:t>
            </w:r>
            <w:r>
              <w:rPr>
                <w:noProof/>
                <w:kern w:val="2"/>
                <w:lang w:eastAsia="en-GB"/>
                <w14:ligatures w14:val="standardContextual"/>
              </w:rPr>
              <w:tab/>
            </w:r>
            <w:r w:rsidRPr="009E363E">
              <w:rPr>
                <w:rStyle w:val="Hyperlink"/>
                <w:noProof/>
              </w:rPr>
              <w:t>Screens required for moderate amenity locations</w:t>
            </w:r>
            <w:r>
              <w:rPr>
                <w:noProof/>
                <w:webHidden/>
              </w:rPr>
              <w:tab/>
            </w:r>
            <w:r>
              <w:rPr>
                <w:noProof/>
                <w:webHidden/>
              </w:rPr>
              <w:fldChar w:fldCharType="begin"/>
            </w:r>
            <w:r>
              <w:rPr>
                <w:noProof/>
                <w:webHidden/>
              </w:rPr>
              <w:instrText xml:space="preserve"> PAGEREF _Toc193872495 \h </w:instrText>
            </w:r>
            <w:r>
              <w:rPr>
                <w:noProof/>
                <w:webHidden/>
              </w:rPr>
            </w:r>
            <w:r>
              <w:rPr>
                <w:noProof/>
                <w:webHidden/>
              </w:rPr>
              <w:fldChar w:fldCharType="separate"/>
            </w:r>
            <w:r>
              <w:rPr>
                <w:noProof/>
                <w:webHidden/>
              </w:rPr>
              <w:t>17</w:t>
            </w:r>
            <w:r>
              <w:rPr>
                <w:noProof/>
                <w:webHidden/>
              </w:rPr>
              <w:fldChar w:fldCharType="end"/>
            </w:r>
          </w:hyperlink>
        </w:p>
        <w:p w14:paraId="6CB5C907" w14:textId="2E8650BA" w:rsidR="0059498C" w:rsidRDefault="0059498C">
          <w:pPr>
            <w:pStyle w:val="TOC3"/>
            <w:tabs>
              <w:tab w:val="left" w:pos="1440"/>
              <w:tab w:val="right" w:leader="dot" w:pos="10212"/>
            </w:tabs>
            <w:rPr>
              <w:noProof/>
              <w:kern w:val="2"/>
              <w:lang w:eastAsia="en-GB"/>
              <w14:ligatures w14:val="standardContextual"/>
            </w:rPr>
          </w:pPr>
          <w:hyperlink w:anchor="_Toc193872496" w:history="1">
            <w:r w:rsidRPr="009E363E">
              <w:rPr>
                <w:rStyle w:val="Hyperlink"/>
                <w:noProof/>
              </w:rPr>
              <w:t>4.3.3</w:t>
            </w:r>
            <w:r>
              <w:rPr>
                <w:noProof/>
                <w:kern w:val="2"/>
                <w:lang w:eastAsia="en-GB"/>
                <w14:ligatures w14:val="standardContextual"/>
              </w:rPr>
              <w:tab/>
            </w:r>
            <w:r w:rsidRPr="009E363E">
              <w:rPr>
                <w:rStyle w:val="Hyperlink"/>
                <w:noProof/>
              </w:rPr>
              <w:t>Screens required for low amenity locations</w:t>
            </w:r>
            <w:r>
              <w:rPr>
                <w:noProof/>
                <w:webHidden/>
              </w:rPr>
              <w:tab/>
            </w:r>
            <w:r>
              <w:rPr>
                <w:noProof/>
                <w:webHidden/>
              </w:rPr>
              <w:fldChar w:fldCharType="begin"/>
            </w:r>
            <w:r>
              <w:rPr>
                <w:noProof/>
                <w:webHidden/>
              </w:rPr>
              <w:instrText xml:space="preserve"> PAGEREF _Toc193872496 \h </w:instrText>
            </w:r>
            <w:r>
              <w:rPr>
                <w:noProof/>
                <w:webHidden/>
              </w:rPr>
            </w:r>
            <w:r>
              <w:rPr>
                <w:noProof/>
                <w:webHidden/>
              </w:rPr>
              <w:fldChar w:fldCharType="separate"/>
            </w:r>
            <w:r>
              <w:rPr>
                <w:noProof/>
                <w:webHidden/>
              </w:rPr>
              <w:t>18</w:t>
            </w:r>
            <w:r>
              <w:rPr>
                <w:noProof/>
                <w:webHidden/>
              </w:rPr>
              <w:fldChar w:fldCharType="end"/>
            </w:r>
          </w:hyperlink>
        </w:p>
        <w:p w14:paraId="14EE13FF" w14:textId="1E851857" w:rsidR="0059498C" w:rsidRDefault="0059498C">
          <w:pPr>
            <w:pStyle w:val="TOC3"/>
            <w:tabs>
              <w:tab w:val="left" w:pos="1440"/>
              <w:tab w:val="right" w:leader="dot" w:pos="10212"/>
            </w:tabs>
            <w:rPr>
              <w:noProof/>
              <w:kern w:val="2"/>
              <w:lang w:eastAsia="en-GB"/>
              <w14:ligatures w14:val="standardContextual"/>
            </w:rPr>
          </w:pPr>
          <w:hyperlink w:anchor="_Toc193872497" w:history="1">
            <w:r w:rsidRPr="009E363E">
              <w:rPr>
                <w:rStyle w:val="Hyperlink"/>
                <w:noProof/>
              </w:rPr>
              <w:t>4.3.4</w:t>
            </w:r>
            <w:r>
              <w:rPr>
                <w:noProof/>
                <w:kern w:val="2"/>
                <w:lang w:eastAsia="en-GB"/>
                <w14:ligatures w14:val="standardContextual"/>
              </w:rPr>
              <w:tab/>
            </w:r>
            <w:r w:rsidRPr="009E363E">
              <w:rPr>
                <w:rStyle w:val="Hyperlink"/>
                <w:noProof/>
              </w:rPr>
              <w:t>Screens required for non-amenity locations</w:t>
            </w:r>
            <w:r>
              <w:rPr>
                <w:noProof/>
                <w:webHidden/>
              </w:rPr>
              <w:tab/>
            </w:r>
            <w:r>
              <w:rPr>
                <w:noProof/>
                <w:webHidden/>
              </w:rPr>
              <w:fldChar w:fldCharType="begin"/>
            </w:r>
            <w:r>
              <w:rPr>
                <w:noProof/>
                <w:webHidden/>
              </w:rPr>
              <w:instrText xml:space="preserve"> PAGEREF _Toc193872497 \h </w:instrText>
            </w:r>
            <w:r>
              <w:rPr>
                <w:noProof/>
                <w:webHidden/>
              </w:rPr>
            </w:r>
            <w:r>
              <w:rPr>
                <w:noProof/>
                <w:webHidden/>
              </w:rPr>
              <w:fldChar w:fldCharType="separate"/>
            </w:r>
            <w:r>
              <w:rPr>
                <w:noProof/>
                <w:webHidden/>
              </w:rPr>
              <w:t>18</w:t>
            </w:r>
            <w:r>
              <w:rPr>
                <w:noProof/>
                <w:webHidden/>
              </w:rPr>
              <w:fldChar w:fldCharType="end"/>
            </w:r>
          </w:hyperlink>
        </w:p>
        <w:p w14:paraId="0C81DA42" w14:textId="021654FF" w:rsidR="0059498C" w:rsidRDefault="0059498C">
          <w:pPr>
            <w:pStyle w:val="TOC3"/>
            <w:tabs>
              <w:tab w:val="left" w:pos="1440"/>
              <w:tab w:val="right" w:leader="dot" w:pos="10212"/>
            </w:tabs>
            <w:rPr>
              <w:noProof/>
              <w:kern w:val="2"/>
              <w:lang w:eastAsia="en-GB"/>
              <w14:ligatures w14:val="standardContextual"/>
            </w:rPr>
          </w:pPr>
          <w:hyperlink w:anchor="_Toc193872498" w:history="1">
            <w:r w:rsidRPr="009E363E">
              <w:rPr>
                <w:rStyle w:val="Hyperlink"/>
                <w:noProof/>
              </w:rPr>
              <w:t>4.3.5</w:t>
            </w:r>
            <w:r>
              <w:rPr>
                <w:noProof/>
                <w:kern w:val="2"/>
                <w:lang w:eastAsia="en-GB"/>
                <w14:ligatures w14:val="standardContextual"/>
              </w:rPr>
              <w:tab/>
            </w:r>
            <w:r w:rsidRPr="009E363E">
              <w:rPr>
                <w:rStyle w:val="Hyperlink"/>
                <w:noProof/>
              </w:rPr>
              <w:t>Screens required for existing CSOs</w:t>
            </w:r>
            <w:r>
              <w:rPr>
                <w:noProof/>
                <w:webHidden/>
              </w:rPr>
              <w:tab/>
            </w:r>
            <w:r>
              <w:rPr>
                <w:noProof/>
                <w:webHidden/>
              </w:rPr>
              <w:fldChar w:fldCharType="begin"/>
            </w:r>
            <w:r>
              <w:rPr>
                <w:noProof/>
                <w:webHidden/>
              </w:rPr>
              <w:instrText xml:space="preserve"> PAGEREF _Toc193872498 \h </w:instrText>
            </w:r>
            <w:r>
              <w:rPr>
                <w:noProof/>
                <w:webHidden/>
              </w:rPr>
            </w:r>
            <w:r>
              <w:rPr>
                <w:noProof/>
                <w:webHidden/>
              </w:rPr>
              <w:fldChar w:fldCharType="separate"/>
            </w:r>
            <w:r>
              <w:rPr>
                <w:noProof/>
                <w:webHidden/>
              </w:rPr>
              <w:t>18</w:t>
            </w:r>
            <w:r>
              <w:rPr>
                <w:noProof/>
                <w:webHidden/>
              </w:rPr>
              <w:fldChar w:fldCharType="end"/>
            </w:r>
          </w:hyperlink>
        </w:p>
        <w:p w14:paraId="6C9EC76D" w14:textId="30D00C28" w:rsidR="0059498C" w:rsidRDefault="0059498C">
          <w:pPr>
            <w:pStyle w:val="TOC2"/>
            <w:tabs>
              <w:tab w:val="left" w:pos="960"/>
              <w:tab w:val="right" w:leader="dot" w:pos="10212"/>
            </w:tabs>
            <w:rPr>
              <w:noProof/>
              <w:kern w:val="2"/>
              <w:lang w:eastAsia="en-GB"/>
              <w14:ligatures w14:val="standardContextual"/>
            </w:rPr>
          </w:pPr>
          <w:hyperlink w:anchor="_Toc193872499" w:history="1">
            <w:r w:rsidRPr="009E363E">
              <w:rPr>
                <w:rStyle w:val="Hyperlink"/>
                <w:noProof/>
              </w:rPr>
              <w:t>4.4</w:t>
            </w:r>
            <w:r>
              <w:rPr>
                <w:noProof/>
                <w:kern w:val="2"/>
                <w:lang w:eastAsia="en-GB"/>
                <w14:ligatures w14:val="standardContextual"/>
              </w:rPr>
              <w:tab/>
            </w:r>
            <w:r w:rsidRPr="009E363E">
              <w:rPr>
                <w:rStyle w:val="Hyperlink"/>
                <w:noProof/>
              </w:rPr>
              <w:t>Maintenance requirements for CSO screens</w:t>
            </w:r>
            <w:r>
              <w:rPr>
                <w:noProof/>
                <w:webHidden/>
              </w:rPr>
              <w:tab/>
            </w:r>
            <w:r>
              <w:rPr>
                <w:noProof/>
                <w:webHidden/>
              </w:rPr>
              <w:fldChar w:fldCharType="begin"/>
            </w:r>
            <w:r>
              <w:rPr>
                <w:noProof/>
                <w:webHidden/>
              </w:rPr>
              <w:instrText xml:space="preserve"> PAGEREF _Toc193872499 \h </w:instrText>
            </w:r>
            <w:r>
              <w:rPr>
                <w:noProof/>
                <w:webHidden/>
              </w:rPr>
            </w:r>
            <w:r>
              <w:rPr>
                <w:noProof/>
                <w:webHidden/>
              </w:rPr>
              <w:fldChar w:fldCharType="separate"/>
            </w:r>
            <w:r>
              <w:rPr>
                <w:noProof/>
                <w:webHidden/>
              </w:rPr>
              <w:t>19</w:t>
            </w:r>
            <w:r>
              <w:rPr>
                <w:noProof/>
                <w:webHidden/>
              </w:rPr>
              <w:fldChar w:fldCharType="end"/>
            </w:r>
          </w:hyperlink>
        </w:p>
        <w:p w14:paraId="22559C4E" w14:textId="28C2E93B" w:rsidR="0059498C" w:rsidRDefault="0059498C">
          <w:pPr>
            <w:pStyle w:val="TOC1"/>
            <w:tabs>
              <w:tab w:val="left" w:pos="480"/>
              <w:tab w:val="right" w:leader="dot" w:pos="10212"/>
            </w:tabs>
            <w:rPr>
              <w:noProof/>
              <w:kern w:val="2"/>
              <w:lang w:eastAsia="en-GB"/>
              <w14:ligatures w14:val="standardContextual"/>
            </w:rPr>
          </w:pPr>
          <w:hyperlink w:anchor="_Toc193872500" w:history="1">
            <w:r w:rsidRPr="009E363E">
              <w:rPr>
                <w:rStyle w:val="Hyperlink"/>
                <w:rFonts w:eastAsia="Times New Roman"/>
                <w:noProof/>
              </w:rPr>
              <w:t>5.</w:t>
            </w:r>
            <w:r>
              <w:rPr>
                <w:noProof/>
                <w:kern w:val="2"/>
                <w:lang w:eastAsia="en-GB"/>
                <w14:ligatures w14:val="standardContextual"/>
              </w:rPr>
              <w:tab/>
            </w:r>
            <w:r w:rsidRPr="009E363E">
              <w:rPr>
                <w:rStyle w:val="Hyperlink"/>
                <w:rFonts w:eastAsia="Times New Roman"/>
                <w:noProof/>
              </w:rPr>
              <w:t>Designing Storm tanks</w:t>
            </w:r>
            <w:r>
              <w:rPr>
                <w:noProof/>
                <w:webHidden/>
              </w:rPr>
              <w:tab/>
            </w:r>
            <w:r>
              <w:rPr>
                <w:noProof/>
                <w:webHidden/>
              </w:rPr>
              <w:fldChar w:fldCharType="begin"/>
            </w:r>
            <w:r>
              <w:rPr>
                <w:noProof/>
                <w:webHidden/>
              </w:rPr>
              <w:instrText xml:space="preserve"> PAGEREF _Toc193872500 \h </w:instrText>
            </w:r>
            <w:r>
              <w:rPr>
                <w:noProof/>
                <w:webHidden/>
              </w:rPr>
            </w:r>
            <w:r>
              <w:rPr>
                <w:noProof/>
                <w:webHidden/>
              </w:rPr>
              <w:fldChar w:fldCharType="separate"/>
            </w:r>
            <w:r>
              <w:rPr>
                <w:noProof/>
                <w:webHidden/>
              </w:rPr>
              <w:t>19</w:t>
            </w:r>
            <w:r>
              <w:rPr>
                <w:noProof/>
                <w:webHidden/>
              </w:rPr>
              <w:fldChar w:fldCharType="end"/>
            </w:r>
          </w:hyperlink>
        </w:p>
        <w:p w14:paraId="495A31FB" w14:textId="038B609D" w:rsidR="0059498C" w:rsidRDefault="0059498C">
          <w:pPr>
            <w:pStyle w:val="TOC2"/>
            <w:tabs>
              <w:tab w:val="left" w:pos="960"/>
              <w:tab w:val="right" w:leader="dot" w:pos="10212"/>
            </w:tabs>
            <w:rPr>
              <w:noProof/>
              <w:kern w:val="2"/>
              <w:lang w:eastAsia="en-GB"/>
              <w14:ligatures w14:val="standardContextual"/>
            </w:rPr>
          </w:pPr>
          <w:hyperlink w:anchor="_Toc193872501" w:history="1">
            <w:r w:rsidRPr="009E363E">
              <w:rPr>
                <w:rStyle w:val="Hyperlink"/>
                <w:noProof/>
              </w:rPr>
              <w:t>5.1</w:t>
            </w:r>
            <w:r>
              <w:rPr>
                <w:noProof/>
                <w:kern w:val="2"/>
                <w:lang w:eastAsia="en-GB"/>
                <w14:ligatures w14:val="standardContextual"/>
              </w:rPr>
              <w:tab/>
            </w:r>
            <w:r w:rsidRPr="009E363E">
              <w:rPr>
                <w:rStyle w:val="Hyperlink"/>
                <w:noProof/>
              </w:rPr>
              <w:t>Storm tank capacity</w:t>
            </w:r>
            <w:r>
              <w:rPr>
                <w:noProof/>
                <w:webHidden/>
              </w:rPr>
              <w:tab/>
            </w:r>
            <w:r>
              <w:rPr>
                <w:noProof/>
                <w:webHidden/>
              </w:rPr>
              <w:fldChar w:fldCharType="begin"/>
            </w:r>
            <w:r>
              <w:rPr>
                <w:noProof/>
                <w:webHidden/>
              </w:rPr>
              <w:instrText xml:space="preserve"> PAGEREF _Toc193872501 \h </w:instrText>
            </w:r>
            <w:r>
              <w:rPr>
                <w:noProof/>
                <w:webHidden/>
              </w:rPr>
            </w:r>
            <w:r>
              <w:rPr>
                <w:noProof/>
                <w:webHidden/>
              </w:rPr>
              <w:fldChar w:fldCharType="separate"/>
            </w:r>
            <w:r>
              <w:rPr>
                <w:noProof/>
                <w:webHidden/>
              </w:rPr>
              <w:t>19</w:t>
            </w:r>
            <w:r>
              <w:rPr>
                <w:noProof/>
                <w:webHidden/>
              </w:rPr>
              <w:fldChar w:fldCharType="end"/>
            </w:r>
          </w:hyperlink>
        </w:p>
        <w:p w14:paraId="243C3544" w14:textId="4BA79396" w:rsidR="0059498C" w:rsidRDefault="0059498C">
          <w:pPr>
            <w:pStyle w:val="TOC2"/>
            <w:tabs>
              <w:tab w:val="left" w:pos="960"/>
              <w:tab w:val="right" w:leader="dot" w:pos="10212"/>
            </w:tabs>
            <w:rPr>
              <w:noProof/>
              <w:kern w:val="2"/>
              <w:lang w:eastAsia="en-GB"/>
              <w14:ligatures w14:val="standardContextual"/>
            </w:rPr>
          </w:pPr>
          <w:hyperlink w:anchor="_Toc193872502" w:history="1">
            <w:r w:rsidRPr="009E363E">
              <w:rPr>
                <w:rStyle w:val="Hyperlink"/>
                <w:rFonts w:eastAsia="Times New Roman"/>
                <w:noProof/>
              </w:rPr>
              <w:t>5.2</w:t>
            </w:r>
            <w:r>
              <w:rPr>
                <w:noProof/>
                <w:kern w:val="2"/>
                <w:lang w:eastAsia="en-GB"/>
                <w14:ligatures w14:val="standardContextual"/>
              </w:rPr>
              <w:tab/>
            </w:r>
            <w:r w:rsidRPr="009E363E">
              <w:rPr>
                <w:rStyle w:val="Hyperlink"/>
                <w:rFonts w:eastAsia="Times New Roman"/>
                <w:noProof/>
              </w:rPr>
              <w:t>Storm tank configuration</w:t>
            </w:r>
            <w:r>
              <w:rPr>
                <w:noProof/>
                <w:webHidden/>
              </w:rPr>
              <w:tab/>
            </w:r>
            <w:r>
              <w:rPr>
                <w:noProof/>
                <w:webHidden/>
              </w:rPr>
              <w:fldChar w:fldCharType="begin"/>
            </w:r>
            <w:r>
              <w:rPr>
                <w:noProof/>
                <w:webHidden/>
              </w:rPr>
              <w:instrText xml:space="preserve"> PAGEREF _Toc193872502 \h </w:instrText>
            </w:r>
            <w:r>
              <w:rPr>
                <w:noProof/>
                <w:webHidden/>
              </w:rPr>
            </w:r>
            <w:r>
              <w:rPr>
                <w:noProof/>
                <w:webHidden/>
              </w:rPr>
              <w:fldChar w:fldCharType="separate"/>
            </w:r>
            <w:r>
              <w:rPr>
                <w:noProof/>
                <w:webHidden/>
              </w:rPr>
              <w:t>21</w:t>
            </w:r>
            <w:r>
              <w:rPr>
                <w:noProof/>
                <w:webHidden/>
              </w:rPr>
              <w:fldChar w:fldCharType="end"/>
            </w:r>
          </w:hyperlink>
        </w:p>
        <w:p w14:paraId="34D42554" w14:textId="2F298903" w:rsidR="0059498C" w:rsidRDefault="0059498C">
          <w:pPr>
            <w:pStyle w:val="TOC1"/>
            <w:tabs>
              <w:tab w:val="left" w:pos="480"/>
              <w:tab w:val="right" w:leader="dot" w:pos="10212"/>
            </w:tabs>
            <w:rPr>
              <w:noProof/>
              <w:kern w:val="2"/>
              <w:lang w:eastAsia="en-GB"/>
              <w14:ligatures w14:val="standardContextual"/>
            </w:rPr>
          </w:pPr>
          <w:hyperlink w:anchor="_Toc193872503" w:history="1">
            <w:r w:rsidRPr="009E363E">
              <w:rPr>
                <w:rStyle w:val="Hyperlink"/>
                <w:rFonts w:eastAsia="Times New Roman"/>
                <w:noProof/>
              </w:rPr>
              <w:t>6.</w:t>
            </w:r>
            <w:r>
              <w:rPr>
                <w:noProof/>
                <w:kern w:val="2"/>
                <w:lang w:eastAsia="en-GB"/>
                <w14:ligatures w14:val="standardContextual"/>
              </w:rPr>
              <w:tab/>
            </w:r>
            <w:r w:rsidRPr="009E363E">
              <w:rPr>
                <w:rStyle w:val="Hyperlink"/>
                <w:rFonts w:eastAsia="Times New Roman"/>
                <w:noProof/>
              </w:rPr>
              <w:t>Pumping station EOs</w:t>
            </w:r>
            <w:r>
              <w:rPr>
                <w:noProof/>
                <w:webHidden/>
              </w:rPr>
              <w:tab/>
            </w:r>
            <w:r>
              <w:rPr>
                <w:noProof/>
                <w:webHidden/>
              </w:rPr>
              <w:fldChar w:fldCharType="begin"/>
            </w:r>
            <w:r>
              <w:rPr>
                <w:noProof/>
                <w:webHidden/>
              </w:rPr>
              <w:instrText xml:space="preserve"> PAGEREF _Toc193872503 \h </w:instrText>
            </w:r>
            <w:r>
              <w:rPr>
                <w:noProof/>
                <w:webHidden/>
              </w:rPr>
            </w:r>
            <w:r>
              <w:rPr>
                <w:noProof/>
                <w:webHidden/>
              </w:rPr>
              <w:fldChar w:fldCharType="separate"/>
            </w:r>
            <w:r>
              <w:rPr>
                <w:noProof/>
                <w:webHidden/>
              </w:rPr>
              <w:t>21</w:t>
            </w:r>
            <w:r>
              <w:rPr>
                <w:noProof/>
                <w:webHidden/>
              </w:rPr>
              <w:fldChar w:fldCharType="end"/>
            </w:r>
          </w:hyperlink>
        </w:p>
        <w:p w14:paraId="49A8E720" w14:textId="21454D7C" w:rsidR="0059498C" w:rsidRDefault="0059498C">
          <w:pPr>
            <w:pStyle w:val="TOC1"/>
            <w:tabs>
              <w:tab w:val="left" w:pos="480"/>
              <w:tab w:val="right" w:leader="dot" w:pos="10212"/>
            </w:tabs>
            <w:rPr>
              <w:noProof/>
              <w:kern w:val="2"/>
              <w:lang w:eastAsia="en-GB"/>
              <w14:ligatures w14:val="standardContextual"/>
            </w:rPr>
          </w:pPr>
          <w:hyperlink w:anchor="_Toc193872504" w:history="1">
            <w:r w:rsidRPr="009E363E">
              <w:rPr>
                <w:rStyle w:val="Hyperlink"/>
                <w:rFonts w:eastAsia="Times New Roman"/>
                <w:noProof/>
              </w:rPr>
              <w:t>7.</w:t>
            </w:r>
            <w:r>
              <w:rPr>
                <w:noProof/>
                <w:kern w:val="2"/>
                <w:lang w:eastAsia="en-GB"/>
                <w14:ligatures w14:val="standardContextual"/>
              </w:rPr>
              <w:tab/>
            </w:r>
            <w:r w:rsidRPr="009E363E">
              <w:rPr>
                <w:rStyle w:val="Hyperlink"/>
                <w:rFonts w:eastAsia="Times New Roman"/>
                <w:noProof/>
              </w:rPr>
              <w:t>Monitoring and telemetry requirements</w:t>
            </w:r>
            <w:r>
              <w:rPr>
                <w:noProof/>
                <w:webHidden/>
              </w:rPr>
              <w:tab/>
            </w:r>
            <w:r>
              <w:rPr>
                <w:noProof/>
                <w:webHidden/>
              </w:rPr>
              <w:fldChar w:fldCharType="begin"/>
            </w:r>
            <w:r>
              <w:rPr>
                <w:noProof/>
                <w:webHidden/>
              </w:rPr>
              <w:instrText xml:space="preserve"> PAGEREF _Toc193872504 \h </w:instrText>
            </w:r>
            <w:r>
              <w:rPr>
                <w:noProof/>
                <w:webHidden/>
              </w:rPr>
            </w:r>
            <w:r>
              <w:rPr>
                <w:noProof/>
                <w:webHidden/>
              </w:rPr>
              <w:fldChar w:fldCharType="separate"/>
            </w:r>
            <w:r>
              <w:rPr>
                <w:noProof/>
                <w:webHidden/>
              </w:rPr>
              <w:t>23</w:t>
            </w:r>
            <w:r>
              <w:rPr>
                <w:noProof/>
                <w:webHidden/>
              </w:rPr>
              <w:fldChar w:fldCharType="end"/>
            </w:r>
          </w:hyperlink>
        </w:p>
        <w:p w14:paraId="6FB787C5" w14:textId="1936F9E1" w:rsidR="0059498C" w:rsidRDefault="0059498C">
          <w:pPr>
            <w:pStyle w:val="TOC2"/>
            <w:tabs>
              <w:tab w:val="left" w:pos="960"/>
              <w:tab w:val="right" w:leader="dot" w:pos="10212"/>
            </w:tabs>
            <w:rPr>
              <w:noProof/>
              <w:kern w:val="2"/>
              <w:lang w:eastAsia="en-GB"/>
              <w14:ligatures w14:val="standardContextual"/>
            </w:rPr>
          </w:pPr>
          <w:hyperlink w:anchor="_Toc193872505" w:history="1">
            <w:r w:rsidRPr="009E363E">
              <w:rPr>
                <w:rStyle w:val="Hyperlink"/>
                <w:noProof/>
              </w:rPr>
              <w:t>7.1</w:t>
            </w:r>
            <w:r>
              <w:rPr>
                <w:noProof/>
                <w:kern w:val="2"/>
                <w:lang w:eastAsia="en-GB"/>
                <w14:ligatures w14:val="standardContextual"/>
              </w:rPr>
              <w:tab/>
            </w:r>
            <w:r w:rsidRPr="009E363E">
              <w:rPr>
                <w:rStyle w:val="Hyperlink"/>
                <w:noProof/>
              </w:rPr>
              <w:t>Screen monitoring/telemetry</w:t>
            </w:r>
            <w:r>
              <w:rPr>
                <w:noProof/>
                <w:webHidden/>
              </w:rPr>
              <w:tab/>
            </w:r>
            <w:r>
              <w:rPr>
                <w:noProof/>
                <w:webHidden/>
              </w:rPr>
              <w:fldChar w:fldCharType="begin"/>
            </w:r>
            <w:r>
              <w:rPr>
                <w:noProof/>
                <w:webHidden/>
              </w:rPr>
              <w:instrText xml:space="preserve"> PAGEREF _Toc193872505 \h </w:instrText>
            </w:r>
            <w:r>
              <w:rPr>
                <w:noProof/>
                <w:webHidden/>
              </w:rPr>
            </w:r>
            <w:r>
              <w:rPr>
                <w:noProof/>
                <w:webHidden/>
              </w:rPr>
              <w:fldChar w:fldCharType="separate"/>
            </w:r>
            <w:r>
              <w:rPr>
                <w:noProof/>
                <w:webHidden/>
              </w:rPr>
              <w:t>23</w:t>
            </w:r>
            <w:r>
              <w:rPr>
                <w:noProof/>
                <w:webHidden/>
              </w:rPr>
              <w:fldChar w:fldCharType="end"/>
            </w:r>
          </w:hyperlink>
        </w:p>
        <w:p w14:paraId="6EE085E7" w14:textId="4680756F" w:rsidR="0059498C" w:rsidRDefault="0059498C">
          <w:pPr>
            <w:pStyle w:val="TOC2"/>
            <w:tabs>
              <w:tab w:val="left" w:pos="960"/>
              <w:tab w:val="right" w:leader="dot" w:pos="10212"/>
            </w:tabs>
            <w:rPr>
              <w:noProof/>
              <w:kern w:val="2"/>
              <w:lang w:eastAsia="en-GB"/>
              <w14:ligatures w14:val="standardContextual"/>
            </w:rPr>
          </w:pPr>
          <w:hyperlink w:anchor="_Toc193872506" w:history="1">
            <w:r w:rsidRPr="009E363E">
              <w:rPr>
                <w:rStyle w:val="Hyperlink"/>
                <w:noProof/>
              </w:rPr>
              <w:t>7.2</w:t>
            </w:r>
            <w:r>
              <w:rPr>
                <w:noProof/>
                <w:kern w:val="2"/>
                <w:lang w:eastAsia="en-GB"/>
                <w14:ligatures w14:val="standardContextual"/>
              </w:rPr>
              <w:tab/>
            </w:r>
            <w:r w:rsidRPr="009E363E">
              <w:rPr>
                <w:rStyle w:val="Hyperlink"/>
                <w:noProof/>
              </w:rPr>
              <w:t>Overflow monitoring/telemetry</w:t>
            </w:r>
            <w:r>
              <w:rPr>
                <w:noProof/>
                <w:webHidden/>
              </w:rPr>
              <w:tab/>
            </w:r>
            <w:r>
              <w:rPr>
                <w:noProof/>
                <w:webHidden/>
              </w:rPr>
              <w:fldChar w:fldCharType="begin"/>
            </w:r>
            <w:r>
              <w:rPr>
                <w:noProof/>
                <w:webHidden/>
              </w:rPr>
              <w:instrText xml:space="preserve"> PAGEREF _Toc193872506 \h </w:instrText>
            </w:r>
            <w:r>
              <w:rPr>
                <w:noProof/>
                <w:webHidden/>
              </w:rPr>
            </w:r>
            <w:r>
              <w:rPr>
                <w:noProof/>
                <w:webHidden/>
              </w:rPr>
              <w:fldChar w:fldCharType="separate"/>
            </w:r>
            <w:r>
              <w:rPr>
                <w:noProof/>
                <w:webHidden/>
              </w:rPr>
              <w:t>23</w:t>
            </w:r>
            <w:r>
              <w:rPr>
                <w:noProof/>
                <w:webHidden/>
              </w:rPr>
              <w:fldChar w:fldCharType="end"/>
            </w:r>
          </w:hyperlink>
        </w:p>
        <w:p w14:paraId="367DDA24" w14:textId="382C331E" w:rsidR="0059498C" w:rsidRDefault="0059498C">
          <w:pPr>
            <w:pStyle w:val="TOC3"/>
            <w:tabs>
              <w:tab w:val="left" w:pos="1440"/>
              <w:tab w:val="right" w:leader="dot" w:pos="10212"/>
            </w:tabs>
            <w:rPr>
              <w:noProof/>
              <w:kern w:val="2"/>
              <w:lang w:eastAsia="en-GB"/>
              <w14:ligatures w14:val="standardContextual"/>
            </w:rPr>
          </w:pPr>
          <w:hyperlink w:anchor="_Toc193872507" w:history="1">
            <w:r w:rsidRPr="009E363E">
              <w:rPr>
                <w:rStyle w:val="Hyperlink"/>
                <w:noProof/>
              </w:rPr>
              <w:t>7.2.1</w:t>
            </w:r>
            <w:r>
              <w:rPr>
                <w:noProof/>
                <w:kern w:val="2"/>
                <w:lang w:eastAsia="en-GB"/>
                <w14:ligatures w14:val="standardContextual"/>
              </w:rPr>
              <w:tab/>
            </w:r>
            <w:r w:rsidRPr="009E363E">
              <w:rPr>
                <w:rStyle w:val="Hyperlink"/>
                <w:noProof/>
              </w:rPr>
              <w:t>Event Monitoring</w:t>
            </w:r>
            <w:r>
              <w:rPr>
                <w:noProof/>
                <w:webHidden/>
              </w:rPr>
              <w:tab/>
            </w:r>
            <w:r>
              <w:rPr>
                <w:noProof/>
                <w:webHidden/>
              </w:rPr>
              <w:fldChar w:fldCharType="begin"/>
            </w:r>
            <w:r>
              <w:rPr>
                <w:noProof/>
                <w:webHidden/>
              </w:rPr>
              <w:instrText xml:space="preserve"> PAGEREF _Toc193872507 \h </w:instrText>
            </w:r>
            <w:r>
              <w:rPr>
                <w:noProof/>
                <w:webHidden/>
              </w:rPr>
            </w:r>
            <w:r>
              <w:rPr>
                <w:noProof/>
                <w:webHidden/>
              </w:rPr>
              <w:fldChar w:fldCharType="separate"/>
            </w:r>
            <w:r>
              <w:rPr>
                <w:noProof/>
                <w:webHidden/>
              </w:rPr>
              <w:t>24</w:t>
            </w:r>
            <w:r>
              <w:rPr>
                <w:noProof/>
                <w:webHidden/>
              </w:rPr>
              <w:fldChar w:fldCharType="end"/>
            </w:r>
          </w:hyperlink>
        </w:p>
        <w:p w14:paraId="15266E39" w14:textId="3069FB8A" w:rsidR="0059498C" w:rsidRDefault="0059498C">
          <w:pPr>
            <w:pStyle w:val="TOC3"/>
            <w:tabs>
              <w:tab w:val="left" w:pos="1440"/>
              <w:tab w:val="right" w:leader="dot" w:pos="10212"/>
            </w:tabs>
            <w:rPr>
              <w:noProof/>
              <w:kern w:val="2"/>
              <w:lang w:eastAsia="en-GB"/>
              <w14:ligatures w14:val="standardContextual"/>
            </w:rPr>
          </w:pPr>
          <w:hyperlink w:anchor="_Toc193872508" w:history="1">
            <w:r w:rsidRPr="009E363E">
              <w:rPr>
                <w:rStyle w:val="Hyperlink"/>
                <w:noProof/>
              </w:rPr>
              <w:t>7.2.2</w:t>
            </w:r>
            <w:r>
              <w:rPr>
                <w:noProof/>
                <w:kern w:val="2"/>
                <w:lang w:eastAsia="en-GB"/>
                <w14:ligatures w14:val="standardContextual"/>
              </w:rPr>
              <w:tab/>
            </w:r>
            <w:r w:rsidRPr="009E363E">
              <w:rPr>
                <w:rStyle w:val="Hyperlink"/>
                <w:noProof/>
              </w:rPr>
              <w:t>Flow Monitoring</w:t>
            </w:r>
            <w:r>
              <w:rPr>
                <w:noProof/>
                <w:webHidden/>
              </w:rPr>
              <w:tab/>
            </w:r>
            <w:r>
              <w:rPr>
                <w:noProof/>
                <w:webHidden/>
              </w:rPr>
              <w:fldChar w:fldCharType="begin"/>
            </w:r>
            <w:r>
              <w:rPr>
                <w:noProof/>
                <w:webHidden/>
              </w:rPr>
              <w:instrText xml:space="preserve"> PAGEREF _Toc193872508 \h </w:instrText>
            </w:r>
            <w:r>
              <w:rPr>
                <w:noProof/>
                <w:webHidden/>
              </w:rPr>
            </w:r>
            <w:r>
              <w:rPr>
                <w:noProof/>
                <w:webHidden/>
              </w:rPr>
              <w:fldChar w:fldCharType="separate"/>
            </w:r>
            <w:r>
              <w:rPr>
                <w:noProof/>
                <w:webHidden/>
              </w:rPr>
              <w:t>24</w:t>
            </w:r>
            <w:r>
              <w:rPr>
                <w:noProof/>
                <w:webHidden/>
              </w:rPr>
              <w:fldChar w:fldCharType="end"/>
            </w:r>
          </w:hyperlink>
        </w:p>
        <w:p w14:paraId="7E5F3DB2" w14:textId="5FFD69CC" w:rsidR="0059498C" w:rsidRDefault="0059498C">
          <w:pPr>
            <w:pStyle w:val="TOC2"/>
            <w:tabs>
              <w:tab w:val="left" w:pos="960"/>
              <w:tab w:val="right" w:leader="dot" w:pos="10212"/>
            </w:tabs>
            <w:rPr>
              <w:noProof/>
              <w:kern w:val="2"/>
              <w:lang w:eastAsia="en-GB"/>
              <w14:ligatures w14:val="standardContextual"/>
            </w:rPr>
          </w:pPr>
          <w:hyperlink w:anchor="_Toc193872509" w:history="1">
            <w:r w:rsidRPr="009E363E">
              <w:rPr>
                <w:rStyle w:val="Hyperlink"/>
                <w:noProof/>
              </w:rPr>
              <w:t>7.3</w:t>
            </w:r>
            <w:r>
              <w:rPr>
                <w:noProof/>
                <w:kern w:val="2"/>
                <w:lang w:eastAsia="en-GB"/>
                <w14:ligatures w14:val="standardContextual"/>
              </w:rPr>
              <w:tab/>
            </w:r>
            <w:r w:rsidRPr="009E363E">
              <w:rPr>
                <w:rStyle w:val="Hyperlink"/>
                <w:noProof/>
              </w:rPr>
              <w:t>Sewage pumping station with storm overflows</w:t>
            </w:r>
            <w:r>
              <w:rPr>
                <w:noProof/>
                <w:webHidden/>
              </w:rPr>
              <w:tab/>
            </w:r>
            <w:r>
              <w:rPr>
                <w:noProof/>
                <w:webHidden/>
              </w:rPr>
              <w:fldChar w:fldCharType="begin"/>
            </w:r>
            <w:r>
              <w:rPr>
                <w:noProof/>
                <w:webHidden/>
              </w:rPr>
              <w:instrText xml:space="preserve"> PAGEREF _Toc193872509 \h </w:instrText>
            </w:r>
            <w:r>
              <w:rPr>
                <w:noProof/>
                <w:webHidden/>
              </w:rPr>
            </w:r>
            <w:r>
              <w:rPr>
                <w:noProof/>
                <w:webHidden/>
              </w:rPr>
              <w:fldChar w:fldCharType="separate"/>
            </w:r>
            <w:r>
              <w:rPr>
                <w:noProof/>
                <w:webHidden/>
              </w:rPr>
              <w:t>25</w:t>
            </w:r>
            <w:r>
              <w:rPr>
                <w:noProof/>
                <w:webHidden/>
              </w:rPr>
              <w:fldChar w:fldCharType="end"/>
            </w:r>
          </w:hyperlink>
        </w:p>
        <w:p w14:paraId="26CED053" w14:textId="12F57F25" w:rsidR="0059498C" w:rsidRDefault="0059498C">
          <w:pPr>
            <w:pStyle w:val="TOC2"/>
            <w:tabs>
              <w:tab w:val="left" w:pos="960"/>
              <w:tab w:val="right" w:leader="dot" w:pos="10212"/>
            </w:tabs>
            <w:rPr>
              <w:noProof/>
              <w:kern w:val="2"/>
              <w:lang w:eastAsia="en-GB"/>
              <w14:ligatures w14:val="standardContextual"/>
            </w:rPr>
          </w:pPr>
          <w:hyperlink w:anchor="_Toc193872510" w:history="1">
            <w:r w:rsidRPr="009E363E">
              <w:rPr>
                <w:rStyle w:val="Hyperlink"/>
                <w:noProof/>
              </w:rPr>
              <w:t>7.4</w:t>
            </w:r>
            <w:r>
              <w:rPr>
                <w:noProof/>
                <w:kern w:val="2"/>
                <w:lang w:eastAsia="en-GB"/>
                <w14:ligatures w14:val="standardContextual"/>
              </w:rPr>
              <w:tab/>
            </w:r>
            <w:r w:rsidRPr="009E363E">
              <w:rPr>
                <w:rStyle w:val="Hyperlink"/>
                <w:noProof/>
              </w:rPr>
              <w:t>Recording and reporting</w:t>
            </w:r>
            <w:r>
              <w:rPr>
                <w:noProof/>
                <w:webHidden/>
              </w:rPr>
              <w:tab/>
            </w:r>
            <w:r>
              <w:rPr>
                <w:noProof/>
                <w:webHidden/>
              </w:rPr>
              <w:fldChar w:fldCharType="begin"/>
            </w:r>
            <w:r>
              <w:rPr>
                <w:noProof/>
                <w:webHidden/>
              </w:rPr>
              <w:instrText xml:space="preserve"> PAGEREF _Toc193872510 \h </w:instrText>
            </w:r>
            <w:r>
              <w:rPr>
                <w:noProof/>
                <w:webHidden/>
              </w:rPr>
            </w:r>
            <w:r>
              <w:rPr>
                <w:noProof/>
                <w:webHidden/>
              </w:rPr>
              <w:fldChar w:fldCharType="separate"/>
            </w:r>
            <w:r>
              <w:rPr>
                <w:noProof/>
                <w:webHidden/>
              </w:rPr>
              <w:t>25</w:t>
            </w:r>
            <w:r>
              <w:rPr>
                <w:noProof/>
                <w:webHidden/>
              </w:rPr>
              <w:fldChar w:fldCharType="end"/>
            </w:r>
          </w:hyperlink>
        </w:p>
        <w:p w14:paraId="671AC0F7" w14:textId="74C7B6C2" w:rsidR="0059498C" w:rsidRDefault="0059498C">
          <w:pPr>
            <w:pStyle w:val="TOC1"/>
            <w:tabs>
              <w:tab w:val="right" w:leader="dot" w:pos="10212"/>
            </w:tabs>
            <w:rPr>
              <w:noProof/>
              <w:kern w:val="2"/>
              <w:lang w:eastAsia="en-GB"/>
              <w14:ligatures w14:val="standardContextual"/>
            </w:rPr>
          </w:pPr>
          <w:hyperlink w:anchor="_Toc193872511" w:history="1">
            <w:r w:rsidRPr="009E363E">
              <w:rPr>
                <w:rStyle w:val="Hyperlink"/>
                <w:rFonts w:eastAsia="Times New Roman"/>
                <w:noProof/>
              </w:rPr>
              <w:t>Annex 1: Types of overflows</w:t>
            </w:r>
            <w:r>
              <w:rPr>
                <w:noProof/>
                <w:webHidden/>
              </w:rPr>
              <w:tab/>
            </w:r>
            <w:r>
              <w:rPr>
                <w:noProof/>
                <w:webHidden/>
              </w:rPr>
              <w:fldChar w:fldCharType="begin"/>
            </w:r>
            <w:r>
              <w:rPr>
                <w:noProof/>
                <w:webHidden/>
              </w:rPr>
              <w:instrText xml:space="preserve"> PAGEREF _Toc193872511 \h </w:instrText>
            </w:r>
            <w:r>
              <w:rPr>
                <w:noProof/>
                <w:webHidden/>
              </w:rPr>
            </w:r>
            <w:r>
              <w:rPr>
                <w:noProof/>
                <w:webHidden/>
              </w:rPr>
              <w:fldChar w:fldCharType="separate"/>
            </w:r>
            <w:r>
              <w:rPr>
                <w:noProof/>
                <w:webHidden/>
              </w:rPr>
              <w:t>27</w:t>
            </w:r>
            <w:r>
              <w:rPr>
                <w:noProof/>
                <w:webHidden/>
              </w:rPr>
              <w:fldChar w:fldCharType="end"/>
            </w:r>
          </w:hyperlink>
        </w:p>
        <w:p w14:paraId="0869A225" w14:textId="3AD1BCBE" w:rsidR="0059498C" w:rsidRDefault="0059498C">
          <w:pPr>
            <w:pStyle w:val="TOC2"/>
            <w:tabs>
              <w:tab w:val="left" w:pos="1200"/>
              <w:tab w:val="right" w:leader="dot" w:pos="10212"/>
            </w:tabs>
            <w:rPr>
              <w:noProof/>
              <w:kern w:val="2"/>
              <w:lang w:eastAsia="en-GB"/>
              <w14:ligatures w14:val="standardContextual"/>
            </w:rPr>
          </w:pPr>
          <w:hyperlink w:anchor="_Toc193872512" w:history="1">
            <w:r w:rsidRPr="009E363E">
              <w:rPr>
                <w:rStyle w:val="Hyperlink"/>
                <w:rFonts w:eastAsia="Times New Roman"/>
                <w:noProof/>
              </w:rPr>
              <w:t xml:space="preserve">A1.1 </w:t>
            </w:r>
            <w:r>
              <w:rPr>
                <w:noProof/>
                <w:kern w:val="2"/>
                <w:lang w:eastAsia="en-GB"/>
                <w14:ligatures w14:val="standardContextual"/>
              </w:rPr>
              <w:tab/>
            </w:r>
            <w:r w:rsidRPr="009E363E">
              <w:rPr>
                <w:rStyle w:val="Hyperlink"/>
                <w:rFonts w:eastAsia="Times New Roman"/>
                <w:noProof/>
              </w:rPr>
              <w:t>Combined sewer overflows (CSOs)</w:t>
            </w:r>
            <w:r>
              <w:rPr>
                <w:noProof/>
                <w:webHidden/>
              </w:rPr>
              <w:tab/>
            </w:r>
            <w:r>
              <w:rPr>
                <w:noProof/>
                <w:webHidden/>
              </w:rPr>
              <w:fldChar w:fldCharType="begin"/>
            </w:r>
            <w:r>
              <w:rPr>
                <w:noProof/>
                <w:webHidden/>
              </w:rPr>
              <w:instrText xml:space="preserve"> PAGEREF _Toc193872512 \h </w:instrText>
            </w:r>
            <w:r>
              <w:rPr>
                <w:noProof/>
                <w:webHidden/>
              </w:rPr>
            </w:r>
            <w:r>
              <w:rPr>
                <w:noProof/>
                <w:webHidden/>
              </w:rPr>
              <w:fldChar w:fldCharType="separate"/>
            </w:r>
            <w:r>
              <w:rPr>
                <w:noProof/>
                <w:webHidden/>
              </w:rPr>
              <w:t>27</w:t>
            </w:r>
            <w:r>
              <w:rPr>
                <w:noProof/>
                <w:webHidden/>
              </w:rPr>
              <w:fldChar w:fldCharType="end"/>
            </w:r>
          </w:hyperlink>
        </w:p>
        <w:p w14:paraId="577E13D2" w14:textId="7B43FAAD" w:rsidR="0059498C" w:rsidRDefault="0059498C">
          <w:pPr>
            <w:pStyle w:val="TOC2"/>
            <w:tabs>
              <w:tab w:val="left" w:pos="1200"/>
              <w:tab w:val="right" w:leader="dot" w:pos="10212"/>
            </w:tabs>
            <w:rPr>
              <w:noProof/>
              <w:kern w:val="2"/>
              <w:lang w:eastAsia="en-GB"/>
              <w14:ligatures w14:val="standardContextual"/>
            </w:rPr>
          </w:pPr>
          <w:hyperlink w:anchor="_Toc193872513" w:history="1">
            <w:r w:rsidRPr="009E363E">
              <w:rPr>
                <w:rStyle w:val="Hyperlink"/>
                <w:rFonts w:eastAsia="Times New Roman"/>
                <w:noProof/>
              </w:rPr>
              <w:t xml:space="preserve">A1.2 </w:t>
            </w:r>
            <w:r>
              <w:rPr>
                <w:noProof/>
                <w:kern w:val="2"/>
                <w:lang w:eastAsia="en-GB"/>
                <w14:ligatures w14:val="standardContextual"/>
              </w:rPr>
              <w:tab/>
            </w:r>
            <w:r w:rsidRPr="009E363E">
              <w:rPr>
                <w:rStyle w:val="Hyperlink"/>
                <w:rFonts w:eastAsia="Times New Roman"/>
                <w:noProof/>
              </w:rPr>
              <w:t>Storm tanks</w:t>
            </w:r>
            <w:r>
              <w:rPr>
                <w:noProof/>
                <w:webHidden/>
              </w:rPr>
              <w:tab/>
            </w:r>
            <w:r>
              <w:rPr>
                <w:noProof/>
                <w:webHidden/>
              </w:rPr>
              <w:fldChar w:fldCharType="begin"/>
            </w:r>
            <w:r>
              <w:rPr>
                <w:noProof/>
                <w:webHidden/>
              </w:rPr>
              <w:instrText xml:space="preserve"> PAGEREF _Toc193872513 \h </w:instrText>
            </w:r>
            <w:r>
              <w:rPr>
                <w:noProof/>
                <w:webHidden/>
              </w:rPr>
            </w:r>
            <w:r>
              <w:rPr>
                <w:noProof/>
                <w:webHidden/>
              </w:rPr>
              <w:fldChar w:fldCharType="separate"/>
            </w:r>
            <w:r>
              <w:rPr>
                <w:noProof/>
                <w:webHidden/>
              </w:rPr>
              <w:t>27</w:t>
            </w:r>
            <w:r>
              <w:rPr>
                <w:noProof/>
                <w:webHidden/>
              </w:rPr>
              <w:fldChar w:fldCharType="end"/>
            </w:r>
          </w:hyperlink>
        </w:p>
        <w:p w14:paraId="1ACB49D7" w14:textId="5514B040" w:rsidR="0059498C" w:rsidRDefault="0059498C">
          <w:pPr>
            <w:pStyle w:val="TOC2"/>
            <w:tabs>
              <w:tab w:val="left" w:pos="1200"/>
              <w:tab w:val="right" w:leader="dot" w:pos="10212"/>
            </w:tabs>
            <w:rPr>
              <w:noProof/>
              <w:kern w:val="2"/>
              <w:lang w:eastAsia="en-GB"/>
              <w14:ligatures w14:val="standardContextual"/>
            </w:rPr>
          </w:pPr>
          <w:hyperlink w:anchor="_Toc193872514" w:history="1">
            <w:r w:rsidRPr="009E363E">
              <w:rPr>
                <w:rStyle w:val="Hyperlink"/>
                <w:rFonts w:eastAsia="Times New Roman"/>
                <w:noProof/>
              </w:rPr>
              <w:t xml:space="preserve">A1.3 </w:t>
            </w:r>
            <w:r>
              <w:rPr>
                <w:noProof/>
                <w:kern w:val="2"/>
                <w:lang w:eastAsia="en-GB"/>
                <w14:ligatures w14:val="standardContextual"/>
              </w:rPr>
              <w:tab/>
            </w:r>
            <w:r w:rsidRPr="009E363E">
              <w:rPr>
                <w:rStyle w:val="Hyperlink"/>
                <w:rFonts w:eastAsia="Times New Roman"/>
                <w:noProof/>
              </w:rPr>
              <w:t>Emergency overflows</w:t>
            </w:r>
            <w:r>
              <w:rPr>
                <w:noProof/>
                <w:webHidden/>
              </w:rPr>
              <w:tab/>
            </w:r>
            <w:r>
              <w:rPr>
                <w:noProof/>
                <w:webHidden/>
              </w:rPr>
              <w:fldChar w:fldCharType="begin"/>
            </w:r>
            <w:r>
              <w:rPr>
                <w:noProof/>
                <w:webHidden/>
              </w:rPr>
              <w:instrText xml:space="preserve"> PAGEREF _Toc193872514 \h </w:instrText>
            </w:r>
            <w:r>
              <w:rPr>
                <w:noProof/>
                <w:webHidden/>
              </w:rPr>
            </w:r>
            <w:r>
              <w:rPr>
                <w:noProof/>
                <w:webHidden/>
              </w:rPr>
              <w:fldChar w:fldCharType="separate"/>
            </w:r>
            <w:r>
              <w:rPr>
                <w:noProof/>
                <w:webHidden/>
              </w:rPr>
              <w:t>28</w:t>
            </w:r>
            <w:r>
              <w:rPr>
                <w:noProof/>
                <w:webHidden/>
              </w:rPr>
              <w:fldChar w:fldCharType="end"/>
            </w:r>
          </w:hyperlink>
        </w:p>
        <w:p w14:paraId="03DC7BD3" w14:textId="2AEE1C8B" w:rsidR="0059498C" w:rsidRDefault="0059498C">
          <w:pPr>
            <w:pStyle w:val="TOC1"/>
            <w:tabs>
              <w:tab w:val="right" w:leader="dot" w:pos="10212"/>
            </w:tabs>
            <w:rPr>
              <w:noProof/>
              <w:kern w:val="2"/>
              <w:lang w:eastAsia="en-GB"/>
              <w14:ligatures w14:val="standardContextual"/>
            </w:rPr>
          </w:pPr>
          <w:hyperlink w:anchor="_Toc193872515" w:history="1">
            <w:r w:rsidRPr="009E363E">
              <w:rPr>
                <w:rStyle w:val="Hyperlink"/>
                <w:noProof/>
              </w:rPr>
              <w:t>Annex 2: Background to sewer network permits</w:t>
            </w:r>
            <w:r>
              <w:rPr>
                <w:noProof/>
                <w:webHidden/>
              </w:rPr>
              <w:tab/>
            </w:r>
            <w:r>
              <w:rPr>
                <w:noProof/>
                <w:webHidden/>
              </w:rPr>
              <w:fldChar w:fldCharType="begin"/>
            </w:r>
            <w:r>
              <w:rPr>
                <w:noProof/>
                <w:webHidden/>
              </w:rPr>
              <w:instrText xml:space="preserve"> PAGEREF _Toc193872515 \h </w:instrText>
            </w:r>
            <w:r>
              <w:rPr>
                <w:noProof/>
                <w:webHidden/>
              </w:rPr>
            </w:r>
            <w:r>
              <w:rPr>
                <w:noProof/>
                <w:webHidden/>
              </w:rPr>
              <w:fldChar w:fldCharType="separate"/>
            </w:r>
            <w:r>
              <w:rPr>
                <w:noProof/>
                <w:webHidden/>
              </w:rPr>
              <w:t>28</w:t>
            </w:r>
            <w:r>
              <w:rPr>
                <w:noProof/>
                <w:webHidden/>
              </w:rPr>
              <w:fldChar w:fldCharType="end"/>
            </w:r>
          </w:hyperlink>
        </w:p>
        <w:p w14:paraId="3C870267" w14:textId="59A81B62" w:rsidR="0059498C" w:rsidRDefault="0059498C">
          <w:pPr>
            <w:pStyle w:val="TOC1"/>
            <w:tabs>
              <w:tab w:val="right" w:leader="dot" w:pos="10212"/>
            </w:tabs>
            <w:rPr>
              <w:noProof/>
              <w:kern w:val="2"/>
              <w:lang w:eastAsia="en-GB"/>
              <w14:ligatures w14:val="standardContextual"/>
            </w:rPr>
          </w:pPr>
          <w:hyperlink w:anchor="_Toc193872516" w:history="1">
            <w:r w:rsidRPr="009E363E">
              <w:rPr>
                <w:rStyle w:val="Hyperlink"/>
                <w:noProof/>
              </w:rPr>
              <w:t>Disclaimer</w:t>
            </w:r>
            <w:r>
              <w:rPr>
                <w:noProof/>
                <w:webHidden/>
              </w:rPr>
              <w:tab/>
            </w:r>
            <w:r>
              <w:rPr>
                <w:noProof/>
                <w:webHidden/>
              </w:rPr>
              <w:fldChar w:fldCharType="begin"/>
            </w:r>
            <w:r>
              <w:rPr>
                <w:noProof/>
                <w:webHidden/>
              </w:rPr>
              <w:instrText xml:space="preserve"> PAGEREF _Toc193872516 \h </w:instrText>
            </w:r>
            <w:r>
              <w:rPr>
                <w:noProof/>
                <w:webHidden/>
              </w:rPr>
            </w:r>
            <w:r>
              <w:rPr>
                <w:noProof/>
                <w:webHidden/>
              </w:rPr>
              <w:fldChar w:fldCharType="separate"/>
            </w:r>
            <w:r>
              <w:rPr>
                <w:noProof/>
                <w:webHidden/>
              </w:rPr>
              <w:t>29</w:t>
            </w:r>
            <w:r>
              <w:rPr>
                <w:noProof/>
                <w:webHidden/>
              </w:rPr>
              <w:fldChar w:fldCharType="end"/>
            </w:r>
          </w:hyperlink>
        </w:p>
        <w:p w14:paraId="09353E9D" w14:textId="2273FE77" w:rsidR="00B379F3" w:rsidRDefault="00B379F3">
          <w:r>
            <w:rPr>
              <w:b/>
              <w:bCs/>
              <w:noProof/>
            </w:rPr>
            <w:fldChar w:fldCharType="end"/>
          </w:r>
        </w:p>
      </w:sdtContent>
    </w:sdt>
    <w:p w14:paraId="2A0E944B" w14:textId="77777777" w:rsidR="001D3090" w:rsidRDefault="001D3090" w:rsidP="00BA1580"/>
    <w:p w14:paraId="38969002" w14:textId="77777777" w:rsidR="00754326" w:rsidRDefault="00754326" w:rsidP="00BA1580"/>
    <w:p w14:paraId="690BCABC" w14:textId="77777777" w:rsidR="00754326" w:rsidRDefault="00754326" w:rsidP="00BA1580"/>
    <w:p w14:paraId="32D93A23" w14:textId="77777777" w:rsidR="00754326" w:rsidRDefault="00754326" w:rsidP="00BA1580"/>
    <w:p w14:paraId="6C868C59" w14:textId="77777777" w:rsidR="00754326" w:rsidRDefault="00754326" w:rsidP="00BA1580"/>
    <w:p w14:paraId="2D15BB05" w14:textId="77777777" w:rsidR="00754326" w:rsidRDefault="00754326" w:rsidP="00BA1580"/>
    <w:p w14:paraId="498A12E5" w14:textId="7A00FD8F" w:rsidR="00754326" w:rsidRPr="004D3753" w:rsidRDefault="00754326" w:rsidP="004D3753">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4D74457E" w14:textId="31EB31A4" w:rsidR="00BA1580" w:rsidRDefault="009014B9" w:rsidP="00542F79">
      <w:pPr>
        <w:pStyle w:val="Heading1"/>
        <w:numPr>
          <w:ilvl w:val="0"/>
          <w:numId w:val="1"/>
        </w:numPr>
        <w:ind w:hanging="720"/>
        <w:rPr>
          <w:rFonts w:eastAsia="Times New Roman"/>
        </w:rPr>
      </w:pPr>
      <w:bookmarkStart w:id="1" w:name="_Toc193872476"/>
      <w:r>
        <w:rPr>
          <w:rFonts w:eastAsia="Times New Roman"/>
        </w:rPr>
        <w:lastRenderedPageBreak/>
        <w:t>Purpose</w:t>
      </w:r>
      <w:bookmarkEnd w:id="1"/>
    </w:p>
    <w:p w14:paraId="6800E903" w14:textId="4CC66E39" w:rsidR="00BA1580" w:rsidRPr="00BA1580" w:rsidRDefault="00B74AAC" w:rsidP="007B7A6C">
      <w:pPr>
        <w:pStyle w:val="BodyText1"/>
      </w:pPr>
      <w:r w:rsidRPr="00B74AAC">
        <w:t xml:space="preserve">This document provides information for anyone </w:t>
      </w:r>
      <w:r>
        <w:t xml:space="preserve">making an </w:t>
      </w:r>
      <w:r w:rsidRPr="00BA1580">
        <w:t xml:space="preserve">intermittent </w:t>
      </w:r>
      <w:r>
        <w:t xml:space="preserve">sewage </w:t>
      </w:r>
      <w:r w:rsidRPr="00BA1580">
        <w:t>discharge</w:t>
      </w:r>
      <w:r>
        <w:t xml:space="preserve"> </w:t>
      </w:r>
      <w:r w:rsidRPr="00B74AAC">
        <w:t>which is authorised by a permit under The Environmental Authorisations (Scotland) Regulations (EASR).</w:t>
      </w:r>
      <w:r w:rsidR="003B584B">
        <w:t xml:space="preserve"> This covers the following types of discharge.</w:t>
      </w:r>
    </w:p>
    <w:p w14:paraId="05F7F827" w14:textId="77777777" w:rsidR="00BA1580" w:rsidRPr="00BA1580" w:rsidRDefault="00BA1580" w:rsidP="00542F79">
      <w:pPr>
        <w:pStyle w:val="BodyText1"/>
        <w:numPr>
          <w:ilvl w:val="0"/>
          <w:numId w:val="19"/>
        </w:numPr>
      </w:pPr>
      <w:r w:rsidRPr="00BA1580">
        <w:t xml:space="preserve">Combined sewer overflows (CSOs) at sewage treatment works (STWs) and on the sewer network. </w:t>
      </w:r>
    </w:p>
    <w:p w14:paraId="14F79E67" w14:textId="77777777" w:rsidR="00BA1580" w:rsidRPr="00BA1580" w:rsidRDefault="00BA1580" w:rsidP="00542F79">
      <w:pPr>
        <w:pStyle w:val="BodyText1"/>
        <w:numPr>
          <w:ilvl w:val="0"/>
          <w:numId w:val="19"/>
        </w:numPr>
      </w:pPr>
      <w:r w:rsidRPr="00BA1580">
        <w:t xml:space="preserve">Storm tank overflows at STWs and on the sewer network. </w:t>
      </w:r>
    </w:p>
    <w:p w14:paraId="7A848BAA" w14:textId="77777777" w:rsidR="00BA1580" w:rsidRPr="00BA1580" w:rsidRDefault="00BA1580" w:rsidP="00542F79">
      <w:pPr>
        <w:pStyle w:val="BodyText1"/>
        <w:numPr>
          <w:ilvl w:val="0"/>
          <w:numId w:val="19"/>
        </w:numPr>
      </w:pPr>
      <w:r w:rsidRPr="00BA1580">
        <w:t xml:space="preserve">Emergency overflows (EOs) from pumping stations. </w:t>
      </w:r>
    </w:p>
    <w:p w14:paraId="49EEE614" w14:textId="773CDB84" w:rsidR="00BA1580" w:rsidRPr="00BA1580" w:rsidRDefault="00BA1580" w:rsidP="00542F79">
      <w:pPr>
        <w:pStyle w:val="BodyText1"/>
        <w:numPr>
          <w:ilvl w:val="0"/>
          <w:numId w:val="19"/>
        </w:numPr>
      </w:pPr>
      <w:r w:rsidRPr="00BA1580">
        <w:t xml:space="preserve">Scottish Water network CSOs and EOs </w:t>
      </w:r>
      <w:r w:rsidR="00C42A36">
        <w:t xml:space="preserve">which </w:t>
      </w:r>
      <w:r w:rsidRPr="00BA1580">
        <w:t xml:space="preserve">are authorised by sewer network </w:t>
      </w:r>
      <w:r w:rsidR="00CB06A3">
        <w:t>permits</w:t>
      </w:r>
      <w:r w:rsidRPr="00BA1580">
        <w:t>.</w:t>
      </w:r>
    </w:p>
    <w:p w14:paraId="50804772" w14:textId="342DBBAC" w:rsidR="00BA1580" w:rsidRPr="00BA1580" w:rsidRDefault="00BA1580" w:rsidP="007B7A6C">
      <w:pPr>
        <w:pStyle w:val="BodyText1"/>
      </w:pPr>
      <w:r w:rsidRPr="00BA1580">
        <w:t xml:space="preserve">A new discharge should be designed to satisfy the </w:t>
      </w:r>
      <w:hyperlink r:id="rId14" w:history="1">
        <w:r w:rsidRPr="00BA1580">
          <w:rPr>
            <w:rStyle w:val="Hyperlink"/>
          </w:rPr>
          <w:t>Urban Waste Water Treatment (Scotland) Regulations 1994</w:t>
        </w:r>
      </w:hyperlink>
      <w:r w:rsidRPr="00BA1580">
        <w:t xml:space="preserve"> (UWWTR) with reference to two key external documents:</w:t>
      </w:r>
    </w:p>
    <w:p w14:paraId="6441BF59" w14:textId="77777777" w:rsidR="00BA1580" w:rsidRDefault="00BA1580" w:rsidP="00542F79">
      <w:pPr>
        <w:pStyle w:val="BodyText1"/>
        <w:numPr>
          <w:ilvl w:val="0"/>
          <w:numId w:val="20"/>
        </w:numPr>
        <w:rPr>
          <w:rStyle w:val="Hyperlink"/>
        </w:rPr>
      </w:pPr>
      <w:hyperlink r:id="rId15" w:history="1">
        <w:r w:rsidRPr="00BA1580">
          <w:rPr>
            <w:rStyle w:val="Hyperlink"/>
          </w:rPr>
          <w:t>Urban Pollution Management Manual</w:t>
        </w:r>
      </w:hyperlink>
    </w:p>
    <w:p w14:paraId="437ED05C" w14:textId="38E59DCD" w:rsidR="00010CBE" w:rsidRPr="00010CBE" w:rsidRDefault="00010CBE" w:rsidP="00542F79">
      <w:pPr>
        <w:pStyle w:val="BodyText1"/>
        <w:numPr>
          <w:ilvl w:val="0"/>
          <w:numId w:val="20"/>
        </w:numPr>
      </w:pPr>
      <w:r w:rsidRPr="00010CBE">
        <w:rPr>
          <w:rStyle w:val="Hyperlink"/>
          <w:color w:val="auto"/>
          <w:u w:val="none"/>
        </w:rPr>
        <w:t xml:space="preserve">Urban </w:t>
      </w:r>
      <w:proofErr w:type="gramStart"/>
      <w:r w:rsidRPr="00010CBE">
        <w:rPr>
          <w:rStyle w:val="Hyperlink"/>
          <w:color w:val="auto"/>
          <w:u w:val="none"/>
        </w:rPr>
        <w:t>Waste Water</w:t>
      </w:r>
      <w:proofErr w:type="gramEnd"/>
      <w:r w:rsidRPr="00010CBE">
        <w:rPr>
          <w:rStyle w:val="Hyperlink"/>
          <w:color w:val="auto"/>
          <w:u w:val="none"/>
        </w:rPr>
        <w:t xml:space="preserve"> Treatment </w:t>
      </w:r>
      <w:r w:rsidR="00BC0151" w:rsidRPr="00010CBE">
        <w:rPr>
          <w:rStyle w:val="Hyperlink"/>
          <w:color w:val="auto"/>
          <w:u w:val="none"/>
        </w:rPr>
        <w:t>Regulations</w:t>
      </w:r>
      <w:r w:rsidRPr="00010CBE">
        <w:rPr>
          <w:rStyle w:val="Hyperlink"/>
          <w:color w:val="auto"/>
          <w:u w:val="none"/>
        </w:rPr>
        <w:t xml:space="preserve"> Guidance Note</w:t>
      </w:r>
      <w:r w:rsidR="00BC0151">
        <w:rPr>
          <w:rStyle w:val="Hyperlink"/>
          <w:color w:val="auto"/>
          <w:u w:val="none"/>
        </w:rPr>
        <w:t>.</w:t>
      </w:r>
    </w:p>
    <w:p w14:paraId="62F271E3" w14:textId="77777777" w:rsidR="002A5B06" w:rsidRDefault="002A5B06" w:rsidP="002A5B06">
      <w:pPr>
        <w:pStyle w:val="BodyText1"/>
      </w:pPr>
      <w:r w:rsidRPr="00BA1580">
        <w:t xml:space="preserve">Existing discharges </w:t>
      </w:r>
      <w:r>
        <w:t>will</w:t>
      </w:r>
      <w:r w:rsidRPr="00BA1580">
        <w:t xml:space="preserve"> be </w:t>
      </w:r>
      <w:r>
        <w:t>permitted</w:t>
      </w:r>
      <w:r w:rsidRPr="00BA1580">
        <w:t xml:space="preserve"> to address any unsatisfactory criteria.</w:t>
      </w:r>
    </w:p>
    <w:p w14:paraId="58418E56" w14:textId="4CFDDBB5" w:rsidR="00BA1580" w:rsidRPr="00BA1580" w:rsidRDefault="000C4012" w:rsidP="007826E2">
      <w:pPr>
        <w:pStyle w:val="BodyText1"/>
      </w:pPr>
      <w:r w:rsidRPr="000C4012">
        <w:t>This guidance does not cover any other permissions that may be required.</w:t>
      </w:r>
    </w:p>
    <w:p w14:paraId="1380776B" w14:textId="5281E674" w:rsidR="00BA1580" w:rsidRPr="00B81A9F" w:rsidRDefault="00EF5701" w:rsidP="00542F79">
      <w:pPr>
        <w:pStyle w:val="Heading1"/>
        <w:numPr>
          <w:ilvl w:val="0"/>
          <w:numId w:val="1"/>
        </w:numPr>
        <w:ind w:hanging="720"/>
        <w:rPr>
          <w:rFonts w:eastAsia="Times New Roman"/>
        </w:rPr>
      </w:pPr>
      <w:bookmarkStart w:id="2" w:name="_Toc193872477"/>
      <w:r>
        <w:rPr>
          <w:rFonts w:eastAsia="Times New Roman"/>
        </w:rPr>
        <w:t>Types of overflows</w:t>
      </w:r>
      <w:bookmarkEnd w:id="2"/>
      <w:r w:rsidR="000532BA" w:rsidRPr="00B81A9F">
        <w:rPr>
          <w:rFonts w:eastAsia="Times New Roman"/>
        </w:rPr>
        <w:t xml:space="preserve"> </w:t>
      </w:r>
    </w:p>
    <w:p w14:paraId="53AB6E33" w14:textId="77777777" w:rsidR="00016170" w:rsidRDefault="00BA1580" w:rsidP="007B7A6C">
      <w:pPr>
        <w:pStyle w:val="BodyText1"/>
      </w:pPr>
      <w:r>
        <w:t>Intermittent discharges may occur at a STW or from a sewerage system (or network).  Such discharges consist of</w:t>
      </w:r>
      <w:r w:rsidR="00016170">
        <w:t>:</w:t>
      </w:r>
      <w:r>
        <w:t xml:space="preserve"> </w:t>
      </w:r>
    </w:p>
    <w:p w14:paraId="7CA616C7" w14:textId="659025E1" w:rsidR="00016170" w:rsidRPr="007B7A6C" w:rsidRDefault="00B36F3A" w:rsidP="00542F79">
      <w:pPr>
        <w:pStyle w:val="BodyText1"/>
        <w:numPr>
          <w:ilvl w:val="0"/>
          <w:numId w:val="21"/>
        </w:numPr>
      </w:pPr>
      <w:r>
        <w:t>Combined sewer overflows (</w:t>
      </w:r>
      <w:r w:rsidR="00055935">
        <w:t>CSOs</w:t>
      </w:r>
      <w:r>
        <w:t>)</w:t>
      </w:r>
      <w:r w:rsidR="00016170" w:rsidRPr="00F65B09">
        <w:t>.</w:t>
      </w:r>
      <w:r w:rsidR="000E03CC" w:rsidRPr="00F65B09">
        <w:t xml:space="preserve"> </w:t>
      </w:r>
      <w:r w:rsidR="00055935" w:rsidRPr="007B7A6C">
        <w:t xml:space="preserve">These are discharges from </w:t>
      </w:r>
      <w:r w:rsidR="00674B65" w:rsidRPr="007B7A6C">
        <w:t>combined</w:t>
      </w:r>
      <w:r w:rsidR="00A256AD" w:rsidRPr="007B7A6C">
        <w:t xml:space="preserve"> </w:t>
      </w:r>
      <w:r w:rsidR="00674B65" w:rsidRPr="007B7A6C">
        <w:t>sewers</w:t>
      </w:r>
      <w:r w:rsidR="00A256AD" w:rsidRPr="007B7A6C">
        <w:t xml:space="preserve"> during rainfall to prevent flooding or inundation of areas with dilute sewage.</w:t>
      </w:r>
      <w:r w:rsidR="00674B65" w:rsidRPr="007B7A6C">
        <w:t xml:space="preserve"> A combined sewer takes both </w:t>
      </w:r>
      <w:r w:rsidR="000E03CC" w:rsidRPr="007B7A6C">
        <w:t>rainwater</w:t>
      </w:r>
      <w:r w:rsidR="00674B65" w:rsidRPr="007B7A6C">
        <w:t xml:space="preserve"> run-off and </w:t>
      </w:r>
      <w:r w:rsidR="000E03CC" w:rsidRPr="007B7A6C">
        <w:t>foul (sewage &amp; trade) effluent</w:t>
      </w:r>
      <w:r w:rsidR="00674B65" w:rsidRPr="007B7A6C">
        <w:t>.</w:t>
      </w:r>
    </w:p>
    <w:p w14:paraId="3BF028EA" w14:textId="046AA1F7" w:rsidR="00016170" w:rsidRDefault="00016170" w:rsidP="00542F79">
      <w:pPr>
        <w:pStyle w:val="BodyText1"/>
        <w:numPr>
          <w:ilvl w:val="0"/>
          <w:numId w:val="21"/>
        </w:numPr>
      </w:pPr>
      <w:r w:rsidRPr="00F65B09">
        <w:t>S</w:t>
      </w:r>
      <w:r w:rsidR="00BA1580" w:rsidRPr="00F65B09">
        <w:t>torm tank overflows</w:t>
      </w:r>
      <w:r w:rsidR="00032585" w:rsidRPr="00F65B09">
        <w:t xml:space="preserve">. </w:t>
      </w:r>
      <w:r w:rsidR="00032585" w:rsidRPr="007B7A6C">
        <w:t>Storm tanks at inland sewage treatment works are normally required to deal primarily with the polluting "first flush" of storm sewage</w:t>
      </w:r>
      <w:r w:rsidR="004D3753">
        <w:t>.</w:t>
      </w:r>
      <w:r w:rsidR="00BA1580">
        <w:t xml:space="preserve"> </w:t>
      </w:r>
    </w:p>
    <w:p w14:paraId="3470163C" w14:textId="4752C42E" w:rsidR="00BA1580" w:rsidRDefault="00016170" w:rsidP="00542F79">
      <w:pPr>
        <w:pStyle w:val="BodyText1"/>
        <w:numPr>
          <w:ilvl w:val="0"/>
          <w:numId w:val="21"/>
        </w:numPr>
      </w:pPr>
      <w:r>
        <w:lastRenderedPageBreak/>
        <w:t>E</w:t>
      </w:r>
      <w:r w:rsidR="00BA1580">
        <w:t>mergency overflows</w:t>
      </w:r>
      <w:r w:rsidR="00B36F3A">
        <w:t xml:space="preserve"> (EOs)</w:t>
      </w:r>
      <w:r w:rsidR="00EC51E9">
        <w:t>.</w:t>
      </w:r>
      <w:r w:rsidR="00EF5701">
        <w:rPr>
          <w:color w:val="FF0000"/>
        </w:rPr>
        <w:t xml:space="preserve"> </w:t>
      </w:r>
      <w:r w:rsidR="00BA1580">
        <w:t>Emergency overflows may be present where there are pumps or other equipment at risk from mechanical/electrical failure.</w:t>
      </w:r>
    </w:p>
    <w:p w14:paraId="39956831" w14:textId="26561472" w:rsidR="00A9024F" w:rsidRPr="00A9024F" w:rsidRDefault="00A9024F" w:rsidP="007B7A6C">
      <w:pPr>
        <w:pStyle w:val="BodyText1"/>
      </w:pPr>
      <w:r w:rsidRPr="00A9024F">
        <w:t xml:space="preserve">Pumping stations on a combined sewer often have both a CSO and an EO.  </w:t>
      </w:r>
      <w:r w:rsidRPr="007B7A6C">
        <w:t>The</w:t>
      </w:r>
      <w:r w:rsidRPr="00F65B09">
        <w:t xml:space="preserve"> 2 types of </w:t>
      </w:r>
      <w:proofErr w:type="gramStart"/>
      <w:r w:rsidRPr="00F65B09">
        <w:t>overflow</w:t>
      </w:r>
      <w:proofErr w:type="gramEnd"/>
      <w:r w:rsidRPr="00F65B09">
        <w:t xml:space="preserve"> </w:t>
      </w:r>
      <w:r w:rsidRPr="007B7A6C">
        <w:t xml:space="preserve">will </w:t>
      </w:r>
      <w:r w:rsidRPr="00F65B09">
        <w:t>h</w:t>
      </w:r>
      <w:r w:rsidRPr="00A9024F">
        <w:t>ave different conditions applying to them even though they may discharge to the environment through the same outfall pipe.</w:t>
      </w:r>
      <w:r>
        <w:t xml:space="preserve"> </w:t>
      </w:r>
    </w:p>
    <w:p w14:paraId="7153F62F" w14:textId="34DEE974" w:rsidR="00156DA9" w:rsidRPr="007826E2" w:rsidRDefault="00A767D9" w:rsidP="007826E2">
      <w:pPr>
        <w:pStyle w:val="BodyText1"/>
      </w:pPr>
      <w:r w:rsidRPr="00513DC5">
        <w:t>Figure</w:t>
      </w:r>
      <w:r w:rsidR="00A9024F" w:rsidRPr="00513DC5">
        <w:t xml:space="preserve"> 1 shows flow distribution for a typical sewerage network</w:t>
      </w:r>
      <w:r w:rsidR="00156DA9" w:rsidRPr="00513DC5">
        <w:t>.</w:t>
      </w:r>
      <w:r w:rsidR="00A9024F" w:rsidRPr="00513DC5">
        <w:t xml:space="preserve"> </w:t>
      </w:r>
      <w:r w:rsidR="00DA3DBF" w:rsidRPr="007B7A6C">
        <w:t xml:space="preserve">Many </w:t>
      </w:r>
      <w:r w:rsidR="00A9024F" w:rsidRPr="00513DC5">
        <w:t>sewerage networks will differ from this considerably</w:t>
      </w:r>
      <w:r w:rsidR="00156DA9" w:rsidRPr="00513DC5">
        <w:t>.</w:t>
      </w:r>
    </w:p>
    <w:p w14:paraId="6ADB70B7" w14:textId="636A6649" w:rsidR="00A9024F" w:rsidRDefault="006E56C2" w:rsidP="007B7A6C">
      <w:pPr>
        <w:pStyle w:val="BodyText1"/>
        <w:rPr>
          <w:b/>
          <w:bCs/>
        </w:rPr>
      </w:pPr>
      <w:r w:rsidRPr="007B7A6C">
        <w:rPr>
          <w:b/>
          <w:bCs/>
        </w:rPr>
        <w:t xml:space="preserve">Figure 1: </w:t>
      </w:r>
      <w:r w:rsidR="000D5D2B">
        <w:rPr>
          <w:b/>
          <w:bCs/>
        </w:rPr>
        <w:t>Typical s</w:t>
      </w:r>
      <w:r w:rsidRPr="007B7A6C">
        <w:rPr>
          <w:b/>
          <w:bCs/>
        </w:rPr>
        <w:t>ewage flow</w:t>
      </w:r>
      <w:r w:rsidR="003627A6" w:rsidRPr="007B7A6C">
        <w:rPr>
          <w:b/>
          <w:bCs/>
        </w:rPr>
        <w:t xml:space="preserve"> distribution </w:t>
      </w:r>
    </w:p>
    <w:p w14:paraId="7424A9EB" w14:textId="10A9392D" w:rsidR="00562AA0" w:rsidRPr="007826E2" w:rsidRDefault="005B682C" w:rsidP="007826E2">
      <w:pPr>
        <w:pStyle w:val="BodyText1"/>
        <w:rPr>
          <w:b/>
          <w:bCs/>
        </w:rPr>
      </w:pPr>
      <w:r w:rsidRPr="005B682C">
        <w:rPr>
          <w:b/>
          <w:bCs/>
          <w:noProof/>
        </w:rPr>
        <w:drawing>
          <wp:inline distT="0" distB="0" distL="0" distR="0" wp14:anchorId="09D25F22" wp14:editId="3327EA64">
            <wp:extent cx="6216970" cy="3397425"/>
            <wp:effectExtent l="0" t="0" r="0" b="0"/>
            <wp:docPr id="1956351522" name="Picture 1" descr="A diagram of typical locations of emergency overflows, combined sewer overflows, storm tank overflows and final efflu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51522" name="Picture 1" descr="A diagram of typical locations of emergency overflows, combined sewer overflows, storm tank overflows and final effluent. "/>
                    <pic:cNvPicPr/>
                  </pic:nvPicPr>
                  <pic:blipFill>
                    <a:blip r:embed="rId16"/>
                    <a:stretch>
                      <a:fillRect/>
                    </a:stretch>
                  </pic:blipFill>
                  <pic:spPr>
                    <a:xfrm>
                      <a:off x="0" y="0"/>
                      <a:ext cx="6216970" cy="3397425"/>
                    </a:xfrm>
                    <a:prstGeom prst="rect">
                      <a:avLst/>
                    </a:prstGeom>
                  </pic:spPr>
                </pic:pic>
              </a:graphicData>
            </a:graphic>
          </wp:inline>
        </w:drawing>
      </w:r>
    </w:p>
    <w:p w14:paraId="25B76DFB" w14:textId="1F7AE686" w:rsidR="00B06800" w:rsidRDefault="00B06800" w:rsidP="00542F79">
      <w:pPr>
        <w:pStyle w:val="Heading1"/>
        <w:numPr>
          <w:ilvl w:val="0"/>
          <w:numId w:val="1"/>
        </w:numPr>
        <w:ind w:hanging="720"/>
      </w:pPr>
      <w:bookmarkStart w:id="3" w:name="_Toc193872478"/>
      <w:r>
        <w:t xml:space="preserve">Applying for a </w:t>
      </w:r>
      <w:r w:rsidR="00E22AE7">
        <w:t>permit</w:t>
      </w:r>
      <w:r>
        <w:t xml:space="preserve"> for an overflow</w:t>
      </w:r>
      <w:bookmarkEnd w:id="3"/>
    </w:p>
    <w:p w14:paraId="5A301A09" w14:textId="40AC6365" w:rsidR="00C00090" w:rsidRDefault="00C00090" w:rsidP="007B7A6C">
      <w:pPr>
        <w:pStyle w:val="BodyText1"/>
      </w:pPr>
      <w:r>
        <w:t xml:space="preserve">Before applying for a </w:t>
      </w:r>
      <w:r w:rsidR="00E22AE7">
        <w:t>permit</w:t>
      </w:r>
      <w:r w:rsidR="004254DC">
        <w:t>,</w:t>
      </w:r>
      <w:r>
        <w:t xml:space="preserve"> we recommend pre application discussions with </w:t>
      </w:r>
      <w:r w:rsidRPr="007B7A6C">
        <w:t>SEPA</w:t>
      </w:r>
      <w:r w:rsidRPr="003A197E">
        <w:t xml:space="preserve"> at </w:t>
      </w:r>
      <w:r>
        <w:t>the earliest possible stage. This will allow discussion of the options available, the required standards to be achieved and ensure adequate modelling/monitoring data collection is carried out.</w:t>
      </w:r>
    </w:p>
    <w:p w14:paraId="108BB997" w14:textId="77777777" w:rsidR="007826E2" w:rsidRDefault="00C00090" w:rsidP="007B7A6C">
      <w:pPr>
        <w:pStyle w:val="BodyText1"/>
      </w:pPr>
      <w:r>
        <w:t>Any network improvements must be agreed and delivered via the agreed investment process.</w:t>
      </w:r>
    </w:p>
    <w:p w14:paraId="1C4F1F56" w14:textId="2538D68E" w:rsidR="00C00090" w:rsidRPr="007826E2" w:rsidRDefault="00C00090" w:rsidP="007B7A6C">
      <w:pPr>
        <w:pStyle w:val="BodyText1"/>
      </w:pPr>
      <w:r>
        <w:lastRenderedPageBreak/>
        <w:t xml:space="preserve">Many CSOs and EOs on sewer networks have been brought together into sewer network </w:t>
      </w:r>
      <w:r w:rsidR="00CB06A3">
        <w:t>permit</w:t>
      </w:r>
      <w:r>
        <w:t xml:space="preserve">s. These reflect the scope of </w:t>
      </w:r>
      <w:r w:rsidR="003C71D4">
        <w:t xml:space="preserve">EASR </w:t>
      </w:r>
      <w:r>
        <w:t xml:space="preserve">which can regulate activities such as sewage collection, as well as actual discharges of sewage. </w:t>
      </w:r>
    </w:p>
    <w:p w14:paraId="051075A4" w14:textId="5B43BC39" w:rsidR="00C00090" w:rsidRPr="00534783" w:rsidRDefault="00E22AE7" w:rsidP="007B7A6C">
      <w:pPr>
        <w:pStyle w:val="BodyText1"/>
      </w:pPr>
      <w:r>
        <w:t>Permit</w:t>
      </w:r>
      <w:r w:rsidR="00C00090" w:rsidRPr="00534783">
        <w:t xml:space="preserve"> conditions for intermittent sewage discharges define the structures required rather than the quality of discharge to be achieved. Although the application of numeric microbiological limits is possible, it is not practical to apply numeric standards in </w:t>
      </w:r>
      <w:proofErr w:type="gramStart"/>
      <w:r w:rsidR="00C00090" w:rsidRPr="00534783">
        <w:t>the majority of</w:t>
      </w:r>
      <w:proofErr w:type="gramEnd"/>
      <w:r w:rsidR="00C00090" w:rsidRPr="00534783">
        <w:t xml:space="preserve"> cases.</w:t>
      </w:r>
    </w:p>
    <w:p w14:paraId="637DBF10" w14:textId="744CC785" w:rsidR="00C00090" w:rsidRPr="007B7A6C" w:rsidRDefault="00E22AE7" w:rsidP="007B7A6C">
      <w:pPr>
        <w:pStyle w:val="BodyText1"/>
      </w:pPr>
      <w:r>
        <w:t>Permit</w:t>
      </w:r>
      <w:r w:rsidR="00C00090" w:rsidRPr="007B7A6C">
        <w:t>s define:</w:t>
      </w:r>
    </w:p>
    <w:p w14:paraId="6A17A246" w14:textId="77777777" w:rsidR="00C00090" w:rsidRPr="007B7A6C" w:rsidRDefault="00C00090" w:rsidP="00542F79">
      <w:pPr>
        <w:pStyle w:val="BodyText1"/>
        <w:numPr>
          <w:ilvl w:val="0"/>
          <w:numId w:val="22"/>
        </w:numPr>
      </w:pPr>
      <w:r w:rsidRPr="007B7A6C">
        <w:t>The acceptable spill setting which determines the storm water storage capacity and size of the downstream sewer.</w:t>
      </w:r>
    </w:p>
    <w:p w14:paraId="27B952FD" w14:textId="77777777" w:rsidR="00C00090" w:rsidRPr="007B7A6C" w:rsidRDefault="00C00090" w:rsidP="00542F79">
      <w:pPr>
        <w:pStyle w:val="BodyText1"/>
        <w:numPr>
          <w:ilvl w:val="0"/>
          <w:numId w:val="22"/>
        </w:numPr>
      </w:pPr>
      <w:r w:rsidRPr="007B7A6C">
        <w:t>The level of treatment required which determines the level of screening, storage etc. to be provided prior to discharge.</w:t>
      </w:r>
    </w:p>
    <w:p w14:paraId="0BB17B8C" w14:textId="77777777" w:rsidR="00C00090" w:rsidRPr="007B7A6C" w:rsidRDefault="00C00090" w:rsidP="00542F79">
      <w:pPr>
        <w:pStyle w:val="BodyText1"/>
        <w:numPr>
          <w:ilvl w:val="0"/>
          <w:numId w:val="22"/>
        </w:numPr>
      </w:pPr>
      <w:r w:rsidRPr="007B7A6C">
        <w:t>The requirements for recording of intermittent discharge events and in-sewer flow monitoring.</w:t>
      </w:r>
    </w:p>
    <w:p w14:paraId="74468D6F" w14:textId="2F3AE93F" w:rsidR="00C00090" w:rsidRDefault="00C00090" w:rsidP="00C00090">
      <w:pPr>
        <w:pStyle w:val="BodyText1"/>
        <w:numPr>
          <w:ilvl w:val="0"/>
          <w:numId w:val="22"/>
        </w:numPr>
      </w:pPr>
      <w:r w:rsidRPr="007B7A6C">
        <w:t>The descriptive conditions which cover environmental standards such as "deposition of solids"</w:t>
      </w:r>
    </w:p>
    <w:p w14:paraId="51ACC439" w14:textId="614D8DF3" w:rsidR="00C00090" w:rsidRDefault="00E22AE7" w:rsidP="00542F79">
      <w:pPr>
        <w:pStyle w:val="Heading2"/>
        <w:numPr>
          <w:ilvl w:val="1"/>
          <w:numId w:val="1"/>
        </w:numPr>
        <w:ind w:left="709" w:hanging="709"/>
        <w:rPr>
          <w:rFonts w:eastAsia="Times New Roman"/>
        </w:rPr>
      </w:pPr>
      <w:bookmarkStart w:id="4" w:name="_Toc193872479"/>
      <w:r>
        <w:rPr>
          <w:rFonts w:eastAsia="Times New Roman"/>
        </w:rPr>
        <w:t>Permit</w:t>
      </w:r>
      <w:r w:rsidR="00BB7352">
        <w:rPr>
          <w:rFonts w:eastAsia="Times New Roman"/>
        </w:rPr>
        <w:t>s</w:t>
      </w:r>
      <w:bookmarkEnd w:id="4"/>
    </w:p>
    <w:p w14:paraId="5CB6E843" w14:textId="77777777" w:rsidR="00002BA4" w:rsidRDefault="006A1351" w:rsidP="007B7A6C">
      <w:pPr>
        <w:pStyle w:val="BodyText1"/>
      </w:pPr>
      <w:r w:rsidRPr="00513DC5">
        <w:t xml:space="preserve">Overflows within the boundary of a STW </w:t>
      </w:r>
      <w:r>
        <w:t>will</w:t>
      </w:r>
      <w:r w:rsidRPr="00513DC5">
        <w:t xml:space="preserve"> be included within the STW </w:t>
      </w:r>
      <w:r>
        <w:t>permit</w:t>
      </w:r>
      <w:r w:rsidRPr="00513DC5">
        <w:t xml:space="preserve"> and not the sewer network </w:t>
      </w:r>
      <w:r>
        <w:t>permit</w:t>
      </w:r>
      <w:r w:rsidRPr="00AE217B">
        <w:t>.</w:t>
      </w:r>
      <w:r>
        <w:t xml:space="preserve"> </w:t>
      </w:r>
    </w:p>
    <w:p w14:paraId="10D43647" w14:textId="72FA7E7A" w:rsidR="005225FE" w:rsidRDefault="00C00090" w:rsidP="005225FE">
      <w:pPr>
        <w:pStyle w:val="BodyText1"/>
      </w:pPr>
      <w:r w:rsidRPr="00AE217B">
        <w:t xml:space="preserve">The sewer network </w:t>
      </w:r>
      <w:r w:rsidR="00CB06A3">
        <w:t>permit</w:t>
      </w:r>
      <w:r w:rsidRPr="00AE217B">
        <w:t xml:space="preserve"> </w:t>
      </w:r>
      <w:r w:rsidR="00807870">
        <w:t>will</w:t>
      </w:r>
      <w:r w:rsidRPr="00AE217B">
        <w:t xml:space="preserve"> be used for all network overflows </w:t>
      </w:r>
      <w:r w:rsidR="003C71D4">
        <w:t>permitted</w:t>
      </w:r>
      <w:r w:rsidRPr="00AE217B">
        <w:t xml:space="preserve"> to Scottish Water, even if these only consist of a single overflow.  </w:t>
      </w:r>
      <w:r w:rsidR="00D754EC">
        <w:t xml:space="preserve">These may be </w:t>
      </w:r>
      <w:r w:rsidR="005225FE" w:rsidRPr="00513DC5">
        <w:t xml:space="preserve">previously unauthorised or authorised by deemed registrations (previously COPA consents) or </w:t>
      </w:r>
      <w:r w:rsidR="005225FE">
        <w:t>EASR permit</w:t>
      </w:r>
      <w:r w:rsidR="005225FE" w:rsidRPr="00513DC5">
        <w:t xml:space="preserve">s. </w:t>
      </w:r>
    </w:p>
    <w:p w14:paraId="24937423" w14:textId="6BAB713B" w:rsidR="00C00090" w:rsidRPr="00AE217B" w:rsidRDefault="00C00090" w:rsidP="007B7A6C">
      <w:pPr>
        <w:pStyle w:val="BodyText1"/>
      </w:pPr>
      <w:r w:rsidRPr="00AE217B">
        <w:t xml:space="preserve">Private (including PFI operated) overflows </w:t>
      </w:r>
      <w:r w:rsidR="00306AE8">
        <w:t xml:space="preserve">have standalone </w:t>
      </w:r>
      <w:r w:rsidRPr="00AE217B">
        <w:t xml:space="preserve">CSO and EO </w:t>
      </w:r>
      <w:r w:rsidR="00516CCE">
        <w:t>permits</w:t>
      </w:r>
      <w:r w:rsidRPr="00AE217B">
        <w:t xml:space="preserve">. When </w:t>
      </w:r>
      <w:r w:rsidR="00E56B97">
        <w:t xml:space="preserve">a </w:t>
      </w:r>
      <w:r w:rsidRPr="00AE217B">
        <w:t xml:space="preserve">private overflow </w:t>
      </w:r>
      <w:r w:rsidR="00E56B97">
        <w:t>is</w:t>
      </w:r>
      <w:r w:rsidRPr="00AE217B">
        <w:t xml:space="preserve"> subsequently adopted by Scottish Water (for example a pumping station EO) then an application to include the overflow in the relevant network </w:t>
      </w:r>
      <w:r w:rsidR="00CB06A3">
        <w:t>permit</w:t>
      </w:r>
      <w:r w:rsidRPr="00AE217B">
        <w:t xml:space="preserve"> should be submitted to SEPA.</w:t>
      </w:r>
    </w:p>
    <w:p w14:paraId="40D0B325" w14:textId="59B3D40A" w:rsidR="00C00090" w:rsidRDefault="00E47AE4" w:rsidP="00542F79">
      <w:pPr>
        <w:pStyle w:val="Heading2"/>
        <w:numPr>
          <w:ilvl w:val="1"/>
          <w:numId w:val="1"/>
        </w:numPr>
        <w:ind w:left="709" w:hanging="709"/>
        <w:rPr>
          <w:rFonts w:eastAsia="Times New Roman"/>
        </w:rPr>
      </w:pPr>
      <w:bookmarkStart w:id="5" w:name="_Toc193872480"/>
      <w:r>
        <w:rPr>
          <w:rFonts w:eastAsia="Times New Roman"/>
        </w:rPr>
        <w:lastRenderedPageBreak/>
        <w:t>Permitting</w:t>
      </w:r>
      <w:r w:rsidR="00C00090">
        <w:rPr>
          <w:rFonts w:eastAsia="Times New Roman"/>
        </w:rPr>
        <w:t xml:space="preserve"> existing CSOs or EOs</w:t>
      </w:r>
      <w:bookmarkEnd w:id="5"/>
    </w:p>
    <w:p w14:paraId="2FA864C3" w14:textId="4DBAB846" w:rsidR="00C00090" w:rsidRPr="004A4F63" w:rsidRDefault="00C00090" w:rsidP="007B7A6C">
      <w:pPr>
        <w:pStyle w:val="BodyText1"/>
      </w:pPr>
      <w:proofErr w:type="gramStart"/>
      <w:r w:rsidRPr="004A4F63">
        <w:t>In order to</w:t>
      </w:r>
      <w:proofErr w:type="gramEnd"/>
      <w:r w:rsidRPr="004A4F63">
        <w:t xml:space="preserve"> comply with the requirements of the UWWTR in relation to existing intermittent discharges, the </w:t>
      </w:r>
      <w:r w:rsidRPr="006329D1">
        <w:t>UWWTR Guidance Note</w:t>
      </w:r>
      <w:r w:rsidRPr="004A4F63">
        <w:t xml:space="preserve"> identifies unsatisfactory discharges (otherwise known as unsatisfactory intermittent discharges or UIDs) </w:t>
      </w:r>
      <w:proofErr w:type="gramStart"/>
      <w:r w:rsidRPr="004A4F63">
        <w:t>on the basis of</w:t>
      </w:r>
      <w:proofErr w:type="gramEnd"/>
      <w:r w:rsidRPr="004A4F63">
        <w:t xml:space="preserve"> six failure criteria:</w:t>
      </w:r>
    </w:p>
    <w:p w14:paraId="6A2E5C56" w14:textId="77777777" w:rsidR="00C00090" w:rsidRPr="004A4F63" w:rsidRDefault="00C00090" w:rsidP="00542F79">
      <w:pPr>
        <w:pStyle w:val="BodyText1"/>
        <w:numPr>
          <w:ilvl w:val="0"/>
          <w:numId w:val="24"/>
        </w:numPr>
      </w:pPr>
      <w:r w:rsidRPr="004A4F63">
        <w:t>Causes significant visual or aesthetic impact due to solids or fungus or has a history of justified public complaint</w:t>
      </w:r>
      <w:r>
        <w:t>.</w:t>
      </w:r>
    </w:p>
    <w:p w14:paraId="0F9944BC" w14:textId="77777777" w:rsidR="00C00090" w:rsidRPr="004A4F63" w:rsidRDefault="00C00090" w:rsidP="00542F79">
      <w:pPr>
        <w:pStyle w:val="BodyText1"/>
        <w:numPr>
          <w:ilvl w:val="0"/>
          <w:numId w:val="24"/>
        </w:numPr>
      </w:pPr>
      <w:r w:rsidRPr="004A4F63">
        <w:t>Causes or makes a significant contribution to a deterioration in chemical or biological status</w:t>
      </w:r>
      <w:r>
        <w:t>.</w:t>
      </w:r>
    </w:p>
    <w:p w14:paraId="05EE8C95" w14:textId="77777777" w:rsidR="00C00090" w:rsidRPr="004A4F63" w:rsidRDefault="00C00090" w:rsidP="00542F79">
      <w:pPr>
        <w:pStyle w:val="BodyText1"/>
        <w:numPr>
          <w:ilvl w:val="0"/>
          <w:numId w:val="24"/>
        </w:numPr>
      </w:pPr>
      <w:r w:rsidRPr="004A4F63">
        <w:t>Causes or makes a significant contribution to a failure to comply with Bathing Water Quality Standards for identified bathing waters and/or Shellfish Waters</w:t>
      </w:r>
      <w:r>
        <w:t>.</w:t>
      </w:r>
    </w:p>
    <w:p w14:paraId="2B93F105" w14:textId="77777777" w:rsidR="00C00090" w:rsidRPr="004A4F63" w:rsidRDefault="00C00090" w:rsidP="00542F79">
      <w:pPr>
        <w:pStyle w:val="BodyText1"/>
        <w:numPr>
          <w:ilvl w:val="0"/>
          <w:numId w:val="24"/>
        </w:numPr>
      </w:pPr>
      <w:r w:rsidRPr="004A4F63">
        <w:t>Operates in dry weather conditions</w:t>
      </w:r>
      <w:r>
        <w:t>.</w:t>
      </w:r>
    </w:p>
    <w:p w14:paraId="65920BD4" w14:textId="1F9F58FC" w:rsidR="00C00090" w:rsidRPr="004A4F63" w:rsidRDefault="00C00090" w:rsidP="00542F79">
      <w:pPr>
        <w:pStyle w:val="BodyText1"/>
        <w:numPr>
          <w:ilvl w:val="0"/>
          <w:numId w:val="24"/>
        </w:numPr>
      </w:pPr>
      <w:r w:rsidRPr="004A4F63">
        <w:t xml:space="preserve">Operates in breach of </w:t>
      </w:r>
      <w:r w:rsidR="00E22AE7">
        <w:t>permit</w:t>
      </w:r>
      <w:r w:rsidRPr="004A4F63">
        <w:t xml:space="preserve"> conditions </w:t>
      </w:r>
      <w:proofErr w:type="gramStart"/>
      <w:r w:rsidRPr="004A4F63">
        <w:t>provided that</w:t>
      </w:r>
      <w:proofErr w:type="gramEnd"/>
      <w:r w:rsidRPr="004A4F63">
        <w:t xml:space="preserve"> they are still appropriate</w:t>
      </w:r>
      <w:r>
        <w:t>;</w:t>
      </w:r>
      <w:r w:rsidRPr="004A4F63">
        <w:t xml:space="preserve"> and/or</w:t>
      </w:r>
    </w:p>
    <w:p w14:paraId="2EDCBB01" w14:textId="77B7E930" w:rsidR="00C00090" w:rsidRPr="004A4F63" w:rsidRDefault="00C00090" w:rsidP="00542F79">
      <w:pPr>
        <w:pStyle w:val="BodyText1"/>
        <w:numPr>
          <w:ilvl w:val="0"/>
          <w:numId w:val="24"/>
        </w:numPr>
      </w:pPr>
      <w:r w:rsidRPr="004A4F63">
        <w:t>Causes a breach of water quality standards (EQS) or other E</w:t>
      </w:r>
      <w:r w:rsidR="00AA76A0">
        <w:t>U</w:t>
      </w:r>
      <w:r w:rsidRPr="004A4F63">
        <w:t xml:space="preserve"> Directive requirements. </w:t>
      </w:r>
    </w:p>
    <w:p w14:paraId="2A9DC4D4" w14:textId="1DD5A02D" w:rsidR="00BA5484" w:rsidRDefault="00C00090" w:rsidP="007B7A6C">
      <w:pPr>
        <w:pStyle w:val="BodyText1"/>
      </w:pPr>
      <w:r w:rsidRPr="004A4F63">
        <w:t xml:space="preserve">An existing discharge which meets one or more of the above criteria is classed unsatisfactory and will require improvement to address the failing criteria only. For example, if the discharge is deemed unsatisfactory due to the presence of sewage solids in the watercourse, screening to the required standard will be the only substantial change when reviewing the </w:t>
      </w:r>
      <w:r w:rsidR="00E22AE7">
        <w:t>permit</w:t>
      </w:r>
      <w:r w:rsidRPr="004A4F63">
        <w:t>.</w:t>
      </w:r>
    </w:p>
    <w:p w14:paraId="0CEF5EB8" w14:textId="19DC4FC8" w:rsidR="00C00090" w:rsidRDefault="00C00090" w:rsidP="007B7A6C">
      <w:pPr>
        <w:pStyle w:val="BodyText1"/>
      </w:pPr>
      <w:r w:rsidRPr="00A60103">
        <w:t>Existing network overflows</w:t>
      </w:r>
      <w:r w:rsidRPr="00E16C78">
        <w:t xml:space="preserve"> </w:t>
      </w:r>
      <w:r w:rsidRPr="007B7A6C">
        <w:t>will</w:t>
      </w:r>
      <w:r w:rsidRPr="00E16C78">
        <w:t xml:space="preserve"> be </w:t>
      </w:r>
      <w:r w:rsidR="003C71D4">
        <w:t>permitted</w:t>
      </w:r>
      <w:r w:rsidRPr="00E16C78">
        <w:t xml:space="preserve"> in the </w:t>
      </w:r>
      <w:r w:rsidR="00601ABF">
        <w:t>sewer network permit</w:t>
      </w:r>
      <w:r w:rsidRPr="00E16C78">
        <w:t xml:space="preserve"> on an ‘as is’ basis. If the overflows are unsatisfactory this </w:t>
      </w:r>
      <w:r w:rsidRPr="007B7A6C">
        <w:t>will</w:t>
      </w:r>
      <w:r w:rsidRPr="00E16C78">
        <w:t xml:space="preserve"> be dealt </w:t>
      </w:r>
      <w:r w:rsidRPr="00A60103">
        <w:t xml:space="preserve">with through SEPA’s Enforcement Policy and the agreed investment process. </w:t>
      </w:r>
    </w:p>
    <w:p w14:paraId="77470282" w14:textId="207264B0" w:rsidR="00C00090" w:rsidRPr="00A60103" w:rsidRDefault="00C00090" w:rsidP="007B7A6C">
      <w:pPr>
        <w:pStyle w:val="BodyText1"/>
      </w:pPr>
      <w:r w:rsidRPr="007B7A6C">
        <w:t xml:space="preserve">The first SEPA inspection focuses on checking of current </w:t>
      </w:r>
      <w:r w:rsidR="00E22AE7">
        <w:t>permit</w:t>
      </w:r>
      <w:r w:rsidRPr="007B7A6C">
        <w:t xml:space="preserve"> conditions and is a verification audit. Any consequent corrections to </w:t>
      </w:r>
      <w:r w:rsidR="00E22AE7">
        <w:t>permit</w:t>
      </w:r>
      <w:r w:rsidRPr="007B7A6C">
        <w:t xml:space="preserve"> conditions should be achieved by a SEPA initiated variation.</w:t>
      </w:r>
    </w:p>
    <w:p w14:paraId="07C51587" w14:textId="30C28A55" w:rsidR="00C00090" w:rsidRDefault="00C00090" w:rsidP="007826E2">
      <w:pPr>
        <w:pStyle w:val="BodyText1"/>
      </w:pPr>
      <w:r w:rsidRPr="00A60103">
        <w:t>However</w:t>
      </w:r>
      <w:r>
        <w:t>,</w:t>
      </w:r>
      <w:r w:rsidRPr="00A60103">
        <w:t xml:space="preserve"> any subsequent changes that Scottish Water wish to make to the </w:t>
      </w:r>
      <w:r w:rsidR="00E22AE7">
        <w:t>permit</w:t>
      </w:r>
      <w:r w:rsidRPr="00A60103">
        <w:t xml:space="preserve"> will be via an </w:t>
      </w:r>
      <w:proofErr w:type="gramStart"/>
      <w:r w:rsidRPr="00A60103">
        <w:t>operator initiated</w:t>
      </w:r>
      <w:proofErr w:type="gramEnd"/>
      <w:r w:rsidRPr="00A60103">
        <w:t xml:space="preserve"> variation. </w:t>
      </w:r>
    </w:p>
    <w:p w14:paraId="2ED78F85" w14:textId="61D03D55" w:rsidR="00C00090" w:rsidRDefault="00E47AE4" w:rsidP="00542F79">
      <w:pPr>
        <w:pStyle w:val="Heading2"/>
        <w:numPr>
          <w:ilvl w:val="1"/>
          <w:numId w:val="1"/>
        </w:numPr>
        <w:ind w:left="709" w:hanging="709"/>
        <w:rPr>
          <w:rFonts w:eastAsia="Times New Roman"/>
        </w:rPr>
      </w:pPr>
      <w:bookmarkStart w:id="6" w:name="_Toc193872481"/>
      <w:r>
        <w:rPr>
          <w:rFonts w:eastAsia="Times New Roman"/>
        </w:rPr>
        <w:lastRenderedPageBreak/>
        <w:t>Permitting</w:t>
      </w:r>
      <w:r w:rsidR="00C00090">
        <w:rPr>
          <w:rFonts w:eastAsia="Times New Roman"/>
        </w:rPr>
        <w:t xml:space="preserve"> new CSOs or EOs</w:t>
      </w:r>
      <w:bookmarkEnd w:id="6"/>
    </w:p>
    <w:p w14:paraId="2F21F133" w14:textId="37A0D248" w:rsidR="00C00090" w:rsidRPr="00E8686D" w:rsidRDefault="00C00090" w:rsidP="007B7A6C">
      <w:pPr>
        <w:pStyle w:val="BodyText1"/>
      </w:pPr>
      <w:r w:rsidRPr="00E8686D">
        <w:t xml:space="preserve">Sewer flooding risks are expected to increase </w:t>
      </w:r>
      <w:proofErr w:type="gramStart"/>
      <w:r w:rsidRPr="00E8686D">
        <w:t>as a consequence of</w:t>
      </w:r>
      <w:proofErr w:type="gramEnd"/>
      <w:r w:rsidRPr="00E8686D">
        <w:t xml:space="preserve"> climate change.  These risks can be minimised by the progressive reduction of sources of surface water runoff into the combined sewer and reduction in groundwater infiltration into sewers.</w:t>
      </w:r>
    </w:p>
    <w:p w14:paraId="59B77F22" w14:textId="0FB5A433" w:rsidR="00C00090" w:rsidRDefault="00C00090" w:rsidP="007B7A6C">
      <w:pPr>
        <w:pStyle w:val="BodyText1"/>
      </w:pPr>
      <w:r w:rsidRPr="00E8686D">
        <w:t>As well as alleviating flood risk, reducing inflows to sewers has other benefits.  These include freeing up sewer capacity for future development, reducing pollution from CSOs, making the sewer network more adaptable and resilient to climate change, reducing the power consumed by pumping and treating the excess inflows and recharging groundwater supplies. By reducing surface water inflows to sewers, the need for new CSOs should therefore be kept to the absolute minimum.</w:t>
      </w:r>
    </w:p>
    <w:p w14:paraId="4668FE51" w14:textId="700BABA9" w:rsidR="00C00090" w:rsidRDefault="00C00090" w:rsidP="007B7A6C">
      <w:pPr>
        <w:pStyle w:val="BodyText1"/>
      </w:pPr>
      <w:r w:rsidRPr="00E8686D">
        <w:t xml:space="preserve">Measures that reduce surface water (and groundwater) in sewers shall be considered before new or increased CSO discharges on an existing sewerage system are implemented. However, a new CSO may be considered acceptable </w:t>
      </w:r>
      <w:proofErr w:type="gramStart"/>
      <w:r w:rsidRPr="00E8686D">
        <w:t>as long as</w:t>
      </w:r>
      <w:proofErr w:type="gramEnd"/>
      <w:r w:rsidRPr="00E8686D">
        <w:t xml:space="preserve"> there is no unacceptable water quality impact.</w:t>
      </w:r>
    </w:p>
    <w:p w14:paraId="7A406762" w14:textId="64A1DAEC" w:rsidR="00C00090" w:rsidRDefault="00414E03" w:rsidP="007B7A6C">
      <w:pPr>
        <w:pStyle w:val="BodyText1"/>
      </w:pPr>
      <w:r>
        <w:t xml:space="preserve">For applications for </w:t>
      </w:r>
      <w:r w:rsidR="002C42E9">
        <w:t xml:space="preserve">a </w:t>
      </w:r>
      <w:r>
        <w:t>new EO</w:t>
      </w:r>
      <w:r w:rsidR="002C42E9">
        <w:t>,</w:t>
      </w:r>
      <w:r>
        <w:t xml:space="preserve"> </w:t>
      </w:r>
      <w:r w:rsidRPr="004A03E5">
        <w:t>r</w:t>
      </w:r>
      <w:r w:rsidR="00C00090" w:rsidRPr="004A03E5">
        <w:t xml:space="preserve">efer to </w:t>
      </w:r>
      <w:hyperlink w:anchor="_6._Pumping_station" w:history="1">
        <w:r w:rsidR="00C00090" w:rsidRPr="00F31935">
          <w:rPr>
            <w:rStyle w:val="Hyperlink"/>
          </w:rPr>
          <w:t xml:space="preserve">section </w:t>
        </w:r>
        <w:r w:rsidR="004A03E5" w:rsidRPr="00F31935">
          <w:rPr>
            <w:rStyle w:val="Hyperlink"/>
          </w:rPr>
          <w:t>6</w:t>
        </w:r>
      </w:hyperlink>
      <w:r w:rsidR="00C00090" w:rsidRPr="0051277A">
        <w:t>.</w:t>
      </w:r>
    </w:p>
    <w:p w14:paraId="723FD1F5" w14:textId="5CC79628" w:rsidR="00C00090" w:rsidRDefault="00C00090" w:rsidP="007B7A6C">
      <w:pPr>
        <w:pStyle w:val="BodyText1"/>
      </w:pPr>
      <w:r w:rsidRPr="007B770A">
        <w:t xml:space="preserve">When a new Scottish Water overflow is </w:t>
      </w:r>
      <w:r w:rsidR="00A42101">
        <w:t>proposed</w:t>
      </w:r>
      <w:r w:rsidRPr="007B770A">
        <w:t xml:space="preserve">, an application should be submitted to include </w:t>
      </w:r>
      <w:r w:rsidR="00E11EEB">
        <w:t>the discharge</w:t>
      </w:r>
      <w:r w:rsidRPr="007B770A">
        <w:t xml:space="preserve"> in the relevant network </w:t>
      </w:r>
      <w:r w:rsidR="00CB06A3">
        <w:t>permit</w:t>
      </w:r>
      <w:r w:rsidRPr="007B770A">
        <w:t xml:space="preserve"> (unless it is within the boundary of a STW</w:t>
      </w:r>
      <w:r w:rsidR="00325512">
        <w:t>,</w:t>
      </w:r>
      <w:r w:rsidRPr="007B770A">
        <w:t xml:space="preserve"> in which case this will be varied as part of the STW </w:t>
      </w:r>
      <w:r w:rsidR="00E22AE7">
        <w:t>permit</w:t>
      </w:r>
      <w:r>
        <w:t>)</w:t>
      </w:r>
      <w:r w:rsidRPr="007B770A">
        <w:t xml:space="preserve">. </w:t>
      </w:r>
    </w:p>
    <w:p w14:paraId="19FC01F1" w14:textId="6739F6D8" w:rsidR="00C00090" w:rsidRDefault="00C00090" w:rsidP="007B7A6C">
      <w:pPr>
        <w:pStyle w:val="BodyText1"/>
      </w:pPr>
      <w:r w:rsidRPr="007B770A">
        <w:t xml:space="preserve">This will be achieved by an </w:t>
      </w:r>
      <w:proofErr w:type="gramStart"/>
      <w:r w:rsidRPr="007B770A">
        <w:t>operator initiated</w:t>
      </w:r>
      <w:proofErr w:type="gramEnd"/>
      <w:r w:rsidRPr="007B770A">
        <w:t xml:space="preserve"> variation, with the relevant variation fee based on the population equivalent of the sewer network flowing into that asset. Refer to the SEPA Charging Scheme guidance.</w:t>
      </w:r>
    </w:p>
    <w:p w14:paraId="72DDD2A4" w14:textId="063A5F7F" w:rsidR="002C6330" w:rsidRDefault="00A22A50" w:rsidP="00B1682E">
      <w:pPr>
        <w:pStyle w:val="BodyText1"/>
      </w:pPr>
      <w:r w:rsidRPr="006F5477">
        <w:t xml:space="preserve">The outfall must be installed in accordance with EASR </w:t>
      </w:r>
      <w:r w:rsidR="00337FEA" w:rsidRPr="006F5477">
        <w:t xml:space="preserve">Water </w:t>
      </w:r>
      <w:r w:rsidRPr="006F5477">
        <w:t>GBR 6.  The outfall should be designed and installed following best practice as described in WAT-G-036 EASR Guidance: Intakes and outfalls.</w:t>
      </w:r>
    </w:p>
    <w:p w14:paraId="1069894E" w14:textId="457A516D" w:rsidR="00180E42" w:rsidRPr="00B81A9F" w:rsidRDefault="00901D47" w:rsidP="00542F79">
      <w:pPr>
        <w:pStyle w:val="Heading1"/>
        <w:numPr>
          <w:ilvl w:val="0"/>
          <w:numId w:val="1"/>
        </w:numPr>
        <w:ind w:hanging="720"/>
        <w:rPr>
          <w:rFonts w:eastAsia="Times New Roman"/>
        </w:rPr>
      </w:pPr>
      <w:bookmarkStart w:id="7" w:name="_Toc193872482"/>
      <w:r>
        <w:rPr>
          <w:rFonts w:eastAsia="Times New Roman"/>
        </w:rPr>
        <w:t>Designing CSO</w:t>
      </w:r>
      <w:r w:rsidR="00AB12F0">
        <w:rPr>
          <w:rFonts w:eastAsia="Times New Roman"/>
        </w:rPr>
        <w:t>s</w:t>
      </w:r>
      <w:r>
        <w:rPr>
          <w:rFonts w:eastAsia="Times New Roman"/>
        </w:rPr>
        <w:t xml:space="preserve"> to pr</w:t>
      </w:r>
      <w:r w:rsidR="00967C13">
        <w:rPr>
          <w:rFonts w:eastAsia="Times New Roman"/>
        </w:rPr>
        <w:t>otect the water environment</w:t>
      </w:r>
      <w:bookmarkEnd w:id="7"/>
    </w:p>
    <w:p w14:paraId="70653EE6" w14:textId="77777777" w:rsidR="00877598" w:rsidRDefault="00877598" w:rsidP="007B7A6C">
      <w:pPr>
        <w:pStyle w:val="BodyText1"/>
      </w:pPr>
      <w:r w:rsidRPr="00877598">
        <w:t xml:space="preserve">CSOs can be located anywhere on the sewerage network: </w:t>
      </w:r>
    </w:p>
    <w:p w14:paraId="3386E812" w14:textId="77777777" w:rsidR="00877598" w:rsidRDefault="00877598" w:rsidP="00542F79">
      <w:pPr>
        <w:pStyle w:val="BodyText1"/>
        <w:numPr>
          <w:ilvl w:val="0"/>
          <w:numId w:val="25"/>
        </w:numPr>
      </w:pPr>
      <w:r>
        <w:lastRenderedPageBreak/>
        <w:t>O</w:t>
      </w:r>
      <w:r w:rsidRPr="00877598">
        <w:t>n a branch sewer remote from the STW</w:t>
      </w:r>
      <w:r>
        <w:t>.</w:t>
      </w:r>
    </w:p>
    <w:p w14:paraId="4465B8E4" w14:textId="77777777" w:rsidR="00877598" w:rsidRDefault="00877598" w:rsidP="00542F79">
      <w:pPr>
        <w:pStyle w:val="BodyText1"/>
        <w:numPr>
          <w:ilvl w:val="0"/>
          <w:numId w:val="25"/>
        </w:numPr>
      </w:pPr>
      <w:r>
        <w:t>A</w:t>
      </w:r>
      <w:r w:rsidRPr="00877598">
        <w:t xml:space="preserve">t a sewage pumping station; or </w:t>
      </w:r>
    </w:p>
    <w:p w14:paraId="4016597E" w14:textId="3EE79EFB" w:rsidR="00877598" w:rsidRDefault="00877598" w:rsidP="00542F79">
      <w:pPr>
        <w:pStyle w:val="BodyText1"/>
        <w:numPr>
          <w:ilvl w:val="0"/>
          <w:numId w:val="25"/>
        </w:numPr>
      </w:pPr>
      <w:r>
        <w:t>O</w:t>
      </w:r>
      <w:r w:rsidRPr="00877598">
        <w:t xml:space="preserve">n an inlet sewer to the STW. </w:t>
      </w:r>
    </w:p>
    <w:p w14:paraId="77C44321" w14:textId="35F62AC3" w:rsidR="00E6319E" w:rsidRDefault="00877598" w:rsidP="007B7A6C">
      <w:pPr>
        <w:pStyle w:val="BodyText1"/>
      </w:pPr>
      <w:r w:rsidRPr="00877598">
        <w:t xml:space="preserve">It is usually preferable to base the design of a CSO on the output of sewer hydraulic and water quality impact models. </w:t>
      </w:r>
      <w:r w:rsidR="008E211E" w:rsidRPr="007B7A6C">
        <w:rPr>
          <w:rFonts w:cs="Arial"/>
        </w:rPr>
        <w:t>Where there is a low risk to the water environment, termed a “low significan</w:t>
      </w:r>
      <w:r w:rsidR="002362F6" w:rsidRPr="007B7A6C">
        <w:rPr>
          <w:rFonts w:cs="Arial"/>
        </w:rPr>
        <w:t>ce</w:t>
      </w:r>
      <w:r w:rsidR="008E211E" w:rsidRPr="007B7A6C">
        <w:rPr>
          <w:rFonts w:cs="Arial"/>
        </w:rPr>
        <w:t xml:space="preserve"> discharge”</w:t>
      </w:r>
      <w:r w:rsidR="008E211E" w:rsidRPr="0051277A">
        <w:rPr>
          <w:rFonts w:cs="Arial"/>
          <w:color w:val="FF0000"/>
        </w:rPr>
        <w:t xml:space="preserve"> </w:t>
      </w:r>
      <w:r w:rsidRPr="0051277A">
        <w:t>the</w:t>
      </w:r>
      <w:r w:rsidRPr="00877598">
        <w:t xml:space="preserve"> cost of data collection for model construction or calibration may render this approach disproportionately expensive and incur significant delays in construction. </w:t>
      </w:r>
    </w:p>
    <w:p w14:paraId="39345B9F" w14:textId="1A5770CB" w:rsidR="00B1422F" w:rsidRDefault="00E6319E" w:rsidP="007B7A6C">
      <w:pPr>
        <w:pStyle w:val="BodyText1"/>
      </w:pPr>
      <w:r>
        <w:t xml:space="preserve">The </w:t>
      </w:r>
      <w:r w:rsidR="001800E5" w:rsidRPr="007B7A6C">
        <w:t>UWWTR Guidance Note</w:t>
      </w:r>
      <w:r>
        <w:t xml:space="preserve"> and the </w:t>
      </w:r>
      <w:hyperlink r:id="rId17" w:history="1">
        <w:r>
          <w:rPr>
            <w:rStyle w:val="Hyperlink"/>
          </w:rPr>
          <w:t>Urban Pollution Management Manual</w:t>
        </w:r>
      </w:hyperlink>
      <w:r>
        <w:t xml:space="preserve"> (UPM) advocate </w:t>
      </w:r>
      <w:r w:rsidR="006E5244">
        <w:t>a</w:t>
      </w:r>
      <w:r>
        <w:t xml:space="preserve"> graduated assessment of the level of investigation required to determine the impact of a CSO discharge on the receiving waters.</w:t>
      </w:r>
      <w:r w:rsidRPr="00E6319E">
        <w:t xml:space="preserve"> </w:t>
      </w:r>
      <w:r>
        <w:t>Any network improvements must be agreed and delivered via the Quality and Standards (Q &amp; S) investment process.</w:t>
      </w:r>
    </w:p>
    <w:p w14:paraId="68F9BFBF" w14:textId="6537F995" w:rsidR="00B1422F" w:rsidRDefault="004D57DF" w:rsidP="007B7A6C">
      <w:pPr>
        <w:pStyle w:val="Heading2"/>
      </w:pPr>
      <w:bookmarkStart w:id="8" w:name="_4.1._CSO_discharges"/>
      <w:bookmarkStart w:id="9" w:name="_Toc193872483"/>
      <w:bookmarkEnd w:id="8"/>
      <w:r>
        <w:t>4</w:t>
      </w:r>
      <w:r w:rsidR="00B1422F">
        <w:t>.1.</w:t>
      </w:r>
      <w:r w:rsidR="00B1422F">
        <w:tab/>
        <w:t xml:space="preserve">CSO discharges to </w:t>
      </w:r>
      <w:r w:rsidR="00C07B29">
        <w:t>watercourses</w:t>
      </w:r>
      <w:bookmarkEnd w:id="9"/>
    </w:p>
    <w:p w14:paraId="159A79AE" w14:textId="5709850E" w:rsidR="00B87B00" w:rsidRDefault="00CA1444" w:rsidP="007B7A6C">
      <w:pPr>
        <w:pStyle w:val="BodyText1"/>
        <w:rPr>
          <w:rFonts w:cs="Arial"/>
        </w:rPr>
      </w:pPr>
      <w:r>
        <w:t>Fo</w:t>
      </w:r>
      <w:r w:rsidR="00CB46F0">
        <w:t>r</w:t>
      </w:r>
      <w:r>
        <w:t xml:space="preserve"> low significance discharges to inland waters </w:t>
      </w:r>
      <w:r w:rsidR="00877598" w:rsidRPr="00877598">
        <w:t xml:space="preserve">accepted practice </w:t>
      </w:r>
      <w:r>
        <w:t xml:space="preserve">is </w:t>
      </w:r>
      <w:r w:rsidR="00877598" w:rsidRPr="00877598">
        <w:t xml:space="preserve">to require flows up to the equivalent to "Formula A" to be passed forward to the treatment works and flows </w:t>
      </w:r>
      <w:proofErr w:type="gramStart"/>
      <w:r w:rsidR="00877598" w:rsidRPr="00877598">
        <w:t>in excess of</w:t>
      </w:r>
      <w:proofErr w:type="gramEnd"/>
      <w:r w:rsidR="00877598" w:rsidRPr="00877598">
        <w:t xml:space="preserve"> this can discharge to the watercourse.</w:t>
      </w:r>
      <w:r w:rsidR="00877598">
        <w:t xml:space="preserve"> </w:t>
      </w:r>
      <w:r w:rsidR="00877598" w:rsidRPr="00877598">
        <w:t>Formula A is calculated according to the type of sewer catchment</w:t>
      </w:r>
      <w:r w:rsidR="00877598" w:rsidRPr="00B87B00">
        <w:t>.</w:t>
      </w:r>
      <w:r w:rsidR="00264C6A" w:rsidRPr="007B7A6C">
        <w:rPr>
          <w:rFonts w:cs="Arial"/>
        </w:rPr>
        <w:t xml:space="preserve"> </w:t>
      </w:r>
    </w:p>
    <w:p w14:paraId="3867EBC9" w14:textId="1AEC0CC4" w:rsidR="00B87B00" w:rsidRPr="007B7A6C" w:rsidRDefault="006554A7" w:rsidP="007B7A6C">
      <w:pPr>
        <w:pStyle w:val="BodyText1"/>
        <w:rPr>
          <w:rFonts w:cs="Arial"/>
        </w:rPr>
      </w:pPr>
      <w:r>
        <w:t xml:space="preserve"> </w:t>
      </w:r>
      <w:r w:rsidR="00737E1C" w:rsidRPr="007B7A6C">
        <w:rPr>
          <w:rFonts w:cs="Arial"/>
        </w:rPr>
        <w:t xml:space="preserve">As dilution decreases and risk to the water environment increases </w:t>
      </w:r>
      <w:r w:rsidR="00D04165" w:rsidRPr="007B7A6C">
        <w:rPr>
          <w:rFonts w:cs="Arial"/>
        </w:rPr>
        <w:t>discharge become of</w:t>
      </w:r>
      <w:r w:rsidR="00737E1C" w:rsidRPr="007B7A6C">
        <w:rPr>
          <w:rFonts w:cs="Arial"/>
        </w:rPr>
        <w:t xml:space="preserve"> “medium or high significance” </w:t>
      </w:r>
      <w:r w:rsidR="00D04165" w:rsidRPr="007B7A6C">
        <w:rPr>
          <w:rFonts w:cs="Arial"/>
        </w:rPr>
        <w:t xml:space="preserve">and </w:t>
      </w:r>
      <w:r w:rsidR="00737E1C" w:rsidRPr="007B7A6C">
        <w:rPr>
          <w:rFonts w:cs="Arial"/>
        </w:rPr>
        <w:t>need progressively more detailed catchment modelling and water quality impact assessment.</w:t>
      </w:r>
    </w:p>
    <w:p w14:paraId="318A3468" w14:textId="5A762D28" w:rsidR="006B4DC5" w:rsidRPr="00222F30" w:rsidRDefault="00B87B00" w:rsidP="007B7A6C">
      <w:pPr>
        <w:pStyle w:val="BodyText1"/>
      </w:pPr>
      <w:r w:rsidRPr="00222F30">
        <w:t>Formula A produces a more protective solution than 99%iles using simple modelling required for medium significance d</w:t>
      </w:r>
      <w:r w:rsidR="00941DD8">
        <w:t>i</w:t>
      </w:r>
      <w:r w:rsidRPr="00222F30">
        <w:t>scharges, and similarly 99%iles result in a more protective solution than FIS standards using complex modelling. However, this assumption may not be valid in all circumstances</w:t>
      </w:r>
      <w:r w:rsidR="006B4DC5" w:rsidRPr="00222F30">
        <w:t>.</w:t>
      </w:r>
    </w:p>
    <w:p w14:paraId="0D6A5E28" w14:textId="7B765774" w:rsidR="00737E1C" w:rsidRDefault="006B4DC5" w:rsidP="00EA09AF">
      <w:pPr>
        <w:pStyle w:val="BodyText1"/>
      </w:pPr>
      <w:r w:rsidRPr="00222F30">
        <w:t xml:space="preserve">The </w:t>
      </w:r>
      <w:r w:rsidR="005254E1" w:rsidRPr="00222F30">
        <w:t xml:space="preserve">general approach to be taken is set out below but the </w:t>
      </w:r>
      <w:r w:rsidRPr="00222F30">
        <w:t xml:space="preserve">approach to be adopted </w:t>
      </w:r>
      <w:r w:rsidRPr="007B7A6C">
        <w:t>should be</w:t>
      </w:r>
      <w:r w:rsidRPr="00222F30">
        <w:t xml:space="preserve"> agreed with </w:t>
      </w:r>
      <w:r w:rsidRPr="007B7A6C">
        <w:t>SEPA</w:t>
      </w:r>
      <w:r w:rsidR="005254E1" w:rsidRPr="007B7A6C">
        <w:t>’s</w:t>
      </w:r>
      <w:r w:rsidRPr="00222F30">
        <w:t xml:space="preserve"> </w:t>
      </w:r>
      <w:r w:rsidR="005254E1" w:rsidRPr="00222F30">
        <w:t>Informatics / ESIU (Environmental and Spatial Informatics Assessment Unit)</w:t>
      </w:r>
      <w:r w:rsidR="00655D5B" w:rsidRPr="00222F30">
        <w:t xml:space="preserve"> </w:t>
      </w:r>
      <w:r w:rsidRPr="00222F30">
        <w:t xml:space="preserve">at pre-application discussion stage. </w:t>
      </w:r>
    </w:p>
    <w:p w14:paraId="742E0BEA" w14:textId="695C87B9" w:rsidR="000F38A7" w:rsidRDefault="004D57DF" w:rsidP="009F34E1">
      <w:pPr>
        <w:pStyle w:val="Heading3"/>
        <w:rPr>
          <w:rFonts w:eastAsia="Times New Roman"/>
          <w:lang w:eastAsia="en-GB"/>
        </w:rPr>
      </w:pPr>
      <w:bookmarkStart w:id="10" w:name="_Toc193872484"/>
      <w:r>
        <w:rPr>
          <w:rFonts w:eastAsia="Times New Roman"/>
          <w:lang w:eastAsia="en-GB"/>
        </w:rPr>
        <w:lastRenderedPageBreak/>
        <w:t>4</w:t>
      </w:r>
      <w:r w:rsidR="009F34E1">
        <w:rPr>
          <w:rFonts w:eastAsia="Times New Roman"/>
          <w:lang w:eastAsia="en-GB"/>
        </w:rPr>
        <w:t>.1.1</w:t>
      </w:r>
      <w:r w:rsidR="009F34E1">
        <w:rPr>
          <w:rFonts w:eastAsia="Times New Roman"/>
          <w:lang w:eastAsia="en-GB"/>
        </w:rPr>
        <w:tab/>
      </w:r>
      <w:r w:rsidR="000F38A7">
        <w:rPr>
          <w:rFonts w:eastAsia="Times New Roman"/>
          <w:lang w:eastAsia="en-GB"/>
        </w:rPr>
        <w:t>Low significance discharges</w:t>
      </w:r>
      <w:bookmarkEnd w:id="10"/>
    </w:p>
    <w:p w14:paraId="258C1322" w14:textId="77777777" w:rsidR="000F38A7" w:rsidRDefault="000F38A7" w:rsidP="007B7A6C">
      <w:pPr>
        <w:pStyle w:val="BodyText1"/>
        <w:rPr>
          <w:lang w:eastAsia="en-GB"/>
        </w:rPr>
      </w:pPr>
      <w:r>
        <w:rPr>
          <w:lang w:eastAsia="en-GB"/>
        </w:rPr>
        <w:t>Low significance discharges are where:</w:t>
      </w:r>
    </w:p>
    <w:p w14:paraId="09C6D466" w14:textId="77777777" w:rsidR="000F38A7" w:rsidRPr="00526A67" w:rsidRDefault="000F38A7" w:rsidP="00542F79">
      <w:pPr>
        <w:pStyle w:val="BodyText1"/>
        <w:numPr>
          <w:ilvl w:val="0"/>
          <w:numId w:val="26"/>
        </w:numPr>
        <w:rPr>
          <w:rFonts w:cs="Arial"/>
        </w:rPr>
      </w:pPr>
      <w:r>
        <w:rPr>
          <w:rFonts w:cs="Arial"/>
        </w:rPr>
        <w:t>The d</w:t>
      </w:r>
      <w:r w:rsidRPr="00526A67">
        <w:rPr>
          <w:rFonts w:cs="Arial"/>
        </w:rPr>
        <w:t xml:space="preserve">ilution </w:t>
      </w:r>
      <w:r>
        <w:rPr>
          <w:rFonts w:cs="Arial"/>
        </w:rPr>
        <w:t xml:space="preserve">is </w:t>
      </w:r>
      <w:r w:rsidRPr="00526A67">
        <w:rPr>
          <w:rFonts w:cs="Arial"/>
        </w:rPr>
        <w:t xml:space="preserve">greater than 8:1 </w:t>
      </w:r>
      <w:r w:rsidRPr="00222F30">
        <w:rPr>
          <w:rFonts w:cs="Arial"/>
        </w:rPr>
        <w:t>(</w:t>
      </w:r>
      <w:r w:rsidRPr="007B7A6C">
        <w:rPr>
          <w:rFonts w:cs="Arial"/>
        </w:rPr>
        <w:t>DWF @ 5% low river flows); and</w:t>
      </w:r>
    </w:p>
    <w:p w14:paraId="2BCF06C0" w14:textId="77777777" w:rsidR="000F38A7" w:rsidRPr="00526A67" w:rsidRDefault="000F38A7" w:rsidP="00542F79">
      <w:pPr>
        <w:pStyle w:val="BodyText1"/>
        <w:numPr>
          <w:ilvl w:val="0"/>
          <w:numId w:val="26"/>
        </w:numPr>
        <w:rPr>
          <w:rFonts w:cs="Arial"/>
        </w:rPr>
      </w:pPr>
      <w:r w:rsidRPr="00526A67">
        <w:rPr>
          <w:rFonts w:cs="Arial"/>
        </w:rPr>
        <w:t>There is no interaction with other discharges; and</w:t>
      </w:r>
    </w:p>
    <w:p w14:paraId="5D0CB494" w14:textId="67B1C3E2" w:rsidR="000F38A7" w:rsidRPr="00EA09AF" w:rsidRDefault="000F38A7" w:rsidP="00542F79">
      <w:pPr>
        <w:pStyle w:val="BodyText1"/>
        <w:numPr>
          <w:ilvl w:val="0"/>
          <w:numId w:val="26"/>
        </w:numPr>
        <w:rPr>
          <w:rFonts w:cs="Arial"/>
        </w:rPr>
      </w:pPr>
      <w:r w:rsidRPr="00526A67">
        <w:rPr>
          <w:rFonts w:cs="Arial"/>
        </w:rPr>
        <w:t>The population equivalent is less than 10,000</w:t>
      </w:r>
      <w:r>
        <w:rPr>
          <w:rFonts w:cs="Arial"/>
        </w:rPr>
        <w:t>.</w:t>
      </w:r>
    </w:p>
    <w:p w14:paraId="71542713" w14:textId="3159BCB8" w:rsidR="000F38A7" w:rsidRDefault="000F38A7" w:rsidP="007B7A6C">
      <w:pPr>
        <w:pStyle w:val="BodyText1"/>
      </w:pPr>
      <w:r w:rsidRPr="007B7A6C">
        <w:t>All 3 criteria should apply</w:t>
      </w:r>
      <w:r w:rsidR="0087787C">
        <w:t xml:space="preserve">. </w:t>
      </w:r>
      <w:r w:rsidRPr="007B7A6C">
        <w:t xml:space="preserve"> </w:t>
      </w:r>
      <w:r w:rsidR="0087787C">
        <w:t>I</w:t>
      </w:r>
      <w:r w:rsidRPr="007B7A6C">
        <w:t>f not</w:t>
      </w:r>
      <w:r w:rsidR="00C0436D">
        <w:t>,</w:t>
      </w:r>
      <w:r w:rsidRPr="007B7A6C">
        <w:t xml:space="preserve"> </w:t>
      </w:r>
      <w:r w:rsidR="005B6D9A">
        <w:t>we will</w:t>
      </w:r>
      <w:r w:rsidR="00217333">
        <w:t xml:space="preserve"> refer to</w:t>
      </w:r>
      <w:r>
        <w:t xml:space="preserve"> </w:t>
      </w:r>
      <w:r w:rsidR="00C0436D">
        <w:t xml:space="preserve">the </w:t>
      </w:r>
      <w:r w:rsidR="00894248" w:rsidRPr="007B7A6C">
        <w:t>m</w:t>
      </w:r>
      <w:r w:rsidRPr="007B7A6C">
        <w:t>edium significance criteria.</w:t>
      </w:r>
    </w:p>
    <w:p w14:paraId="63E585A0" w14:textId="250ADBB3" w:rsidR="000F38A7" w:rsidRDefault="000F38A7" w:rsidP="00B1682E">
      <w:pPr>
        <w:pStyle w:val="BodyText1"/>
      </w:pPr>
      <w:r w:rsidRPr="00A3439D">
        <w:t>Minimum pass forward flow at overflows based on Formula A will normally be adequate. This assumes that available dilution will be sufficient to protect the river quality. Where an environmental problem is known, more detailed modelling may be required.</w:t>
      </w:r>
    </w:p>
    <w:p w14:paraId="3D3A5262" w14:textId="2AEDEB8B" w:rsidR="001F49B1" w:rsidRPr="007B7A6C" w:rsidRDefault="001F49B1" w:rsidP="009F34E1">
      <w:pPr>
        <w:pStyle w:val="Heading4"/>
      </w:pPr>
      <w:r w:rsidRPr="007B7A6C">
        <w:t>Formula A for a fully combined system</w:t>
      </w:r>
    </w:p>
    <w:p w14:paraId="3232C5E5" w14:textId="77777777" w:rsidR="001F49B1" w:rsidRPr="001F49B1" w:rsidRDefault="001F49B1" w:rsidP="007B7A6C">
      <w:pPr>
        <w:pStyle w:val="BodyText1"/>
      </w:pPr>
      <w:r w:rsidRPr="001F49B1">
        <w:t>Formula A = DWF + 1360P + 2E</w:t>
      </w:r>
    </w:p>
    <w:p w14:paraId="60DEBF53" w14:textId="77777777" w:rsidR="001F49B1" w:rsidRPr="001F49B1" w:rsidRDefault="001F49B1" w:rsidP="007B7A6C">
      <w:pPr>
        <w:pStyle w:val="BodyText1"/>
      </w:pPr>
      <w:r w:rsidRPr="001F49B1">
        <w:t>Where DWF = PG + I</w:t>
      </w:r>
      <w:r w:rsidRPr="001F49B1">
        <w:rPr>
          <w:vertAlign w:val="subscript"/>
        </w:rPr>
        <w:t>max</w:t>
      </w:r>
      <w:r w:rsidRPr="001F49B1">
        <w:t xml:space="preserve"> + E</w:t>
      </w:r>
    </w:p>
    <w:p w14:paraId="5C5ECAE3" w14:textId="77777777" w:rsidR="001F49B1" w:rsidRPr="001F49B1" w:rsidRDefault="001F49B1" w:rsidP="007B7A6C">
      <w:pPr>
        <w:pStyle w:val="BodyText1"/>
      </w:pPr>
      <w:r w:rsidRPr="001F49B1">
        <w:t>Where:</w:t>
      </w:r>
    </w:p>
    <w:p w14:paraId="3B9A4A58" w14:textId="77777777" w:rsidR="001F49B1" w:rsidRPr="001F49B1" w:rsidRDefault="001F49B1" w:rsidP="007B7A6C">
      <w:pPr>
        <w:pStyle w:val="BodyText1"/>
      </w:pPr>
      <w:r w:rsidRPr="001F49B1">
        <w:t>P = Population served</w:t>
      </w:r>
    </w:p>
    <w:p w14:paraId="2922F0AE" w14:textId="77777777" w:rsidR="001F49B1" w:rsidRPr="001F49B1" w:rsidRDefault="001F49B1" w:rsidP="007B7A6C">
      <w:pPr>
        <w:pStyle w:val="BodyText1"/>
      </w:pPr>
      <w:r w:rsidRPr="001F49B1">
        <w:t xml:space="preserve">G = Water consumption / head / day (typically 150 litres) </w:t>
      </w:r>
    </w:p>
    <w:p w14:paraId="3C780D77" w14:textId="77777777" w:rsidR="001F49B1" w:rsidRPr="001F49B1" w:rsidRDefault="001F49B1" w:rsidP="007B7A6C">
      <w:pPr>
        <w:pStyle w:val="BodyText1"/>
      </w:pPr>
      <w:r w:rsidRPr="001F49B1">
        <w:t>I</w:t>
      </w:r>
      <w:r w:rsidRPr="001F49B1">
        <w:rPr>
          <w:vertAlign w:val="subscript"/>
        </w:rPr>
        <w:t>Max</w:t>
      </w:r>
      <w:r w:rsidRPr="001F49B1">
        <w:t xml:space="preserve">= maximum possible infiltration </w:t>
      </w:r>
    </w:p>
    <w:p w14:paraId="45DFC2AE" w14:textId="1E459978" w:rsidR="001F49B1" w:rsidRPr="00941DD8" w:rsidRDefault="001F49B1" w:rsidP="007B7A6C">
      <w:pPr>
        <w:pStyle w:val="BodyText1"/>
      </w:pPr>
      <w:r w:rsidRPr="001F49B1">
        <w:t xml:space="preserve">E = Trade Effluent Flow (litres) </w:t>
      </w:r>
    </w:p>
    <w:p w14:paraId="60872F9C" w14:textId="07A46D75" w:rsidR="001F49B1" w:rsidRPr="00877598" w:rsidRDefault="001F49B1" w:rsidP="00EA09AF">
      <w:pPr>
        <w:pStyle w:val="BodyText1"/>
      </w:pPr>
      <w:r w:rsidRPr="00941DD8">
        <w:t>The figure used for infiltration I, I</w:t>
      </w:r>
      <w:r w:rsidRPr="007B7A6C">
        <w:t xml:space="preserve">max </w:t>
      </w:r>
      <w:r w:rsidRPr="00941DD8">
        <w:t xml:space="preserve">is the maximum possible infiltration rate.  This is because the overflow setting of Formula A needs to be appropriate throughout the year (see </w:t>
      </w:r>
      <w:r w:rsidR="009C65B1" w:rsidRPr="009C65B1">
        <w:t>WAT-G-065 EASR Guidance: Permit Activity: Municipal Sewage Treatment Works</w:t>
      </w:r>
      <w:r w:rsidRPr="00941DD8">
        <w:t xml:space="preserve"> for more information regarding I</w:t>
      </w:r>
      <w:r w:rsidRPr="007B7A6C">
        <w:t>max</w:t>
      </w:r>
      <w:r w:rsidRPr="00941DD8">
        <w:t>).</w:t>
      </w:r>
    </w:p>
    <w:p w14:paraId="0C726D96" w14:textId="12A3266E" w:rsidR="001F49B1" w:rsidRPr="00684F5A" w:rsidRDefault="001F49B1" w:rsidP="001F49B1">
      <w:pPr>
        <w:pStyle w:val="Heading4"/>
        <w:rPr>
          <w:rFonts w:eastAsia="Times New Roman"/>
        </w:rPr>
      </w:pPr>
      <w:r>
        <w:rPr>
          <w:rFonts w:eastAsia="Times New Roman"/>
        </w:rPr>
        <w:t>Formula A for a fully separate system</w:t>
      </w:r>
    </w:p>
    <w:p w14:paraId="05524BB4" w14:textId="77777777" w:rsidR="001F49B1" w:rsidRPr="001F49B1" w:rsidRDefault="001F49B1" w:rsidP="007B7A6C">
      <w:pPr>
        <w:pStyle w:val="BodyText1"/>
      </w:pPr>
      <w:r w:rsidRPr="001F49B1">
        <w:t>Flow to full treatment, Formula A = 3DWF = 3PG + I</w:t>
      </w:r>
      <w:r w:rsidRPr="001F49B1">
        <w:rPr>
          <w:vertAlign w:val="subscript"/>
        </w:rPr>
        <w:t>max</w:t>
      </w:r>
      <w:r w:rsidRPr="001F49B1">
        <w:t xml:space="preserve"> + 3E</w:t>
      </w:r>
    </w:p>
    <w:p w14:paraId="412EE74C" w14:textId="77777777" w:rsidR="001F49B1" w:rsidRPr="001F49B1" w:rsidRDefault="001F49B1" w:rsidP="007B7A6C">
      <w:pPr>
        <w:pStyle w:val="BodyText1"/>
      </w:pPr>
      <w:r w:rsidRPr="001F49B1">
        <w:lastRenderedPageBreak/>
        <w:t>(The multiple of 3 for domestic and trade effluents allows for normal variations of these flows throughout the day, whereas infiltration does not vary significantly during the day).</w:t>
      </w:r>
    </w:p>
    <w:p w14:paraId="05E0A255" w14:textId="78E296B2" w:rsidR="001F49B1" w:rsidRPr="00684F5A" w:rsidRDefault="001F49B1" w:rsidP="001F49B1">
      <w:pPr>
        <w:pStyle w:val="Heading4"/>
        <w:rPr>
          <w:rFonts w:eastAsia="Times New Roman"/>
        </w:rPr>
      </w:pPr>
      <w:r>
        <w:rPr>
          <w:rFonts w:eastAsia="Times New Roman"/>
        </w:rPr>
        <w:t>Formula A for a part combined and part separate system</w:t>
      </w:r>
    </w:p>
    <w:p w14:paraId="2152BD15" w14:textId="77777777" w:rsidR="001F49B1" w:rsidRPr="001F49B1" w:rsidRDefault="001F49B1" w:rsidP="007B7A6C">
      <w:pPr>
        <w:pStyle w:val="BodyText1"/>
      </w:pPr>
      <w:r w:rsidRPr="001F49B1">
        <w:t>If there is a significant proportion of the catchment draining to a separate system use:</w:t>
      </w:r>
    </w:p>
    <w:p w14:paraId="3D69A75C" w14:textId="34219A22" w:rsidR="001F49B1" w:rsidRDefault="001F49B1" w:rsidP="007B7A6C">
      <w:pPr>
        <w:pStyle w:val="BodyText1"/>
      </w:pPr>
      <w:r w:rsidRPr="001F49B1">
        <w:t>Flow to full treatment, Formula A = DWF + 1360Pc + 2PsG + 2Et</w:t>
      </w:r>
    </w:p>
    <w:p w14:paraId="10CF4636" w14:textId="688B2725" w:rsidR="001F49B1" w:rsidRPr="001F49B1" w:rsidRDefault="001F49B1" w:rsidP="007B7A6C">
      <w:pPr>
        <w:pStyle w:val="BodyText1"/>
      </w:pPr>
      <w:r w:rsidRPr="001F49B1">
        <w:t>Where:</w:t>
      </w:r>
    </w:p>
    <w:p w14:paraId="7AC53B7D" w14:textId="77777777" w:rsidR="001F49B1" w:rsidRPr="001F49B1" w:rsidRDefault="001F49B1" w:rsidP="007B7A6C">
      <w:pPr>
        <w:pStyle w:val="BodyText1"/>
      </w:pPr>
      <w:r w:rsidRPr="001F49B1">
        <w:t xml:space="preserve">Pc = population served by combined sewer </w:t>
      </w:r>
    </w:p>
    <w:p w14:paraId="7B881B40" w14:textId="77777777" w:rsidR="001F49B1" w:rsidRPr="001F49B1" w:rsidRDefault="001F49B1" w:rsidP="007B7A6C">
      <w:pPr>
        <w:pStyle w:val="BodyText1"/>
      </w:pPr>
      <w:r w:rsidRPr="001F49B1">
        <w:t>Ps = population served by separate foul sewer</w:t>
      </w:r>
    </w:p>
    <w:p w14:paraId="68F9DF5F" w14:textId="23132F22" w:rsidR="001F49B1" w:rsidRPr="001F49B1" w:rsidRDefault="001F49B1" w:rsidP="007B7A6C">
      <w:pPr>
        <w:pStyle w:val="BodyText1"/>
      </w:pPr>
      <w:r w:rsidRPr="001F49B1">
        <w:t>Et = trade flows from the total area</w:t>
      </w:r>
    </w:p>
    <w:p w14:paraId="54FB32C0" w14:textId="77777777" w:rsidR="001F49B1" w:rsidRPr="001F49B1" w:rsidRDefault="001F49B1" w:rsidP="007B7A6C">
      <w:pPr>
        <w:pStyle w:val="BodyText1"/>
      </w:pPr>
      <w:r w:rsidRPr="001F49B1">
        <w:t>DWF = Pt G + It + Et</w:t>
      </w:r>
    </w:p>
    <w:p w14:paraId="24171F7A" w14:textId="77777777" w:rsidR="001F49B1" w:rsidRPr="001F49B1" w:rsidRDefault="001F49B1" w:rsidP="007B7A6C">
      <w:pPr>
        <w:pStyle w:val="BodyText1"/>
      </w:pPr>
      <w:r w:rsidRPr="001F49B1">
        <w:t>Pt = total population</w:t>
      </w:r>
    </w:p>
    <w:p w14:paraId="5ABBCED9" w14:textId="5B428881" w:rsidR="001F49B1" w:rsidRDefault="001F49B1" w:rsidP="007B7A6C">
      <w:pPr>
        <w:pStyle w:val="BodyText1"/>
      </w:pPr>
      <w:r w:rsidRPr="001F49B1">
        <w:t>It = total infiltration I</w:t>
      </w:r>
      <w:r w:rsidRPr="001F49B1">
        <w:rPr>
          <w:vertAlign w:val="subscript"/>
        </w:rPr>
        <w:t>max</w:t>
      </w:r>
    </w:p>
    <w:p w14:paraId="079D9D66" w14:textId="3B7DEA7D" w:rsidR="001F49B1" w:rsidRDefault="00AD6766" w:rsidP="007B7A6C">
      <w:pPr>
        <w:pStyle w:val="BodyText1"/>
      </w:pPr>
      <w:r w:rsidRPr="007B7A6C">
        <w:t>It</w:t>
      </w:r>
      <w:r w:rsidR="001F49B1" w:rsidRPr="001F49B1">
        <w:t xml:space="preserve"> is suggested that, in catchments where less than 20% drains to separate sewers, the simpler combined formula </w:t>
      </w:r>
      <w:r w:rsidR="005B6D9A">
        <w:t>will</w:t>
      </w:r>
      <w:r w:rsidR="001F49B1" w:rsidRPr="001F49B1">
        <w:t xml:space="preserve"> be used.</w:t>
      </w:r>
    </w:p>
    <w:p w14:paraId="48B70B25" w14:textId="73A1485A" w:rsidR="001F49B1" w:rsidRDefault="001F49B1" w:rsidP="007B7A6C">
      <w:pPr>
        <w:pStyle w:val="BodyText1"/>
      </w:pPr>
      <w:r w:rsidRPr="001F49B1">
        <w:t xml:space="preserve">Formula A normally equates to approximately seven times the value of the Dry Weather Flow. </w:t>
      </w:r>
    </w:p>
    <w:p w14:paraId="039828F5" w14:textId="468F2325" w:rsidR="001F49B1" w:rsidRDefault="001F49B1" w:rsidP="007B7A6C">
      <w:pPr>
        <w:pStyle w:val="BodyText1"/>
      </w:pPr>
      <w:r w:rsidRPr="001F49B1">
        <w:t xml:space="preserve">Retention of flows (by for example, including a storm tank at the network CSO) </w:t>
      </w:r>
      <w:proofErr w:type="gramStart"/>
      <w:r w:rsidRPr="001F49B1">
        <w:t>in excess of</w:t>
      </w:r>
      <w:proofErr w:type="gramEnd"/>
      <w:r w:rsidRPr="001F49B1">
        <w:t xml:space="preserve"> Formula A may be required, depending on the available dilution. This is outlined later in this guidance (see </w:t>
      </w:r>
      <w:hyperlink w:anchor="_5._Designing_Storm" w:history="1">
        <w:r w:rsidRPr="00860BA6">
          <w:rPr>
            <w:rStyle w:val="Hyperlink"/>
          </w:rPr>
          <w:t xml:space="preserve">section </w:t>
        </w:r>
        <w:r w:rsidR="00860BA6" w:rsidRPr="00860BA6">
          <w:rPr>
            <w:rStyle w:val="Hyperlink"/>
          </w:rPr>
          <w:t>5</w:t>
        </w:r>
      </w:hyperlink>
      <w:r w:rsidR="00860BA6">
        <w:t>.</w:t>
      </w:r>
      <w:r w:rsidRPr="001F49B1">
        <w:t xml:space="preserve">). </w:t>
      </w:r>
    </w:p>
    <w:p w14:paraId="56BD0578" w14:textId="6EAEF0B9" w:rsidR="00877598" w:rsidRDefault="001F49B1" w:rsidP="00EA09AF">
      <w:pPr>
        <w:pStyle w:val="BodyText1"/>
      </w:pPr>
      <w:r w:rsidRPr="001F49B1">
        <w:t>In dry weather, instantaneous flows can increase substantially due to diurnal variation during peak periods, e.g. early morning and evening. However, peak flows may not arrive at the STW until several hours later depending on the size of the sewerage network, pumping station operation etc.</w:t>
      </w:r>
    </w:p>
    <w:p w14:paraId="01444452" w14:textId="305FD471" w:rsidR="00E03EB5" w:rsidRDefault="004D57DF" w:rsidP="009F34E1">
      <w:pPr>
        <w:pStyle w:val="Heading3"/>
        <w:rPr>
          <w:rFonts w:eastAsia="Times New Roman"/>
          <w:lang w:eastAsia="en-GB"/>
        </w:rPr>
      </w:pPr>
      <w:bookmarkStart w:id="11" w:name="_Toc193872485"/>
      <w:r>
        <w:rPr>
          <w:rFonts w:eastAsia="Times New Roman"/>
          <w:lang w:eastAsia="en-GB"/>
        </w:rPr>
        <w:lastRenderedPageBreak/>
        <w:t>4</w:t>
      </w:r>
      <w:r w:rsidR="009F34E1">
        <w:rPr>
          <w:rFonts w:eastAsia="Times New Roman"/>
          <w:lang w:eastAsia="en-GB"/>
        </w:rPr>
        <w:t>.1.2</w:t>
      </w:r>
      <w:r w:rsidR="00EA1BCC">
        <w:rPr>
          <w:rFonts w:eastAsia="Times New Roman"/>
          <w:lang w:eastAsia="en-GB"/>
        </w:rPr>
        <w:tab/>
      </w:r>
      <w:r w:rsidR="00E03EB5">
        <w:rPr>
          <w:rFonts w:eastAsia="Times New Roman"/>
          <w:lang w:eastAsia="en-GB"/>
        </w:rPr>
        <w:t>Medium significance discharges</w:t>
      </w:r>
      <w:bookmarkEnd w:id="11"/>
    </w:p>
    <w:p w14:paraId="32FDA80D" w14:textId="7EA74952" w:rsidR="00E03EB5" w:rsidRDefault="00E03EB5" w:rsidP="007B7A6C">
      <w:pPr>
        <w:pStyle w:val="BodyText1"/>
        <w:rPr>
          <w:lang w:eastAsia="en-GB"/>
        </w:rPr>
      </w:pPr>
      <w:r>
        <w:rPr>
          <w:lang w:eastAsia="en-GB"/>
        </w:rPr>
        <w:t>Medium significance discharges are whe</w:t>
      </w:r>
      <w:r w:rsidR="0040149F">
        <w:rPr>
          <w:lang w:eastAsia="en-GB"/>
        </w:rPr>
        <w:t>re</w:t>
      </w:r>
      <w:r>
        <w:rPr>
          <w:lang w:eastAsia="en-GB"/>
        </w:rPr>
        <w:t>:</w:t>
      </w:r>
    </w:p>
    <w:p w14:paraId="4824BF48" w14:textId="77777777" w:rsidR="00E03EB5" w:rsidRPr="00BC63B9" w:rsidRDefault="00E03EB5" w:rsidP="00542F79">
      <w:pPr>
        <w:pStyle w:val="BodyText1"/>
        <w:numPr>
          <w:ilvl w:val="0"/>
          <w:numId w:val="27"/>
        </w:numPr>
        <w:rPr>
          <w:rFonts w:cs="Arial"/>
        </w:rPr>
      </w:pPr>
      <w:r w:rsidRPr="00BC63B9">
        <w:rPr>
          <w:rFonts w:cs="Arial"/>
        </w:rPr>
        <w:t>The dilution less than 8:1, and</w:t>
      </w:r>
    </w:p>
    <w:p w14:paraId="44CB1A37" w14:textId="77777777" w:rsidR="00E03EB5" w:rsidRPr="00526A67" w:rsidRDefault="00E03EB5" w:rsidP="00542F79">
      <w:pPr>
        <w:pStyle w:val="BodyText1"/>
        <w:numPr>
          <w:ilvl w:val="0"/>
          <w:numId w:val="27"/>
        </w:numPr>
        <w:rPr>
          <w:rFonts w:cs="Arial"/>
        </w:rPr>
      </w:pPr>
      <w:r w:rsidRPr="00526A67">
        <w:rPr>
          <w:rFonts w:cs="Arial"/>
        </w:rPr>
        <w:t>There is little or no interaction with other discharges, and</w:t>
      </w:r>
    </w:p>
    <w:p w14:paraId="6E33F71B" w14:textId="656383D9" w:rsidR="00E03EB5" w:rsidRPr="00AD6766" w:rsidRDefault="00E03EB5" w:rsidP="00542F79">
      <w:pPr>
        <w:pStyle w:val="BodyText1"/>
        <w:numPr>
          <w:ilvl w:val="0"/>
          <w:numId w:val="27"/>
        </w:numPr>
        <w:rPr>
          <w:rFonts w:cs="Arial"/>
        </w:rPr>
      </w:pPr>
      <w:r w:rsidRPr="00526A67">
        <w:rPr>
          <w:rFonts w:cs="Arial"/>
        </w:rPr>
        <w:t>The population equivalent is less than 10,000</w:t>
      </w:r>
      <w:r w:rsidR="00AD6766">
        <w:rPr>
          <w:rFonts w:cs="Arial"/>
        </w:rPr>
        <w:t>.</w:t>
      </w:r>
    </w:p>
    <w:p w14:paraId="23C74014" w14:textId="118F7160" w:rsidR="00E03EB5" w:rsidRPr="0005646B" w:rsidRDefault="00E03EB5" w:rsidP="007B7A6C">
      <w:pPr>
        <w:pStyle w:val="BodyText1"/>
      </w:pPr>
      <w:r w:rsidRPr="0005646B">
        <w:t xml:space="preserve">SEPA will accept schemes demonstrated in accordance with the relevant </w:t>
      </w:r>
      <w:r w:rsidR="006A1AB3" w:rsidRPr="006A1AB3">
        <w:t xml:space="preserve">99%ile </w:t>
      </w:r>
      <w:r w:rsidRPr="0005646B">
        <w:t>quality standards for the river</w:t>
      </w:r>
      <w:r w:rsidR="0040149F">
        <w:t>.</w:t>
      </w:r>
      <w:r w:rsidRPr="0005646B">
        <w:t xml:space="preserve"> Simple stochastic river impact modelling, applied in association with sewer hydraulic models, is normally required. </w:t>
      </w:r>
      <w:r w:rsidR="00D706E5" w:rsidRPr="00526A67">
        <w:t xml:space="preserve">99%ile standards </w:t>
      </w:r>
      <w:r w:rsidR="00D706E5" w:rsidRPr="00DF25C1">
        <w:t>(</w:t>
      </w:r>
      <w:r w:rsidR="00D706E5" w:rsidRPr="007B7A6C">
        <w:rPr>
          <w:szCs w:val="28"/>
        </w:rPr>
        <w:t>for BOD, total ammonia and un-ionised ammonia)</w:t>
      </w:r>
      <w:r w:rsidR="00D706E5" w:rsidRPr="00DF25C1">
        <w:t xml:space="preserve"> are used when mass balance calculations</w:t>
      </w:r>
      <w:r w:rsidR="00D706E5" w:rsidRPr="00526A67">
        <w:t xml:space="preserve"> form the basis of the modelling. Repeated mass balance calculations are carried out to estimate a frequency distribution of the </w:t>
      </w:r>
      <w:proofErr w:type="spellStart"/>
      <w:r w:rsidR="00D706E5" w:rsidRPr="00526A67">
        <w:t>determinand</w:t>
      </w:r>
      <w:proofErr w:type="spellEnd"/>
      <w:r w:rsidR="00D706E5" w:rsidRPr="00526A67">
        <w:t xml:space="preserve"> for the river downstream of the CSO discharge. The 99%ile value from this distribution can then be checked against the standard. </w:t>
      </w:r>
    </w:p>
    <w:p w14:paraId="7936344E" w14:textId="672BF116" w:rsidR="00E03EB5" w:rsidRDefault="00E03EB5" w:rsidP="00EA09AF">
      <w:pPr>
        <w:pStyle w:val="BodyText1"/>
      </w:pPr>
      <w:r w:rsidRPr="0005646B">
        <w:t xml:space="preserve">In addition to assessing against 99%ile standards, </w:t>
      </w:r>
      <w:r w:rsidRPr="007B7A6C">
        <w:t xml:space="preserve">assessment </w:t>
      </w:r>
      <w:r w:rsidR="00C65EB8">
        <w:t>to show that</w:t>
      </w:r>
      <w:r w:rsidRPr="0005646B">
        <w:t xml:space="preserve"> </w:t>
      </w:r>
      <w:r w:rsidR="00883336">
        <w:t>Fundamental Intermittent Standards (</w:t>
      </w:r>
      <w:r w:rsidRPr="0005646B">
        <w:t>FIS</w:t>
      </w:r>
      <w:r w:rsidR="00883336">
        <w:t>)</w:t>
      </w:r>
      <w:r w:rsidRPr="0005646B">
        <w:t xml:space="preserve"> </w:t>
      </w:r>
      <w:r w:rsidR="00C65EB8">
        <w:t xml:space="preserve">can be met </w:t>
      </w:r>
      <w:r w:rsidRPr="0005646B">
        <w:t>may be required where the appropriate environmental data is available.  Where the relevant environmental data is unavailable, assessing against 99%ile standards is normally acceptable.</w:t>
      </w:r>
    </w:p>
    <w:p w14:paraId="7374CC46" w14:textId="2F939821" w:rsidR="00E03EB5" w:rsidRPr="007B7A6C" w:rsidRDefault="004D57DF" w:rsidP="009F34E1">
      <w:pPr>
        <w:pStyle w:val="Heading3"/>
      </w:pPr>
      <w:bookmarkStart w:id="12" w:name="_Toc193872486"/>
      <w:r>
        <w:t>4</w:t>
      </w:r>
      <w:r w:rsidR="00EA1BCC">
        <w:t>.1.3</w:t>
      </w:r>
      <w:r w:rsidR="00EA1BCC">
        <w:tab/>
      </w:r>
      <w:r w:rsidR="00E03EB5" w:rsidRPr="007B7A6C">
        <w:t>High significance discharges</w:t>
      </w:r>
      <w:bookmarkEnd w:id="12"/>
    </w:p>
    <w:p w14:paraId="62CD9CB4" w14:textId="77777777" w:rsidR="00E03EB5" w:rsidRDefault="00E03EB5" w:rsidP="007B7A6C">
      <w:pPr>
        <w:pStyle w:val="BodyText1"/>
        <w:rPr>
          <w:lang w:eastAsia="en-GB"/>
        </w:rPr>
      </w:pPr>
      <w:r>
        <w:rPr>
          <w:lang w:eastAsia="en-GB"/>
        </w:rPr>
        <w:t>High significance discharges are where:</w:t>
      </w:r>
    </w:p>
    <w:p w14:paraId="0501883A" w14:textId="77777777" w:rsidR="00E03EB5" w:rsidRPr="00526A67" w:rsidRDefault="00E03EB5" w:rsidP="00542F79">
      <w:pPr>
        <w:pStyle w:val="BodyText1"/>
        <w:numPr>
          <w:ilvl w:val="0"/>
          <w:numId w:val="28"/>
        </w:numPr>
        <w:rPr>
          <w:rFonts w:cs="Arial"/>
        </w:rPr>
      </w:pPr>
      <w:r>
        <w:rPr>
          <w:rFonts w:cs="Arial"/>
        </w:rPr>
        <w:t>The d</w:t>
      </w:r>
      <w:r w:rsidRPr="00526A67">
        <w:rPr>
          <w:rFonts w:cs="Arial"/>
        </w:rPr>
        <w:t>ilution is less than 2:1</w:t>
      </w:r>
      <w:r>
        <w:rPr>
          <w:rFonts w:cs="Arial"/>
        </w:rPr>
        <w:t>; or</w:t>
      </w:r>
    </w:p>
    <w:p w14:paraId="26D3BC97" w14:textId="77777777" w:rsidR="00E03EB5" w:rsidRPr="00526A67" w:rsidRDefault="00E03EB5" w:rsidP="00542F79">
      <w:pPr>
        <w:pStyle w:val="BodyText1"/>
        <w:numPr>
          <w:ilvl w:val="0"/>
          <w:numId w:val="28"/>
        </w:numPr>
        <w:rPr>
          <w:rFonts w:cs="Arial"/>
        </w:rPr>
      </w:pPr>
      <w:r>
        <w:rPr>
          <w:rFonts w:cs="Arial"/>
        </w:rPr>
        <w:t>There is i</w:t>
      </w:r>
      <w:r w:rsidRPr="00526A67">
        <w:rPr>
          <w:rFonts w:cs="Arial"/>
        </w:rPr>
        <w:t>nteraction with other discharges</w:t>
      </w:r>
      <w:r>
        <w:rPr>
          <w:rFonts w:cs="Arial"/>
        </w:rPr>
        <w:t>; or</w:t>
      </w:r>
    </w:p>
    <w:p w14:paraId="48016816" w14:textId="2E2BB1C6" w:rsidR="00E03EB5" w:rsidRDefault="00E03EB5" w:rsidP="00542F79">
      <w:pPr>
        <w:pStyle w:val="BodyText1"/>
        <w:numPr>
          <w:ilvl w:val="0"/>
          <w:numId w:val="28"/>
        </w:numPr>
        <w:rPr>
          <w:lang w:eastAsia="en-GB"/>
        </w:rPr>
      </w:pPr>
      <w:r>
        <w:rPr>
          <w:rFonts w:cs="Arial"/>
        </w:rPr>
        <w:t xml:space="preserve">The </w:t>
      </w:r>
      <w:r w:rsidRPr="00526A67">
        <w:rPr>
          <w:rFonts w:cs="Arial"/>
        </w:rPr>
        <w:t>population equivalent is greater than 10,000</w:t>
      </w:r>
      <w:r w:rsidR="00AD6766">
        <w:rPr>
          <w:rFonts w:cs="Arial"/>
        </w:rPr>
        <w:t>.</w:t>
      </w:r>
    </w:p>
    <w:p w14:paraId="377453FD" w14:textId="3D91BF31" w:rsidR="00D040B6" w:rsidRDefault="00E03EB5" w:rsidP="007B7A6C">
      <w:pPr>
        <w:pStyle w:val="BodyText1"/>
        <w:rPr>
          <w:rFonts w:cs="Arial"/>
        </w:rPr>
      </w:pPr>
      <w:r w:rsidRPr="00526A67">
        <w:rPr>
          <w:rFonts w:cs="Arial"/>
        </w:rPr>
        <w:t xml:space="preserve">FIS modelling should be undertaken. </w:t>
      </w:r>
      <w:r w:rsidR="009114B5" w:rsidRPr="007B7A6C">
        <w:rPr>
          <w:rFonts w:cs="Arial"/>
        </w:rPr>
        <w:t>FIS requires river water quality data.</w:t>
      </w:r>
    </w:p>
    <w:p w14:paraId="7E376F65" w14:textId="3B985C22" w:rsidR="00E03EB5" w:rsidRDefault="00D040B6" w:rsidP="00EA09AF">
      <w:pPr>
        <w:pStyle w:val="BodyText1"/>
        <w:rPr>
          <w:rFonts w:cs="Arial"/>
        </w:rPr>
      </w:pPr>
      <w:r w:rsidRPr="00526A67">
        <w:rPr>
          <w:rFonts w:cs="Arial"/>
        </w:rPr>
        <w:t xml:space="preserve">FIS have been developed for dissolved oxygen (DO) and un-ionised ammonia. These standards are expressed in terms of concentration/duration thresholds for a range of return periods. If a river meets these standards with the proposed intermittent </w:t>
      </w:r>
      <w:proofErr w:type="gramStart"/>
      <w:r w:rsidRPr="00526A67">
        <w:rPr>
          <w:rFonts w:cs="Arial"/>
        </w:rPr>
        <w:t>discharge</w:t>
      </w:r>
      <w:proofErr w:type="gramEnd"/>
      <w:r w:rsidRPr="00526A67">
        <w:rPr>
          <w:rFonts w:cs="Arial"/>
        </w:rPr>
        <w:t xml:space="preserve"> then the aquatic life in the </w:t>
      </w:r>
      <w:r w:rsidRPr="00526A67">
        <w:rPr>
          <w:rFonts w:cs="Arial"/>
        </w:rPr>
        <w:lastRenderedPageBreak/>
        <w:t xml:space="preserve">river should have adequate protection against the effects of </w:t>
      </w:r>
      <w:proofErr w:type="gramStart"/>
      <w:r w:rsidRPr="00526A67">
        <w:rPr>
          <w:rFonts w:cs="Arial"/>
        </w:rPr>
        <w:t>short term</w:t>
      </w:r>
      <w:proofErr w:type="gramEnd"/>
      <w:r w:rsidRPr="00526A67">
        <w:rPr>
          <w:rFonts w:cs="Arial"/>
        </w:rPr>
        <w:t xml:space="preserve"> exposure to storm sewage discharges.</w:t>
      </w:r>
    </w:p>
    <w:p w14:paraId="7931A0D5" w14:textId="1C768A91" w:rsidR="00E03EB5" w:rsidRPr="00526A67" w:rsidRDefault="00E03EB5" w:rsidP="007B7A6C">
      <w:pPr>
        <w:pStyle w:val="BodyText1"/>
      </w:pPr>
      <w:r w:rsidRPr="00526A67">
        <w:t xml:space="preserve">For schemes that improve water quality and comply with FIS, it will be sufficient to demonstrate that the proposed scheme will achieve the relevant 90 (or 10) and 95 percentile WFD standards </w:t>
      </w:r>
      <w:r w:rsidRPr="007B7A6C">
        <w:t xml:space="preserve">and that the cost of meeting the </w:t>
      </w:r>
      <w:r w:rsidR="00EC6A4E" w:rsidRPr="00EC6A4E">
        <w:t xml:space="preserve">99%ile </w:t>
      </w:r>
      <w:r w:rsidRPr="007B7A6C">
        <w:t>standards is disproportionate to the benefit of meeting the</w:t>
      </w:r>
      <w:r w:rsidR="00EC6A4E">
        <w:t xml:space="preserve"> </w:t>
      </w:r>
      <w:r w:rsidR="00EC6A4E" w:rsidRPr="00EC6A4E">
        <w:t>99%ile</w:t>
      </w:r>
      <w:r w:rsidRPr="007B7A6C">
        <w:t>.</w:t>
      </w:r>
    </w:p>
    <w:p w14:paraId="4E145FFB" w14:textId="09E353D0" w:rsidR="00E03EB5" w:rsidRPr="00526A67" w:rsidRDefault="00E03EB5" w:rsidP="007B7A6C">
      <w:pPr>
        <w:pStyle w:val="BodyText1"/>
      </w:pPr>
      <w:r w:rsidRPr="00526A67">
        <w:t xml:space="preserve">Where there is a risk of deterioration in river quality (for example a growth project), FIS solutions will only be acceptable provided that Scottish Water can demonstrate that the proposed scheme allows the relevant </w:t>
      </w:r>
      <w:r w:rsidR="009721FE" w:rsidRPr="009721FE">
        <w:t>99%ile</w:t>
      </w:r>
      <w:r w:rsidRPr="00526A67">
        <w:t xml:space="preserve"> WFD standards to be met. </w:t>
      </w:r>
    </w:p>
    <w:p w14:paraId="07E9ECAC" w14:textId="23E1C7D3" w:rsidR="00E03EB5" w:rsidRDefault="00E03EB5" w:rsidP="007B7A6C">
      <w:pPr>
        <w:pStyle w:val="BodyText1"/>
      </w:pPr>
      <w:r w:rsidRPr="00526A67">
        <w:t>Where the appropriate environmental data is unavailable to enable FIS to be carried out, Scottish Water is required to demonstrate to the satisfaction of SEPA that the gathering of the data would be disproportionate. Where Scottish Water is unable to demonstrate this, FIS will be required.</w:t>
      </w:r>
    </w:p>
    <w:p w14:paraId="4D645252" w14:textId="4EF300B2" w:rsidR="00E03EB5" w:rsidRDefault="00E03EB5" w:rsidP="007B7A6C">
      <w:pPr>
        <w:pStyle w:val="BodyText1"/>
      </w:pPr>
      <w:r w:rsidRPr="007B7A6C">
        <w:t xml:space="preserve">Early consultation with </w:t>
      </w:r>
      <w:r w:rsidR="00DD7CED">
        <w:t>SEPA</w:t>
      </w:r>
      <w:r w:rsidRPr="007B7A6C">
        <w:t>, is advised since there are a wide range of river and sewer modelling techniques, with any combination of simple and complex models</w:t>
      </w:r>
      <w:r w:rsidRPr="009D74AD">
        <w:rPr>
          <w:strike/>
        </w:rPr>
        <w:t>.</w:t>
      </w:r>
    </w:p>
    <w:p w14:paraId="1CB6F220" w14:textId="7E3A6445" w:rsidR="00E03EB5" w:rsidRPr="00526A67" w:rsidRDefault="00E03EB5" w:rsidP="007B7A6C">
      <w:pPr>
        <w:pStyle w:val="BodyText1"/>
      </w:pPr>
      <w:r w:rsidRPr="00526A67">
        <w:t>The 99%ile and FIS standards can be found in the</w:t>
      </w:r>
      <w:r w:rsidR="009753AB" w:rsidRPr="009753AB">
        <w:t xml:space="preserve"> Scotland River Basin District (Standards) Directions 2024</w:t>
      </w:r>
      <w:r w:rsidRPr="00526A67">
        <w:t xml:space="preserve"> and are related to typology. </w:t>
      </w:r>
      <w:r w:rsidRPr="00EA09AF">
        <w:t xml:space="preserve">The typology for the receiving watercourse can be obtained from </w:t>
      </w:r>
      <w:r w:rsidR="00BA1190" w:rsidRPr="00EA09AF">
        <w:t>SEPA</w:t>
      </w:r>
      <w:r w:rsidRPr="00EA09AF">
        <w:t>.</w:t>
      </w:r>
    </w:p>
    <w:p w14:paraId="3447F61B" w14:textId="36160AC5" w:rsidR="00E03EB5" w:rsidRPr="00526A67" w:rsidRDefault="00E03EB5" w:rsidP="00D0470A">
      <w:pPr>
        <w:pStyle w:val="BodyText1"/>
        <w:rPr>
          <w:rFonts w:cs="Arial"/>
        </w:rPr>
      </w:pPr>
      <w:r w:rsidRPr="007B7A6C">
        <w:t xml:space="preserve">SEPA modellers </w:t>
      </w:r>
      <w:r w:rsidR="0048598C" w:rsidRPr="007B7A6C">
        <w:t>will</w:t>
      </w:r>
      <w:r w:rsidRPr="007B7A6C">
        <w:t xml:space="preserve"> verify the output from models used by </w:t>
      </w:r>
      <w:r w:rsidR="0048598C" w:rsidRPr="007B7A6C">
        <w:t>Scottish Water</w:t>
      </w:r>
      <w:r w:rsidRPr="007B7A6C">
        <w:t>.</w:t>
      </w:r>
      <w:r w:rsidRPr="00526A67">
        <w:t xml:space="preserve"> </w:t>
      </w:r>
    </w:p>
    <w:p w14:paraId="2C7D50E4" w14:textId="3FBC1620" w:rsidR="00097452" w:rsidRDefault="00687FDF" w:rsidP="003E7916">
      <w:pPr>
        <w:pStyle w:val="BodyText1"/>
      </w:pPr>
      <w:r>
        <w:t xml:space="preserve">Guidance on modelling discharges to </w:t>
      </w:r>
      <w:r w:rsidRPr="00687FDF">
        <w:t>coastal and transitional waters</w:t>
      </w:r>
      <w:r>
        <w:t xml:space="preserve"> is available </w:t>
      </w:r>
      <w:r w:rsidR="00725B13">
        <w:t>in</w:t>
      </w:r>
      <w:r>
        <w:t xml:space="preserve"> </w:t>
      </w:r>
      <w:r w:rsidR="004A6E9D" w:rsidRPr="004A6E9D">
        <w:t>WAT-G-066</w:t>
      </w:r>
      <w:r w:rsidR="004A6E9D">
        <w:t xml:space="preserve"> </w:t>
      </w:r>
      <w:r w:rsidR="004A6E9D" w:rsidRPr="004A6E9D">
        <w:t>EASR Guidance: Permit Activity:</w:t>
      </w:r>
      <w:r w:rsidR="00725B13">
        <w:t xml:space="preserve"> </w:t>
      </w:r>
      <w:r w:rsidR="004A6E9D" w:rsidRPr="004A6E9D">
        <w:t>Assessing the impact of a discharge on coastal and transitional waters</w:t>
      </w:r>
      <w:r w:rsidR="00725B13">
        <w:t>.</w:t>
      </w:r>
    </w:p>
    <w:p w14:paraId="694B38E8" w14:textId="2263DC4F" w:rsidR="00E03EB5" w:rsidRDefault="009C7736" w:rsidP="003E7916">
      <w:pPr>
        <w:pStyle w:val="BodyText1"/>
      </w:pPr>
      <w:r>
        <w:t xml:space="preserve">Any modelling should consider the impact on </w:t>
      </w:r>
      <w:r w:rsidR="004D0CD6">
        <w:t xml:space="preserve">inland bathing water and any drinking water sources. The </w:t>
      </w:r>
      <w:r w:rsidR="00E03EB5" w:rsidRPr="00526A67">
        <w:t xml:space="preserve">Microbiological standards </w:t>
      </w:r>
      <w:r w:rsidR="00E836FE">
        <w:t xml:space="preserve">for bathing waters </w:t>
      </w:r>
      <w:r w:rsidR="00E03EB5" w:rsidRPr="00526A67">
        <w:t xml:space="preserve">are </w:t>
      </w:r>
      <w:r w:rsidR="00E836FE">
        <w:t xml:space="preserve">set out in </w:t>
      </w:r>
      <w:r w:rsidR="003E7916">
        <w:t>WAT-G-070 EASR Guidance: Discharges to and near bathing and shellfish waters.</w:t>
      </w:r>
    </w:p>
    <w:p w14:paraId="76F6DAE0" w14:textId="77777777" w:rsidR="003E7916" w:rsidRDefault="003E7916" w:rsidP="003E7916">
      <w:pPr>
        <w:pStyle w:val="BodyText"/>
        <w:ind w:left="0"/>
      </w:pPr>
    </w:p>
    <w:p w14:paraId="671CC828" w14:textId="28B43606" w:rsidR="00E03EB5" w:rsidRDefault="004D57DF" w:rsidP="007B7A6C">
      <w:pPr>
        <w:pStyle w:val="Heading2"/>
      </w:pPr>
      <w:bookmarkStart w:id="13" w:name="_Toc193872487"/>
      <w:r>
        <w:lastRenderedPageBreak/>
        <w:t>4</w:t>
      </w:r>
      <w:r w:rsidR="00E03EB5">
        <w:t>.</w:t>
      </w:r>
      <w:r w:rsidR="00EA1BCC">
        <w:t>2</w:t>
      </w:r>
      <w:r w:rsidR="00E03EB5">
        <w:tab/>
        <w:t>CSO discharges to coastal and transitional waters</w:t>
      </w:r>
      <w:bookmarkEnd w:id="13"/>
    </w:p>
    <w:p w14:paraId="5FF628EA" w14:textId="56276A7F" w:rsidR="00214510" w:rsidRPr="00971B7B" w:rsidRDefault="003E19A7" w:rsidP="007B7A6C">
      <w:pPr>
        <w:pStyle w:val="BodyText1"/>
      </w:pPr>
      <w:r w:rsidRPr="00971B7B">
        <w:t>As with discharges to inland waters</w:t>
      </w:r>
      <w:r w:rsidR="008E700B" w:rsidRPr="00971B7B">
        <w:t>,</w:t>
      </w:r>
      <w:r w:rsidRPr="00971B7B">
        <w:t xml:space="preserve"> the degree of assessment should be proportionate to the risk or </w:t>
      </w:r>
      <w:r w:rsidR="00907198" w:rsidRPr="00971B7B">
        <w:t>“significance”</w:t>
      </w:r>
      <w:r w:rsidRPr="00971B7B">
        <w:t xml:space="preserve"> of the discharge.</w:t>
      </w:r>
    </w:p>
    <w:p w14:paraId="03CADA4E" w14:textId="214F3D4C" w:rsidR="003F104C" w:rsidRPr="00971B7B" w:rsidRDefault="00214510" w:rsidP="007B7A6C">
      <w:pPr>
        <w:pStyle w:val="BodyText1"/>
      </w:pPr>
      <w:r w:rsidRPr="00971B7B">
        <w:t xml:space="preserve">The criteria for determining modelling requirements for CSOs discharging to coastal and transitional waters is provided in </w:t>
      </w:r>
      <w:r w:rsidRPr="007B7A6C">
        <w:t xml:space="preserve">below, reproduced from Annex H of the </w:t>
      </w:r>
      <w:r w:rsidR="00A733FB" w:rsidRPr="007B7A6C">
        <w:t>UWWTR Guidance Note</w:t>
      </w:r>
      <w:r w:rsidRPr="007B7A6C">
        <w:t>.</w:t>
      </w:r>
    </w:p>
    <w:p w14:paraId="644C292F" w14:textId="09BA2145" w:rsidR="00214510" w:rsidRPr="00C47A0B" w:rsidRDefault="003F104C" w:rsidP="00C47A0B">
      <w:pPr>
        <w:pStyle w:val="BodyText1"/>
      </w:pPr>
      <w:r w:rsidRPr="007B7A6C">
        <w:t xml:space="preserve">The water quality standards that must be met by intermittent discharges to coastal and transitional waters are detailed in </w:t>
      </w:r>
      <w:r w:rsidR="00466145" w:rsidRPr="00466145">
        <w:t>WAT-G-070 EASR Guidance: Discharges to and near bathing and shellfish waters.</w:t>
      </w:r>
    </w:p>
    <w:p w14:paraId="58D4CB09" w14:textId="7429C7C1" w:rsidR="00214510" w:rsidRPr="00526A67" w:rsidRDefault="004D57DF" w:rsidP="007B7A6C">
      <w:pPr>
        <w:pStyle w:val="Heading3"/>
      </w:pPr>
      <w:bookmarkStart w:id="14" w:name="_Toc193872488"/>
      <w:r>
        <w:t>4</w:t>
      </w:r>
      <w:r w:rsidR="00EA1BCC">
        <w:t>.2.1</w:t>
      </w:r>
      <w:r w:rsidR="00EA1BCC">
        <w:tab/>
      </w:r>
      <w:r w:rsidR="00214510">
        <w:t>Low significance discharges</w:t>
      </w:r>
      <w:bookmarkEnd w:id="14"/>
      <w:r w:rsidR="00214510">
        <w:t xml:space="preserve"> </w:t>
      </w:r>
    </w:p>
    <w:p w14:paraId="767E05BD" w14:textId="31B0CFB3" w:rsidR="00214510" w:rsidRDefault="00214510" w:rsidP="007B7A6C">
      <w:pPr>
        <w:pStyle w:val="BodyText1"/>
      </w:pPr>
      <w:r>
        <w:t xml:space="preserve">Low significance discharges are where: </w:t>
      </w:r>
    </w:p>
    <w:p w14:paraId="5BAF0BF5" w14:textId="6A3E4551" w:rsidR="00214510" w:rsidRPr="00C63021" w:rsidRDefault="00214510" w:rsidP="00542F79">
      <w:pPr>
        <w:pStyle w:val="BodyText1"/>
        <w:numPr>
          <w:ilvl w:val="0"/>
          <w:numId w:val="6"/>
        </w:numPr>
      </w:pPr>
      <w:r w:rsidRPr="00C63021">
        <w:t>There are no Bathing or Shellfish Waters</w:t>
      </w:r>
      <w:r w:rsidR="00F8435D">
        <w:t>.</w:t>
      </w:r>
      <w:r w:rsidRPr="00C63021">
        <w:t xml:space="preserve"> </w:t>
      </w:r>
    </w:p>
    <w:p w14:paraId="656AB036" w14:textId="77777777" w:rsidR="00214510" w:rsidRPr="00C63021" w:rsidRDefault="00214510" w:rsidP="00542F79">
      <w:pPr>
        <w:pStyle w:val="BodyText1"/>
        <w:numPr>
          <w:ilvl w:val="0"/>
          <w:numId w:val="6"/>
        </w:numPr>
      </w:pPr>
      <w:r w:rsidRPr="00C63021">
        <w:t>There is no interaction with other discharges.</w:t>
      </w:r>
    </w:p>
    <w:p w14:paraId="43ACA63C" w14:textId="449B060B" w:rsidR="00214510" w:rsidRDefault="00214510" w:rsidP="00C47A0B">
      <w:pPr>
        <w:pStyle w:val="BodyText1"/>
      </w:pPr>
      <w:r>
        <w:t>In these cases</w:t>
      </w:r>
      <w:r w:rsidR="00466145">
        <w:t>,</w:t>
      </w:r>
      <w:r w:rsidR="00DA3587">
        <w:t xml:space="preserve"> </w:t>
      </w:r>
      <w:r w:rsidRPr="00526A67">
        <w:t>Formula A</w:t>
      </w:r>
      <w:r w:rsidR="00DA3587">
        <w:t xml:space="preserve"> should be </w:t>
      </w:r>
      <w:r>
        <w:t>used</w:t>
      </w:r>
      <w:r w:rsidR="0086498F">
        <w:t xml:space="preserve"> unless there are special reasons for departing from t</w:t>
      </w:r>
      <w:r w:rsidR="00C47A0B">
        <w:t>h</w:t>
      </w:r>
      <w:r w:rsidR="0086498F">
        <w:t>is approach</w:t>
      </w:r>
      <w:r>
        <w:t>.</w:t>
      </w:r>
      <w:r w:rsidRPr="00CE7220">
        <w:rPr>
          <w:color w:val="FF0000"/>
        </w:rPr>
        <w:t xml:space="preserve"> </w:t>
      </w:r>
    </w:p>
    <w:p w14:paraId="5172226A" w14:textId="24396504" w:rsidR="00214510" w:rsidRPr="00526A67" w:rsidRDefault="004D57DF" w:rsidP="007B7A6C">
      <w:pPr>
        <w:pStyle w:val="Heading3"/>
      </w:pPr>
      <w:bookmarkStart w:id="15" w:name="_Toc193872489"/>
      <w:r>
        <w:t>4</w:t>
      </w:r>
      <w:r w:rsidR="00EA1BCC">
        <w:t>.2.3</w:t>
      </w:r>
      <w:r w:rsidR="00EA1BCC">
        <w:tab/>
      </w:r>
      <w:r w:rsidR="00214510">
        <w:t>Medium significance discharges</w:t>
      </w:r>
      <w:bookmarkEnd w:id="15"/>
      <w:r w:rsidR="00214510">
        <w:t xml:space="preserve"> </w:t>
      </w:r>
    </w:p>
    <w:p w14:paraId="229F1573" w14:textId="77777777" w:rsidR="00214510" w:rsidRDefault="00214510" w:rsidP="007B7A6C">
      <w:pPr>
        <w:pStyle w:val="BodyText1"/>
      </w:pPr>
      <w:r>
        <w:t>Medium significance discharges are where:</w:t>
      </w:r>
    </w:p>
    <w:p w14:paraId="4C06A78E" w14:textId="77777777" w:rsidR="00214510" w:rsidRPr="00526A67" w:rsidRDefault="00214510" w:rsidP="00542F79">
      <w:pPr>
        <w:pStyle w:val="BodyText1"/>
        <w:numPr>
          <w:ilvl w:val="0"/>
          <w:numId w:val="7"/>
        </w:numPr>
        <w:rPr>
          <w:rFonts w:cs="Arial"/>
          <w:szCs w:val="32"/>
        </w:rPr>
      </w:pPr>
      <w:r>
        <w:rPr>
          <w:rFonts w:cs="Arial"/>
          <w:szCs w:val="32"/>
        </w:rPr>
        <w:t>The p</w:t>
      </w:r>
      <w:r w:rsidRPr="00526A67">
        <w:rPr>
          <w:rFonts w:cs="Arial"/>
          <w:szCs w:val="32"/>
        </w:rPr>
        <w:t xml:space="preserve">opulation </w:t>
      </w:r>
      <w:r>
        <w:rPr>
          <w:rFonts w:cs="Arial"/>
          <w:szCs w:val="32"/>
        </w:rPr>
        <w:t>e</w:t>
      </w:r>
      <w:r w:rsidRPr="00526A67">
        <w:rPr>
          <w:rFonts w:cs="Arial"/>
          <w:szCs w:val="32"/>
        </w:rPr>
        <w:t>quivalent</w:t>
      </w:r>
      <w:r>
        <w:rPr>
          <w:rFonts w:cs="Arial"/>
          <w:szCs w:val="32"/>
        </w:rPr>
        <w:t xml:space="preserve"> is between </w:t>
      </w:r>
      <w:r w:rsidRPr="00526A67">
        <w:rPr>
          <w:rFonts w:cs="Arial"/>
          <w:szCs w:val="32"/>
        </w:rPr>
        <w:t>2,000 - 10,000</w:t>
      </w:r>
      <w:r>
        <w:rPr>
          <w:rFonts w:cs="Arial"/>
          <w:szCs w:val="32"/>
        </w:rPr>
        <w:t xml:space="preserve"> and</w:t>
      </w:r>
    </w:p>
    <w:p w14:paraId="3C8570E8" w14:textId="2468EE5D" w:rsidR="00214510" w:rsidRPr="00347610" w:rsidRDefault="00214510" w:rsidP="00542F79">
      <w:pPr>
        <w:pStyle w:val="BodyText1"/>
        <w:numPr>
          <w:ilvl w:val="0"/>
          <w:numId w:val="7"/>
        </w:numPr>
      </w:pPr>
      <w:r>
        <w:rPr>
          <w:rFonts w:cs="Arial"/>
          <w:szCs w:val="32"/>
        </w:rPr>
        <w:t>The discharge a</w:t>
      </w:r>
      <w:r w:rsidRPr="00526A67">
        <w:rPr>
          <w:rFonts w:cs="Arial"/>
          <w:szCs w:val="32"/>
        </w:rPr>
        <w:t>ffects Bathing or Shellfish Waters</w:t>
      </w:r>
      <w:r>
        <w:rPr>
          <w:rFonts w:cs="Arial"/>
          <w:szCs w:val="32"/>
        </w:rPr>
        <w:t>.</w:t>
      </w:r>
    </w:p>
    <w:p w14:paraId="23BFDE86" w14:textId="15852BBE" w:rsidR="00214510" w:rsidRPr="00C47A0B" w:rsidRDefault="00214510" w:rsidP="00C47A0B">
      <w:pPr>
        <w:pStyle w:val="BodyText1"/>
        <w:rPr>
          <w:rFonts w:cs="Arial"/>
        </w:rPr>
      </w:pPr>
      <w:r w:rsidRPr="00347610">
        <w:t>In these cases</w:t>
      </w:r>
      <w:r>
        <w:t>,</w:t>
      </w:r>
      <w:r w:rsidRPr="00347610">
        <w:t xml:space="preserve"> a </w:t>
      </w:r>
      <w:r w:rsidRPr="00347610">
        <w:rPr>
          <w:rFonts w:cs="Arial"/>
        </w:rPr>
        <w:t>Simple Model (sewer hydraulic model with frequency assessment of overflow spill) is required</w:t>
      </w:r>
      <w:r w:rsidR="0061100C">
        <w:rPr>
          <w:rFonts w:cs="Arial"/>
        </w:rPr>
        <w:t xml:space="preserve"> </w:t>
      </w:r>
      <w:r w:rsidR="0061100C" w:rsidRPr="007B7A6C">
        <w:rPr>
          <w:rFonts w:cs="Arial"/>
          <w:color w:val="3C4741" w:themeColor="text1"/>
        </w:rPr>
        <w:t>to determine if the spill frequency is acceptable</w:t>
      </w:r>
      <w:r w:rsidRPr="007B7A6C">
        <w:rPr>
          <w:rFonts w:cs="Arial"/>
          <w:color w:val="3C4741" w:themeColor="text1"/>
        </w:rPr>
        <w:t xml:space="preserve">. </w:t>
      </w:r>
    </w:p>
    <w:p w14:paraId="12C88516" w14:textId="6C39BB63" w:rsidR="00214510" w:rsidRPr="00526A67" w:rsidRDefault="004D57DF" w:rsidP="007B7A6C">
      <w:pPr>
        <w:pStyle w:val="Heading3"/>
      </w:pPr>
      <w:bookmarkStart w:id="16" w:name="_Toc193872490"/>
      <w:r>
        <w:t>4</w:t>
      </w:r>
      <w:r w:rsidR="00EE48F9">
        <w:t>.2.3</w:t>
      </w:r>
      <w:r w:rsidR="00EE48F9">
        <w:tab/>
      </w:r>
      <w:r w:rsidR="00214510">
        <w:t>High significance discharges</w:t>
      </w:r>
      <w:bookmarkEnd w:id="16"/>
      <w:r w:rsidR="00214510">
        <w:t xml:space="preserve"> </w:t>
      </w:r>
    </w:p>
    <w:p w14:paraId="31A65EA1" w14:textId="77777777" w:rsidR="00214510" w:rsidRDefault="00214510" w:rsidP="007B7A6C">
      <w:pPr>
        <w:pStyle w:val="BodyText1"/>
      </w:pPr>
      <w:r>
        <w:t>High significance discharges are where:</w:t>
      </w:r>
    </w:p>
    <w:p w14:paraId="568924D2" w14:textId="688D258C" w:rsidR="00214510" w:rsidRPr="00526A67" w:rsidRDefault="00214510" w:rsidP="00542F79">
      <w:pPr>
        <w:pStyle w:val="BodyText1"/>
        <w:numPr>
          <w:ilvl w:val="0"/>
          <w:numId w:val="8"/>
        </w:numPr>
        <w:rPr>
          <w:rFonts w:cs="Arial"/>
          <w:szCs w:val="32"/>
        </w:rPr>
      </w:pPr>
      <w:r>
        <w:rPr>
          <w:rFonts w:cs="Arial"/>
          <w:szCs w:val="32"/>
        </w:rPr>
        <w:lastRenderedPageBreak/>
        <w:t>The p</w:t>
      </w:r>
      <w:r w:rsidRPr="00526A67">
        <w:rPr>
          <w:rFonts w:cs="Arial"/>
          <w:szCs w:val="32"/>
        </w:rPr>
        <w:t xml:space="preserve">opulation </w:t>
      </w:r>
      <w:r w:rsidR="00A1662A">
        <w:rPr>
          <w:rFonts w:cs="Arial"/>
          <w:szCs w:val="32"/>
        </w:rPr>
        <w:t>e</w:t>
      </w:r>
      <w:r w:rsidRPr="00526A67">
        <w:rPr>
          <w:rFonts w:cs="Arial"/>
          <w:szCs w:val="32"/>
        </w:rPr>
        <w:t>quivalent &gt;10,000</w:t>
      </w:r>
      <w:r>
        <w:rPr>
          <w:rFonts w:cs="Arial"/>
          <w:szCs w:val="32"/>
        </w:rPr>
        <w:t xml:space="preserve"> and</w:t>
      </w:r>
    </w:p>
    <w:p w14:paraId="1F89C445" w14:textId="1199DBEA" w:rsidR="00214510" w:rsidRPr="00563EF2" w:rsidRDefault="00214510" w:rsidP="00542F79">
      <w:pPr>
        <w:pStyle w:val="BodyText1"/>
        <w:numPr>
          <w:ilvl w:val="0"/>
          <w:numId w:val="8"/>
        </w:numPr>
      </w:pPr>
      <w:r>
        <w:rPr>
          <w:rFonts w:cs="Arial"/>
          <w:szCs w:val="32"/>
        </w:rPr>
        <w:t>The discharge a</w:t>
      </w:r>
      <w:r w:rsidRPr="00526A67">
        <w:rPr>
          <w:rFonts w:cs="Arial"/>
          <w:szCs w:val="32"/>
        </w:rPr>
        <w:t>ffects Bathing or Shellfish Waters</w:t>
      </w:r>
      <w:r>
        <w:rPr>
          <w:rFonts w:cs="Arial"/>
          <w:szCs w:val="32"/>
        </w:rPr>
        <w:t>.</w:t>
      </w:r>
    </w:p>
    <w:p w14:paraId="0A57A69A" w14:textId="6706B3B3" w:rsidR="00214510" w:rsidRDefault="00214510" w:rsidP="00C47A0B">
      <w:pPr>
        <w:pStyle w:val="BodyText1"/>
      </w:pPr>
      <w:r w:rsidRPr="00923B75">
        <w:t>In these cases, complex models will be required (sewer hydraulic model with frequency assessment of overflow spill and an option for coastal dispersion model and impact assessment).</w:t>
      </w:r>
    </w:p>
    <w:p w14:paraId="713A85BA" w14:textId="7DD7E4E3" w:rsidR="00A17FEF" w:rsidRDefault="004D57DF" w:rsidP="00A17FEF">
      <w:pPr>
        <w:pStyle w:val="Heading3"/>
      </w:pPr>
      <w:bookmarkStart w:id="17" w:name="_Toc193872491"/>
      <w:r>
        <w:t>4</w:t>
      </w:r>
      <w:r w:rsidR="00A17FEF">
        <w:t>.2.4</w:t>
      </w:r>
      <w:r w:rsidR="00A17FEF">
        <w:tab/>
      </w:r>
      <w:r w:rsidR="00A17FEF" w:rsidRPr="00DF03A7">
        <w:t xml:space="preserve">Acceptable spill </w:t>
      </w:r>
      <w:r w:rsidR="00A17FEF">
        <w:t>frequency</w:t>
      </w:r>
      <w:bookmarkEnd w:id="17"/>
      <w:r w:rsidR="00A17FEF">
        <w:t xml:space="preserve"> </w:t>
      </w:r>
    </w:p>
    <w:p w14:paraId="6D29350B" w14:textId="77777777" w:rsidR="00A17FEF" w:rsidRDefault="00A17FEF" w:rsidP="007B7A6C">
      <w:pPr>
        <w:pStyle w:val="BodyText1"/>
      </w:pPr>
      <w:r w:rsidRPr="00526A67">
        <w:t xml:space="preserve">New intermittent sewage discharges </w:t>
      </w:r>
      <w:r w:rsidRPr="007B7A6C">
        <w:t>to</w:t>
      </w:r>
      <w:r w:rsidRPr="00526A67">
        <w:t xml:space="preserve"> sites designated as Bathing Waters or classified as Shellfish Waters should be avoided where possible. However, where unavoidable and justification is agreed with the applicant, the minimum design criteria should be such that spills do not exceed</w:t>
      </w:r>
      <w:r>
        <w:t>:</w:t>
      </w:r>
    </w:p>
    <w:p w14:paraId="60E4C63A" w14:textId="77777777" w:rsidR="00A17FEF" w:rsidRDefault="00A17FEF" w:rsidP="00542F79">
      <w:pPr>
        <w:pStyle w:val="BodyText1"/>
        <w:numPr>
          <w:ilvl w:val="0"/>
          <w:numId w:val="9"/>
        </w:numPr>
      </w:pPr>
      <w:r>
        <w:t xml:space="preserve">3 </w:t>
      </w:r>
      <w:r w:rsidRPr="00526A67">
        <w:t xml:space="preserve">significant spill events on average per bathing season into bathing waters or </w:t>
      </w:r>
    </w:p>
    <w:p w14:paraId="43959A2D" w14:textId="77777777" w:rsidR="00A17FEF" w:rsidRPr="00003E29" w:rsidRDefault="00A17FEF" w:rsidP="00542F79">
      <w:pPr>
        <w:pStyle w:val="BodyText1"/>
        <w:numPr>
          <w:ilvl w:val="0"/>
          <w:numId w:val="9"/>
        </w:numPr>
      </w:pPr>
      <w:r w:rsidRPr="00526A67">
        <w:t>10 significant spill events on average per annum into shellfish waters</w:t>
      </w:r>
      <w:r>
        <w:t>.</w:t>
      </w:r>
    </w:p>
    <w:p w14:paraId="456B2845" w14:textId="65A0C3A4" w:rsidR="00A17FEF" w:rsidRDefault="00A17FEF" w:rsidP="007B7A6C">
      <w:pPr>
        <w:pStyle w:val="BodyText1"/>
        <w:rPr>
          <w:rFonts w:cs="Arial"/>
        </w:rPr>
      </w:pPr>
      <w:r>
        <w:t xml:space="preserve">If the </w:t>
      </w:r>
      <w:r w:rsidRPr="00526A67">
        <w:t xml:space="preserve">outfall soffit </w:t>
      </w:r>
      <w:r w:rsidR="00454B66">
        <w:t xml:space="preserve">(top of the outfall pipe) </w:t>
      </w:r>
      <w:r w:rsidRPr="00526A67">
        <w:t>is above mean low water springs, it normally must not spill more frequently than 1 in 5 years</w:t>
      </w:r>
      <w:r>
        <w:t>.</w:t>
      </w:r>
      <w:r w:rsidRPr="00526A67">
        <w:t xml:space="preserve">  </w:t>
      </w:r>
      <w:r w:rsidRPr="004E6815">
        <w:t xml:space="preserve"> </w:t>
      </w:r>
      <w:r w:rsidRPr="00526A67">
        <w:t>For design purposes, a spill of &gt;50m</w:t>
      </w:r>
      <w:r w:rsidRPr="00526A67">
        <w:rPr>
          <w:vertAlign w:val="superscript"/>
        </w:rPr>
        <w:t>3</w:t>
      </w:r>
      <w:r w:rsidRPr="00526A67">
        <w:t xml:space="preserve"> will be deemed significan</w:t>
      </w:r>
      <w:r w:rsidR="00F8435D">
        <w:t>t</w:t>
      </w:r>
      <w:r w:rsidRPr="00526A67">
        <w:t xml:space="preserve">. </w:t>
      </w:r>
    </w:p>
    <w:p w14:paraId="59974BC1" w14:textId="2FC9FCE7" w:rsidR="00A17FEF" w:rsidRDefault="00A17FEF" w:rsidP="007B7A6C">
      <w:pPr>
        <w:pStyle w:val="BodyText1"/>
        <w:rPr>
          <w:rFonts w:cs="Arial"/>
        </w:rPr>
      </w:pPr>
      <w:r>
        <w:rPr>
          <w:rFonts w:cs="Arial"/>
        </w:rPr>
        <w:t>If this spill frequency is exceeded</w:t>
      </w:r>
      <w:r w:rsidR="00354532">
        <w:rPr>
          <w:rFonts w:cs="Arial"/>
        </w:rPr>
        <w:t>,</w:t>
      </w:r>
      <w:r>
        <w:rPr>
          <w:rFonts w:cs="Arial"/>
        </w:rPr>
        <w:t xml:space="preserve"> </w:t>
      </w:r>
      <w:r w:rsidRPr="00526A67">
        <w:rPr>
          <w:rFonts w:cs="Arial"/>
        </w:rPr>
        <w:t xml:space="preserve">the applicant </w:t>
      </w:r>
      <w:r>
        <w:rPr>
          <w:rFonts w:cs="Arial"/>
        </w:rPr>
        <w:t xml:space="preserve">will need to </w:t>
      </w:r>
      <w:r w:rsidRPr="00526A67">
        <w:rPr>
          <w:rFonts w:cs="Arial"/>
        </w:rPr>
        <w:t xml:space="preserve">demonstrate compliance with water quality standards through modelling. </w:t>
      </w:r>
    </w:p>
    <w:p w14:paraId="0E2FF533" w14:textId="35AE70E8" w:rsidR="00A17FEF" w:rsidRDefault="00A17FEF" w:rsidP="007B7A6C">
      <w:pPr>
        <w:pStyle w:val="BodyText1"/>
      </w:pPr>
      <w:r w:rsidRPr="007B7A6C">
        <w:rPr>
          <w:rFonts w:cs="Arial"/>
        </w:rPr>
        <w:t xml:space="preserve">In certain situations, depending on location, sewer modelling showing ≤3 significant spills per season or ≤10 spills p.a. may not always be protective of the bathing water or shellfish water.  </w:t>
      </w:r>
      <w:proofErr w:type="spellStart"/>
      <w:r w:rsidRPr="007B7A6C">
        <w:rPr>
          <w:rFonts w:cs="Arial"/>
        </w:rPr>
        <w:t>Eg</w:t>
      </w:r>
      <w:proofErr w:type="spellEnd"/>
      <w:r w:rsidRPr="007B7A6C">
        <w:rPr>
          <w:rFonts w:cs="Arial"/>
        </w:rPr>
        <w:t xml:space="preserve"> A shallow enclosed bay and/or a high </w:t>
      </w:r>
      <w:proofErr w:type="spellStart"/>
      <w:r w:rsidR="00697438" w:rsidRPr="007B7A6C">
        <w:rPr>
          <w:rFonts w:cs="Arial"/>
        </w:rPr>
        <w:t>p.e</w:t>
      </w:r>
      <w:proofErr w:type="spellEnd"/>
      <w:r w:rsidRPr="007B7A6C">
        <w:rPr>
          <w:rFonts w:cs="Arial"/>
        </w:rPr>
        <w:t xml:space="preserve"> may require marine modelling</w:t>
      </w:r>
      <w:r w:rsidRPr="00382145">
        <w:rPr>
          <w:rFonts w:cs="Arial"/>
        </w:rPr>
        <w:t xml:space="preserve">. </w:t>
      </w:r>
      <w:r w:rsidRPr="007B7A6C">
        <w:rPr>
          <w:rFonts w:cs="Arial"/>
        </w:rPr>
        <w:t xml:space="preserve">This may be particularly the case for existing CSOs discharging into a failing bathing or shellfish water, where the contribution from other sources such as sewage or farm runoff may result in the 3 or 10 spill </w:t>
      </w:r>
      <w:proofErr w:type="gramStart"/>
      <w:r w:rsidRPr="007B7A6C">
        <w:rPr>
          <w:rFonts w:cs="Arial"/>
        </w:rPr>
        <w:t>threshold</w:t>
      </w:r>
      <w:proofErr w:type="gramEnd"/>
      <w:r w:rsidRPr="007B7A6C">
        <w:rPr>
          <w:rFonts w:cs="Arial"/>
        </w:rPr>
        <w:t xml:space="preserve"> not being protective</w:t>
      </w:r>
      <w:r w:rsidR="006228FC" w:rsidRPr="00382145">
        <w:rPr>
          <w:rFonts w:cs="Arial"/>
        </w:rPr>
        <w:t>.</w:t>
      </w:r>
    </w:p>
    <w:p w14:paraId="4D204C00" w14:textId="31202BB2" w:rsidR="00A17FEF" w:rsidRDefault="00A17FEF" w:rsidP="00C47A0B">
      <w:pPr>
        <w:pStyle w:val="BodyText1"/>
      </w:pPr>
      <w:r w:rsidRPr="007B7A6C">
        <w:t xml:space="preserve">For existing CSOs if the discharge is satisfactory in relation to the UWWTD 6 criteria SEPA will </w:t>
      </w:r>
      <w:r w:rsidR="00E22AE7">
        <w:t>permit</w:t>
      </w:r>
      <w:r w:rsidRPr="007B7A6C">
        <w:t xml:space="preserve"> the status quo. If the discharge is unsatisfactory in relation to the UWWTD 6 criteria SEPA will only require the significant spill criteria to apply if there is a non-compliance of a </w:t>
      </w:r>
      <w:r w:rsidRPr="007B7A6C">
        <w:lastRenderedPageBreak/>
        <w:t>bathing water or a shellfish water. If the bathing or shellfish water is compli</w:t>
      </w:r>
      <w:r w:rsidR="007D4907" w:rsidRPr="007B7A6C">
        <w:t>a</w:t>
      </w:r>
      <w:r w:rsidRPr="007B7A6C">
        <w:t xml:space="preserve">nt then SEPA will </w:t>
      </w:r>
      <w:r w:rsidR="00E22AE7">
        <w:t>permit</w:t>
      </w:r>
      <w:r w:rsidRPr="007B7A6C">
        <w:t xml:space="preserve"> the existing P</w:t>
      </w:r>
      <w:r w:rsidR="007D4907" w:rsidRPr="007B7A6C">
        <w:t>F</w:t>
      </w:r>
      <w:r w:rsidRPr="007B7A6C">
        <w:t>F and will require that the UWWTD non-compliance is addressed.</w:t>
      </w:r>
      <w:r w:rsidRPr="00382145">
        <w:t xml:space="preserve"> </w:t>
      </w:r>
    </w:p>
    <w:p w14:paraId="6B107AC8" w14:textId="77777777" w:rsidR="00A17FEF" w:rsidRPr="00C12C09" w:rsidRDefault="00A17FEF" w:rsidP="00C12C09">
      <w:pPr>
        <w:pStyle w:val="Heading4"/>
      </w:pPr>
      <w:r w:rsidRPr="00C12C09">
        <w:t>Counting Spills for use during design of a new or modified overflow</w:t>
      </w:r>
    </w:p>
    <w:p w14:paraId="7243423D" w14:textId="77777777" w:rsidR="00A17FEF" w:rsidRPr="00D851E5" w:rsidRDefault="00A17FEF" w:rsidP="007B7A6C">
      <w:pPr>
        <w:pStyle w:val="BodyText1"/>
      </w:pPr>
      <w:r w:rsidRPr="00D851E5">
        <w:t xml:space="preserve">You </w:t>
      </w:r>
      <w:r>
        <w:t>must</w:t>
      </w:r>
      <w:r w:rsidRPr="00D851E5">
        <w:t xml:space="preserve"> count spills using the 12/24 counting method:</w:t>
      </w:r>
    </w:p>
    <w:p w14:paraId="19511A78" w14:textId="77777777" w:rsidR="00A17FEF" w:rsidRPr="00D851E5" w:rsidRDefault="00A17FEF" w:rsidP="00542F79">
      <w:pPr>
        <w:pStyle w:val="BodyText1"/>
        <w:numPr>
          <w:ilvl w:val="0"/>
          <w:numId w:val="5"/>
        </w:numPr>
      </w:pPr>
      <w:r w:rsidRPr="00D851E5">
        <w:t>Start counting when the first discharge occurs.</w:t>
      </w:r>
    </w:p>
    <w:p w14:paraId="57712E41" w14:textId="77777777" w:rsidR="00A17FEF" w:rsidRPr="00D851E5" w:rsidRDefault="00A17FEF" w:rsidP="00542F79">
      <w:pPr>
        <w:pStyle w:val="BodyText1"/>
        <w:numPr>
          <w:ilvl w:val="0"/>
          <w:numId w:val="5"/>
        </w:numPr>
      </w:pPr>
      <w:r w:rsidRPr="00D851E5">
        <w:t>Any discharge (or discharges) in the first 12-hour block is counted as one spill.</w:t>
      </w:r>
    </w:p>
    <w:p w14:paraId="2C086A73" w14:textId="77777777" w:rsidR="00A17FEF" w:rsidRPr="00D851E5" w:rsidRDefault="00A17FEF" w:rsidP="00542F79">
      <w:pPr>
        <w:pStyle w:val="BodyText1"/>
        <w:numPr>
          <w:ilvl w:val="0"/>
          <w:numId w:val="5"/>
        </w:numPr>
      </w:pPr>
      <w:r w:rsidRPr="00D851E5">
        <w:t>Any discharge (or discharges) in the next, and subsequent 24-hour blocks, are each counted as one additional spill per block.</w:t>
      </w:r>
    </w:p>
    <w:p w14:paraId="59E89AC3" w14:textId="77777777" w:rsidR="00A17FEF" w:rsidRPr="00D851E5" w:rsidRDefault="00A17FEF" w:rsidP="00542F79">
      <w:pPr>
        <w:pStyle w:val="BodyText1"/>
        <w:numPr>
          <w:ilvl w:val="0"/>
          <w:numId w:val="5"/>
        </w:numPr>
      </w:pPr>
      <w:r w:rsidRPr="00D851E5">
        <w:t>Continue counting until there’s a 24-hour block with no discharge.</w:t>
      </w:r>
    </w:p>
    <w:p w14:paraId="71D29D55" w14:textId="620415F1" w:rsidR="00A17FEF" w:rsidRDefault="00A17FEF" w:rsidP="00B1682E">
      <w:pPr>
        <w:pStyle w:val="BodyText1"/>
      </w:pPr>
      <w:r w:rsidRPr="00D851E5">
        <w:t>For the next discharge after the 24-hour block with no discharge, you begin again with the 12-hour and 24-hour block spill counting sequence.</w:t>
      </w:r>
    </w:p>
    <w:p w14:paraId="37EACA34" w14:textId="77777777" w:rsidR="00A17FEF" w:rsidRPr="00663D57" w:rsidRDefault="00A17FEF" w:rsidP="00A17FEF">
      <w:pPr>
        <w:pStyle w:val="Heading4"/>
      </w:pPr>
      <w:r w:rsidRPr="00663D57">
        <w:t>Aggregate Spills</w:t>
      </w:r>
    </w:p>
    <w:p w14:paraId="455BFE56" w14:textId="77777777" w:rsidR="00A17FEF" w:rsidRPr="008B546C" w:rsidRDefault="00A17FEF" w:rsidP="007B7A6C">
      <w:pPr>
        <w:pStyle w:val="BodyText1"/>
      </w:pPr>
      <w:r w:rsidRPr="008B546C">
        <w:t xml:space="preserve">Where there are multiple, intermittent discharges that affect the same Bathing or Shellfish Water then these will be assessed on aggregate. </w:t>
      </w:r>
    </w:p>
    <w:p w14:paraId="70D59FE0" w14:textId="4C87ACB7" w:rsidR="00A17FEF" w:rsidRPr="00C47A0B" w:rsidRDefault="00A17FEF" w:rsidP="00C47A0B">
      <w:pPr>
        <w:pStyle w:val="BodyText1"/>
      </w:pPr>
      <w:r w:rsidRPr="008B546C">
        <w:t>Spills over the whole catchment should be considered and those which do not have an impact can be discounted, if justified.</w:t>
      </w:r>
    </w:p>
    <w:p w14:paraId="4E634152" w14:textId="1B3144BE" w:rsidR="00A17FEF" w:rsidRDefault="004D57DF" w:rsidP="00A17FEF">
      <w:pPr>
        <w:pStyle w:val="Heading3"/>
      </w:pPr>
      <w:bookmarkStart w:id="18" w:name="_Toc193872492"/>
      <w:r>
        <w:t>4</w:t>
      </w:r>
      <w:r w:rsidR="002050ED">
        <w:t>.2.5</w:t>
      </w:r>
      <w:r w:rsidR="00A17FEF">
        <w:tab/>
        <w:t>Outfall location</w:t>
      </w:r>
      <w:bookmarkEnd w:id="18"/>
      <w:r w:rsidR="00A17FEF">
        <w:t xml:space="preserve">  </w:t>
      </w:r>
    </w:p>
    <w:p w14:paraId="3214521A" w14:textId="644AC5BD" w:rsidR="00A17FEF" w:rsidRPr="00C47A0B" w:rsidRDefault="00A17FEF" w:rsidP="00C47A0B">
      <w:pPr>
        <w:pStyle w:val="BodyText1"/>
      </w:pPr>
      <w:r w:rsidRPr="00526A67">
        <w:t>All new CSO outfalls discharging to coastal and transitional waters should have the top of the pipe (soffit)</w:t>
      </w:r>
      <w:r w:rsidR="00EB6B8A">
        <w:t xml:space="preserve"> submerged when the </w:t>
      </w:r>
      <w:r w:rsidR="002250B1">
        <w:t xml:space="preserve">tide is at </w:t>
      </w:r>
      <w:r w:rsidRPr="00526A67">
        <w:t>Mean Low Water Spring</w:t>
      </w:r>
      <w:r w:rsidR="00866653">
        <w:t>s</w:t>
      </w:r>
      <w:r w:rsidR="00025B01">
        <w:t xml:space="preserve"> (MLWS)</w:t>
      </w:r>
      <w:r w:rsidR="00866653">
        <w:t xml:space="preserve">. </w:t>
      </w:r>
      <w:r w:rsidR="00025B01">
        <w:t>To do this t</w:t>
      </w:r>
      <w:r w:rsidR="00866653">
        <w:t>he pipe will have to extend beyond the MLWS mark</w:t>
      </w:r>
      <w:r w:rsidR="00F8435D">
        <w:t>.</w:t>
      </w:r>
      <w:r w:rsidRPr="00526A67">
        <w:t xml:space="preserve"> </w:t>
      </w:r>
      <w:r w:rsidR="00025B01">
        <w:t xml:space="preserve">This is </w:t>
      </w:r>
      <w:r w:rsidRPr="00526A67">
        <w:t xml:space="preserve">unless exceptional circumstances apply, </w:t>
      </w:r>
      <w:r w:rsidRPr="007B7A6C">
        <w:t>as described in</w:t>
      </w:r>
      <w:r w:rsidR="003F2FFB" w:rsidRPr="003F2FFB">
        <w:t xml:space="preserve"> </w:t>
      </w:r>
      <w:r w:rsidR="003F2FFB" w:rsidRPr="00B1682E">
        <w:t>WAT-G-036 EASR Guidance: Intakes and outfalls.</w:t>
      </w:r>
      <w:r w:rsidRPr="00526A67">
        <w:t xml:space="preserve"> Further guidance on exceptional circumstances is provided in the </w:t>
      </w:r>
      <w:r w:rsidR="00A33770" w:rsidRPr="007B7A6C">
        <w:t>UWWTR Guidance Note</w:t>
      </w:r>
      <w:r w:rsidRPr="007B7A6C">
        <w:t>.</w:t>
      </w:r>
    </w:p>
    <w:p w14:paraId="34238907" w14:textId="66740EB2" w:rsidR="00C91775" w:rsidRDefault="004D57DF" w:rsidP="007B7A6C">
      <w:pPr>
        <w:pStyle w:val="Heading2"/>
      </w:pPr>
      <w:bookmarkStart w:id="19" w:name="_Toc193872493"/>
      <w:r>
        <w:t>4</w:t>
      </w:r>
      <w:r w:rsidR="00C91775">
        <w:t>.3</w:t>
      </w:r>
      <w:r w:rsidR="00C91775">
        <w:tab/>
        <w:t>Minimum screening requirements for CSOs</w:t>
      </w:r>
      <w:bookmarkEnd w:id="19"/>
    </w:p>
    <w:p w14:paraId="4793E3E6" w14:textId="0DD81CAA" w:rsidR="00B576D4" w:rsidRDefault="00B576D4" w:rsidP="00C91775">
      <w:pPr>
        <w:pStyle w:val="BodyText"/>
        <w:spacing w:before="0" w:after="0" w:line="360" w:lineRule="auto"/>
        <w:ind w:left="0"/>
        <w:rPr>
          <w:rFonts w:cs="Arial"/>
        </w:rPr>
      </w:pPr>
      <w:r w:rsidRPr="00526A67">
        <w:rPr>
          <w:rFonts w:cs="Arial"/>
        </w:rPr>
        <w:t>Treatment requirements for CSOs will almost exclusively relate to the level of screening required to control aesthetic impacts arising from the discharge of solid materials</w:t>
      </w:r>
      <w:r w:rsidRPr="00EB1688">
        <w:rPr>
          <w:rFonts w:cs="Arial"/>
        </w:rPr>
        <w:t xml:space="preserve">. </w:t>
      </w:r>
      <w:r w:rsidRPr="007B7A6C">
        <w:rPr>
          <w:rFonts w:cs="Arial"/>
        </w:rPr>
        <w:t xml:space="preserve">In very </w:t>
      </w:r>
      <w:r w:rsidRPr="007B7A6C">
        <w:rPr>
          <w:rFonts w:cs="Arial"/>
        </w:rPr>
        <w:lastRenderedPageBreak/>
        <w:t>specific cases, treatment may extend to settlement facilities (e.g. storm tanks).</w:t>
      </w:r>
      <w:r w:rsidRPr="00526A67">
        <w:rPr>
          <w:rFonts w:cs="Arial"/>
        </w:rPr>
        <w:t xml:space="preserve"> The level of screening required is determined </w:t>
      </w:r>
      <w:proofErr w:type="gramStart"/>
      <w:r w:rsidRPr="00526A67">
        <w:rPr>
          <w:rFonts w:cs="Arial"/>
        </w:rPr>
        <w:t>on the basis of</w:t>
      </w:r>
      <w:proofErr w:type="gramEnd"/>
      <w:r w:rsidRPr="00526A67">
        <w:rPr>
          <w:rFonts w:cs="Arial"/>
        </w:rPr>
        <w:t xml:space="preserve"> the receiving water amenity use</w:t>
      </w:r>
      <w:r w:rsidR="00211CB1">
        <w:rPr>
          <w:rFonts w:cs="Arial"/>
        </w:rPr>
        <w:t>.</w:t>
      </w:r>
    </w:p>
    <w:p w14:paraId="51CDA802" w14:textId="77777777" w:rsidR="00B576D4" w:rsidRDefault="00B576D4" w:rsidP="00C91775">
      <w:pPr>
        <w:pStyle w:val="BodyText"/>
        <w:spacing w:before="0" w:after="0" w:line="360" w:lineRule="auto"/>
        <w:ind w:left="0"/>
        <w:rPr>
          <w:rFonts w:cs="Arial"/>
        </w:rPr>
      </w:pPr>
    </w:p>
    <w:p w14:paraId="524CA83C" w14:textId="0D64A86C" w:rsidR="00C91775" w:rsidRPr="00526A67" w:rsidRDefault="00AD3663" w:rsidP="00C91775">
      <w:pPr>
        <w:pStyle w:val="BodyText"/>
        <w:spacing w:before="0" w:after="0" w:line="360" w:lineRule="auto"/>
        <w:ind w:left="0"/>
        <w:rPr>
          <w:rFonts w:cs="Arial"/>
        </w:rPr>
      </w:pPr>
      <w:r w:rsidRPr="007B7A6C">
        <w:rPr>
          <w:rFonts w:cs="Arial"/>
        </w:rPr>
        <w:t>This section sets out</w:t>
      </w:r>
      <w:r w:rsidR="00C91775" w:rsidRPr="007B7A6C">
        <w:rPr>
          <w:rFonts w:cs="Arial"/>
        </w:rPr>
        <w:t xml:space="preserve"> SEPA’s minimum requirements for screening.</w:t>
      </w:r>
      <w:r w:rsidR="00C91775" w:rsidRPr="00526A67">
        <w:rPr>
          <w:rFonts w:cs="Arial"/>
        </w:rPr>
        <w:t xml:space="preserve"> However, Scottish Water may choose to put in two dimensional 6mm screens at CSOs predicted to overflow more frequently than 1 in 5 years. For those predicted to discharge less frequently than 1 in 5 years, no screening is required unless there is a particular environmental need.</w:t>
      </w:r>
    </w:p>
    <w:p w14:paraId="61DEE5B4" w14:textId="77777777" w:rsidR="00C91775" w:rsidRDefault="00C91775" w:rsidP="00C91775">
      <w:pPr>
        <w:rPr>
          <w:rFonts w:cs="Arial"/>
        </w:rPr>
      </w:pPr>
    </w:p>
    <w:p w14:paraId="3F1F1769" w14:textId="77777777" w:rsidR="00C91775" w:rsidRPr="00526A67" w:rsidRDefault="00C91775" w:rsidP="00C91775">
      <w:pPr>
        <w:pStyle w:val="BodyText"/>
        <w:spacing w:before="0" w:after="0" w:line="360" w:lineRule="auto"/>
        <w:ind w:left="0"/>
        <w:rPr>
          <w:rFonts w:cs="Arial"/>
        </w:rPr>
      </w:pPr>
      <w:r w:rsidRPr="00526A67">
        <w:rPr>
          <w:rFonts w:cs="Arial"/>
        </w:rPr>
        <w:t xml:space="preserve">Screens normally have a bypass to prevent flooding if the screen becomes blinded.  The screen should be designed so that it has sufficient hydraulic capacity to cope with events up to and including the 1 in </w:t>
      </w:r>
      <w:proofErr w:type="gramStart"/>
      <w:r w:rsidRPr="00526A67">
        <w:rPr>
          <w:rFonts w:cs="Arial"/>
        </w:rPr>
        <w:t>5 year</w:t>
      </w:r>
      <w:proofErr w:type="gramEnd"/>
      <w:r w:rsidRPr="00526A67">
        <w:rPr>
          <w:rFonts w:cs="Arial"/>
        </w:rPr>
        <w:t xml:space="preserve"> event without becoming blinded and bypassed.</w:t>
      </w:r>
    </w:p>
    <w:p w14:paraId="26D1FC00" w14:textId="77777777" w:rsidR="00C91775" w:rsidRPr="00526A67" w:rsidRDefault="00C91775" w:rsidP="00C91775">
      <w:pPr>
        <w:pStyle w:val="BodyText"/>
        <w:spacing w:before="0" w:after="0" w:line="360" w:lineRule="auto"/>
        <w:ind w:left="0"/>
        <w:rPr>
          <w:rFonts w:cs="Arial"/>
        </w:rPr>
      </w:pPr>
    </w:p>
    <w:p w14:paraId="60BD5235" w14:textId="77777777" w:rsidR="00C91775" w:rsidRPr="00526A67" w:rsidRDefault="00C91775" w:rsidP="00C91775">
      <w:pPr>
        <w:pStyle w:val="BodyText"/>
        <w:spacing w:before="0" w:after="0" w:line="360" w:lineRule="auto"/>
        <w:ind w:left="0"/>
        <w:rPr>
          <w:rFonts w:cs="Arial"/>
        </w:rPr>
      </w:pPr>
      <w:r w:rsidRPr="00526A67">
        <w:rPr>
          <w:rFonts w:cs="Arial"/>
        </w:rPr>
        <w:t xml:space="preserve">Screens can either be static or mechanically raked. Scottish Water will determine whether </w:t>
      </w:r>
      <w:r>
        <w:rPr>
          <w:rFonts w:cs="Arial"/>
        </w:rPr>
        <w:t xml:space="preserve">to </w:t>
      </w:r>
      <w:r w:rsidRPr="00526A67">
        <w:rPr>
          <w:rFonts w:cs="Arial"/>
        </w:rPr>
        <w:t>put in a static or manual screen. Static screens will begin to blind when the overflow operates, therefore this will need to be taken into consideration when designing new or replacement screens and additional screen area should be considered to account for this.</w:t>
      </w:r>
    </w:p>
    <w:p w14:paraId="5A079CA9" w14:textId="77777777" w:rsidR="00C91775" w:rsidRPr="00526A67" w:rsidRDefault="00C91775" w:rsidP="00C91775">
      <w:pPr>
        <w:pStyle w:val="BodyText"/>
        <w:spacing w:before="0" w:after="0" w:line="360" w:lineRule="auto"/>
        <w:ind w:left="0"/>
        <w:rPr>
          <w:rFonts w:cs="Arial"/>
        </w:rPr>
      </w:pPr>
    </w:p>
    <w:p w14:paraId="7111DE53" w14:textId="77777777" w:rsidR="00C91775" w:rsidRPr="00526A67" w:rsidRDefault="00C91775" w:rsidP="00C91775">
      <w:pPr>
        <w:pStyle w:val="BodyText"/>
        <w:spacing w:before="0" w:after="0" w:line="360" w:lineRule="auto"/>
        <w:ind w:left="0"/>
        <w:rPr>
          <w:rFonts w:cs="Arial"/>
        </w:rPr>
      </w:pPr>
      <w:r w:rsidRPr="00526A67">
        <w:rPr>
          <w:rFonts w:cs="Arial"/>
        </w:rPr>
        <w:t>The screen must be designed to cope with the frequency and duration of spills predicted from the time series analysis.</w:t>
      </w:r>
    </w:p>
    <w:p w14:paraId="558B1BAC" w14:textId="77777777" w:rsidR="00C91775" w:rsidRPr="00526A67" w:rsidRDefault="00C91775" w:rsidP="00C91775">
      <w:pPr>
        <w:pStyle w:val="BodyText"/>
        <w:spacing w:before="0" w:after="0" w:line="360" w:lineRule="auto"/>
        <w:ind w:left="0"/>
        <w:rPr>
          <w:rFonts w:cs="Arial"/>
        </w:rPr>
      </w:pPr>
    </w:p>
    <w:p w14:paraId="54B189B2" w14:textId="77777777" w:rsidR="00C91775" w:rsidRPr="00526A67" w:rsidRDefault="00C91775" w:rsidP="00C91775">
      <w:pPr>
        <w:pStyle w:val="BodyText"/>
        <w:spacing w:before="0" w:after="0" w:line="360" w:lineRule="auto"/>
        <w:ind w:left="0"/>
        <w:rPr>
          <w:rFonts w:cs="Arial"/>
        </w:rPr>
      </w:pPr>
      <w:r w:rsidRPr="00526A67">
        <w:rPr>
          <w:rFonts w:cs="Arial"/>
        </w:rPr>
        <w:t>Account should be taken of the planned screen cleaning regime.  In addition, screens should be oversized to cope with situations where the influent to the overflow is likely to be highly loaded with debris.  An example of where this is relevant is where the sewered catchment has only partly combined drainage. Another example is where upstream sewers are laid at slack gradients.  This can lead to solids settling out in dry weather and being flushed to the screens during storm.</w:t>
      </w:r>
    </w:p>
    <w:p w14:paraId="39FC674D" w14:textId="77777777" w:rsidR="00C91775" w:rsidRPr="00526A67" w:rsidRDefault="00C91775" w:rsidP="00C91775">
      <w:pPr>
        <w:pStyle w:val="BodyText"/>
        <w:spacing w:before="0" w:after="0" w:line="360" w:lineRule="auto"/>
        <w:ind w:left="0"/>
        <w:rPr>
          <w:rFonts w:cs="Arial"/>
        </w:rPr>
      </w:pPr>
    </w:p>
    <w:p w14:paraId="2313D58F" w14:textId="77777777" w:rsidR="00C91775" w:rsidRPr="00526A67" w:rsidRDefault="00C91775" w:rsidP="00C91775">
      <w:pPr>
        <w:pStyle w:val="BodyText"/>
        <w:spacing w:before="0" w:after="0" w:line="360" w:lineRule="auto"/>
        <w:ind w:left="0"/>
        <w:rPr>
          <w:rFonts w:cs="Arial"/>
        </w:rPr>
      </w:pPr>
      <w:r w:rsidRPr="00526A67">
        <w:rPr>
          <w:rFonts w:cs="Arial"/>
        </w:rPr>
        <w:t>For a given flow rate, mechanical or auto-cleaning screens are generally smaller in area than a static screen of equivalent capacity.  Therefore, if the raking mechanism fails the screen will blind more quickly and bypass more readily.  Where mechanically raked screens are installed, telemetry is required to notify the operator in the event of screen failure.</w:t>
      </w:r>
    </w:p>
    <w:p w14:paraId="4AF48798" w14:textId="77777777" w:rsidR="00C91775" w:rsidRPr="00526A67" w:rsidRDefault="00C91775" w:rsidP="00C91775">
      <w:pPr>
        <w:pStyle w:val="BodyText"/>
        <w:spacing w:before="0" w:after="0" w:line="360" w:lineRule="auto"/>
        <w:ind w:left="0"/>
        <w:rPr>
          <w:rFonts w:cs="Arial"/>
        </w:rPr>
      </w:pPr>
    </w:p>
    <w:p w14:paraId="5D66F7E9" w14:textId="06287AE9" w:rsidR="00C91775" w:rsidRPr="00526A67" w:rsidRDefault="00C91775" w:rsidP="00B1682E">
      <w:pPr>
        <w:pStyle w:val="BodyText1"/>
      </w:pPr>
      <w:r w:rsidRPr="00526A67">
        <w:lastRenderedPageBreak/>
        <w:t xml:space="preserve">Retrofitting screens to an existing chamber should only be undertaken where the engineer is confident the installed screen and chamber achieve the objectives for screening performance and are not bypassed.  Evidence to support the design should be provided with </w:t>
      </w:r>
      <w:r w:rsidR="00E22AE7">
        <w:t>permit</w:t>
      </w:r>
      <w:r w:rsidRPr="00526A67">
        <w:t xml:space="preserve"> applications.  Post scheme appraisal monitoring may be required to confirm retrofitted screens are not bypassed more often than once in 5 years on average.</w:t>
      </w:r>
    </w:p>
    <w:p w14:paraId="37E6B126" w14:textId="557804FC" w:rsidR="00C91775" w:rsidRPr="00526A67" w:rsidRDefault="00C91775" w:rsidP="00B1682E">
      <w:pPr>
        <w:pStyle w:val="BodyText1"/>
      </w:pPr>
      <w:r w:rsidRPr="00526A67">
        <w:t>Screens and chambers must be designed not to increase flood risk. This is particularly important when retrofitting screens to existing chambers.</w:t>
      </w:r>
    </w:p>
    <w:p w14:paraId="7D19A63D" w14:textId="700BA561" w:rsidR="00BA4EB5" w:rsidRDefault="00C91775" w:rsidP="00B1682E">
      <w:pPr>
        <w:pStyle w:val="BodyText1"/>
      </w:pPr>
      <w:r w:rsidRPr="00526A67">
        <w:t xml:space="preserve">Screening requirements should be discussed with </w:t>
      </w:r>
      <w:r w:rsidRPr="007B7A6C">
        <w:t>SEPA</w:t>
      </w:r>
      <w:r>
        <w:t xml:space="preserve"> </w:t>
      </w:r>
      <w:r w:rsidRPr="00526A67">
        <w:t>at an early stage</w:t>
      </w:r>
      <w:r w:rsidR="009F360C">
        <w:t>.</w:t>
      </w:r>
      <w:r>
        <w:t xml:space="preserve">  </w:t>
      </w:r>
    </w:p>
    <w:p w14:paraId="72E51F8B" w14:textId="4D7EE665" w:rsidR="00C91775" w:rsidRPr="009F360C" w:rsidRDefault="00793ECC" w:rsidP="007B7A6C">
      <w:pPr>
        <w:pStyle w:val="Heading3"/>
      </w:pPr>
      <w:bookmarkStart w:id="20" w:name="_Toc193872494"/>
      <w:r w:rsidRPr="009F360C">
        <w:t>4.3.1</w:t>
      </w:r>
      <w:r w:rsidRPr="009F360C">
        <w:tab/>
      </w:r>
      <w:r w:rsidR="00C91775" w:rsidRPr="009F360C">
        <w:t>Screens required for high amenity locations</w:t>
      </w:r>
      <w:bookmarkEnd w:id="20"/>
    </w:p>
    <w:p w14:paraId="5AF81F0A" w14:textId="3EA1228E" w:rsidR="00C91775" w:rsidRDefault="00C91775" w:rsidP="007B7A6C">
      <w:pPr>
        <w:pStyle w:val="BodyText1"/>
      </w:pPr>
      <w:r>
        <w:t xml:space="preserve">A high amenity location </w:t>
      </w:r>
      <w:r w:rsidR="00983231">
        <w:t>influences:</w:t>
      </w:r>
    </w:p>
    <w:p w14:paraId="7BCBB319" w14:textId="46B77967" w:rsidR="00C91775" w:rsidRPr="00DB684E" w:rsidRDefault="00F62AEF" w:rsidP="00542F79">
      <w:pPr>
        <w:pStyle w:val="BodyText1"/>
        <w:numPr>
          <w:ilvl w:val="0"/>
          <w:numId w:val="11"/>
        </w:numPr>
      </w:pPr>
      <w:r>
        <w:t>A d</w:t>
      </w:r>
      <w:r w:rsidR="00C91775" w:rsidRPr="00DB684E">
        <w:t>esignated Bathing water</w:t>
      </w:r>
    </w:p>
    <w:p w14:paraId="50A2B892" w14:textId="07B939C4" w:rsidR="00C91775" w:rsidRPr="00DB684E" w:rsidRDefault="00961EB9" w:rsidP="00542F79">
      <w:pPr>
        <w:pStyle w:val="BodyText1"/>
        <w:numPr>
          <w:ilvl w:val="0"/>
          <w:numId w:val="11"/>
        </w:numPr>
      </w:pPr>
      <w:r>
        <w:t>An area w</w:t>
      </w:r>
      <w:r w:rsidR="00C91775" w:rsidRPr="00DB684E">
        <w:t xml:space="preserve">here bathing and water contact sport (immersion) is regularly practised (e.g. </w:t>
      </w:r>
      <w:proofErr w:type="gramStart"/>
      <w:r w:rsidR="00C91775" w:rsidRPr="00DB684E">
        <w:t>wind-surfing</w:t>
      </w:r>
      <w:proofErr w:type="gramEnd"/>
      <w:r w:rsidR="00C91775" w:rsidRPr="00DB684E">
        <w:t>, sports canoeing</w:t>
      </w:r>
      <w:proofErr w:type="gramStart"/>
      <w:r w:rsidR="00C91775" w:rsidRPr="00DB684E">
        <w:t>);</w:t>
      </w:r>
      <w:proofErr w:type="gramEnd"/>
    </w:p>
    <w:p w14:paraId="0D8FA7DD" w14:textId="67E9C368" w:rsidR="00C91775" w:rsidRPr="00DB684E" w:rsidRDefault="000D02AF" w:rsidP="00542F79">
      <w:pPr>
        <w:pStyle w:val="BodyText1"/>
        <w:numPr>
          <w:ilvl w:val="0"/>
          <w:numId w:val="11"/>
        </w:numPr>
      </w:pPr>
      <w:r>
        <w:t>An area w</w:t>
      </w:r>
      <w:r w:rsidR="00C91775" w:rsidRPr="00DB684E">
        <w:t xml:space="preserve">here the receiving watercourse passes through a formal public park or there is a formal picnic </w:t>
      </w:r>
      <w:proofErr w:type="gramStart"/>
      <w:r w:rsidR="00C91775" w:rsidRPr="00DB684E">
        <w:t>site;</w:t>
      </w:r>
      <w:proofErr w:type="gramEnd"/>
    </w:p>
    <w:p w14:paraId="5B276F33" w14:textId="77777777" w:rsidR="00C91775" w:rsidRPr="00DB684E" w:rsidRDefault="00C91775" w:rsidP="00542F79">
      <w:pPr>
        <w:pStyle w:val="BodyText1"/>
        <w:numPr>
          <w:ilvl w:val="0"/>
          <w:numId w:val="11"/>
        </w:numPr>
      </w:pPr>
      <w:r w:rsidRPr="00DB684E">
        <w:t>Designated Shellfish waters,</w:t>
      </w:r>
    </w:p>
    <w:p w14:paraId="12E1CDEC" w14:textId="7CD903F8" w:rsidR="00C91775" w:rsidRDefault="00C91775" w:rsidP="00542F79">
      <w:pPr>
        <w:pStyle w:val="BodyText1"/>
        <w:numPr>
          <w:ilvl w:val="0"/>
          <w:numId w:val="11"/>
        </w:numPr>
      </w:pPr>
      <w:r w:rsidRPr="00DB684E">
        <w:t>Waters designated under the Birds and Habitats Directives that are Special Protection Areas or Special Areas of Conservation.</w:t>
      </w:r>
    </w:p>
    <w:p w14:paraId="2CC658E1" w14:textId="72248180" w:rsidR="00990A28" w:rsidRPr="00990A28" w:rsidRDefault="006B5604" w:rsidP="00542F79">
      <w:pPr>
        <w:pStyle w:val="BodyText1"/>
        <w:numPr>
          <w:ilvl w:val="0"/>
          <w:numId w:val="11"/>
        </w:numPr>
      </w:pPr>
      <w:r>
        <w:t>D</w:t>
      </w:r>
      <w:r w:rsidR="005C191C" w:rsidRPr="00EB1688">
        <w:t>esignated Marine Conservation Zones</w:t>
      </w:r>
    </w:p>
    <w:p w14:paraId="1B2F4EB6" w14:textId="3EA528FB" w:rsidR="00C91775" w:rsidRPr="00C47A0B" w:rsidRDefault="00C91775" w:rsidP="00C47A0B">
      <w:pPr>
        <w:pStyle w:val="BodyText1"/>
      </w:pPr>
      <w:r w:rsidRPr="009F360C">
        <w:t xml:space="preserve">A 6mm </w:t>
      </w:r>
      <w:r w:rsidRPr="007B7A6C">
        <w:t>solids separation</w:t>
      </w:r>
      <w:r w:rsidRPr="009F360C">
        <w:t xml:space="preserve"> will be required </w:t>
      </w:r>
      <w:r w:rsidRPr="007B7A6C">
        <w:t xml:space="preserve">and screening of flows for a </w:t>
      </w:r>
      <w:r w:rsidR="00627AA6" w:rsidRPr="007B7A6C">
        <w:t xml:space="preserve">rainfall </w:t>
      </w:r>
      <w:r w:rsidRPr="007B7A6C">
        <w:t xml:space="preserve">return period </w:t>
      </w:r>
      <w:r w:rsidR="00627AA6" w:rsidRPr="007B7A6C">
        <w:t xml:space="preserve">of </w:t>
      </w:r>
      <w:r w:rsidRPr="007B7A6C">
        <w:t xml:space="preserve">greater than 1:5 </w:t>
      </w:r>
      <w:r w:rsidR="00F16C2C" w:rsidRPr="007B7A6C">
        <w:t>years</w:t>
      </w:r>
      <w:r w:rsidRPr="007B7A6C">
        <w:t xml:space="preserve"> may be required.</w:t>
      </w:r>
      <w:r w:rsidRPr="00526A67">
        <w:t xml:space="preserve"> </w:t>
      </w:r>
    </w:p>
    <w:p w14:paraId="00EB5930" w14:textId="287761B9" w:rsidR="00C91775" w:rsidRDefault="00793ECC" w:rsidP="007B7A6C">
      <w:pPr>
        <w:pStyle w:val="Heading3"/>
      </w:pPr>
      <w:bookmarkStart w:id="21" w:name="_Toc193872495"/>
      <w:r>
        <w:t>4.3.2</w:t>
      </w:r>
      <w:r>
        <w:tab/>
      </w:r>
      <w:r w:rsidR="00C91775">
        <w:t>Screens required for m</w:t>
      </w:r>
      <w:r w:rsidR="00D328F9">
        <w:t xml:space="preserve">oderate </w:t>
      </w:r>
      <w:r w:rsidR="00C91775">
        <w:t>amenity locations</w:t>
      </w:r>
      <w:bookmarkEnd w:id="21"/>
    </w:p>
    <w:p w14:paraId="5FC93B56" w14:textId="57CBFACF" w:rsidR="00C91775" w:rsidRDefault="00C91775" w:rsidP="007B7A6C">
      <w:pPr>
        <w:pStyle w:val="BodyText1"/>
      </w:pPr>
      <w:r>
        <w:t>A m</w:t>
      </w:r>
      <w:r w:rsidR="00D328F9">
        <w:t>oderate</w:t>
      </w:r>
      <w:r>
        <w:t xml:space="preserve"> amenity location </w:t>
      </w:r>
      <w:r w:rsidR="00720E54">
        <w:t>influences:</w:t>
      </w:r>
      <w:r>
        <w:t xml:space="preserve"> </w:t>
      </w:r>
    </w:p>
    <w:p w14:paraId="45F63539" w14:textId="21CB3392" w:rsidR="00C91775" w:rsidRPr="00526A67" w:rsidRDefault="00E30C67" w:rsidP="00542F79">
      <w:pPr>
        <w:pStyle w:val="BodyText1"/>
        <w:numPr>
          <w:ilvl w:val="0"/>
          <w:numId w:val="10"/>
        </w:numPr>
      </w:pPr>
      <w:r>
        <w:t>An area w</w:t>
      </w:r>
      <w:r w:rsidR="00C91775" w:rsidRPr="00526A67">
        <w:t xml:space="preserve">here </w:t>
      </w:r>
      <w:r>
        <w:t xml:space="preserve">there </w:t>
      </w:r>
      <w:r w:rsidR="00C91775" w:rsidRPr="00526A67">
        <w:t>is boating on the receiving water</w:t>
      </w:r>
      <w:r w:rsidR="00897CA6">
        <w:t>.</w:t>
      </w:r>
    </w:p>
    <w:p w14:paraId="1164AEFD" w14:textId="0DD3D024" w:rsidR="00C91775" w:rsidRPr="00526A67" w:rsidRDefault="00E30C67" w:rsidP="00542F79">
      <w:pPr>
        <w:pStyle w:val="BodyText1"/>
        <w:numPr>
          <w:ilvl w:val="0"/>
          <w:numId w:val="10"/>
        </w:numPr>
      </w:pPr>
      <w:r>
        <w:lastRenderedPageBreak/>
        <w:t>An area where t</w:t>
      </w:r>
      <w:r w:rsidR="00C91775" w:rsidRPr="00526A67">
        <w:t>here is a popular footpath adjacent to the watercourse</w:t>
      </w:r>
      <w:r w:rsidR="00897CA6">
        <w:t>.</w:t>
      </w:r>
    </w:p>
    <w:p w14:paraId="5E99ED3C" w14:textId="11E49AB2" w:rsidR="00C91775" w:rsidRPr="00526A67" w:rsidRDefault="00E30C67" w:rsidP="00542F79">
      <w:pPr>
        <w:pStyle w:val="BodyText1"/>
        <w:numPr>
          <w:ilvl w:val="0"/>
          <w:numId w:val="10"/>
        </w:numPr>
      </w:pPr>
      <w:r>
        <w:t xml:space="preserve">An area where a </w:t>
      </w:r>
      <w:r w:rsidR="00C91775" w:rsidRPr="00526A67">
        <w:t>watercourse passes through a housing development or frequently used town centre area (e.g. bridge, pedestrian area, shopping area)</w:t>
      </w:r>
      <w:r w:rsidR="00897CA6">
        <w:t>.</w:t>
      </w:r>
    </w:p>
    <w:p w14:paraId="522F0205" w14:textId="0A0F5930" w:rsidR="00C91775" w:rsidRDefault="00897CA6" w:rsidP="00542F79">
      <w:pPr>
        <w:pStyle w:val="BodyText1"/>
        <w:numPr>
          <w:ilvl w:val="0"/>
          <w:numId w:val="10"/>
        </w:numPr>
      </w:pPr>
      <w:r>
        <w:t>An area where t</w:t>
      </w:r>
      <w:r w:rsidR="00C91775" w:rsidRPr="009A0EC4">
        <w:t>here is recreation and water contact sport (non-immersion)</w:t>
      </w:r>
      <w:r w:rsidR="00C91775">
        <w:t>.</w:t>
      </w:r>
    </w:p>
    <w:p w14:paraId="2CC4CA7D" w14:textId="65267699" w:rsidR="00C91775" w:rsidRDefault="00C91775" w:rsidP="007B7A6C">
      <w:pPr>
        <w:pStyle w:val="BodyText1"/>
      </w:pPr>
      <w:r w:rsidRPr="001B4370">
        <w:t xml:space="preserve">A 6mm </w:t>
      </w:r>
      <w:r w:rsidRPr="007B7A6C">
        <w:t>solids separation</w:t>
      </w:r>
      <w:r w:rsidRPr="00433BAE">
        <w:t xml:space="preserve"> will be required. </w:t>
      </w:r>
      <w:r w:rsidR="008F7CA5" w:rsidRPr="00433BAE">
        <w:t xml:space="preserve">This </w:t>
      </w:r>
      <w:r w:rsidRPr="007B7A6C">
        <w:t>applies to all flows up to a 1:</w:t>
      </w:r>
      <w:proofErr w:type="gramStart"/>
      <w:r w:rsidRPr="007B7A6C">
        <w:t>5 year</w:t>
      </w:r>
      <w:proofErr w:type="gramEnd"/>
      <w:r w:rsidRPr="007B7A6C">
        <w:t xml:space="preserve"> rainfall return period</w:t>
      </w:r>
      <w:r w:rsidRPr="00433BAE">
        <w:t>.</w:t>
      </w:r>
    </w:p>
    <w:p w14:paraId="1498F5E7" w14:textId="0728CC82" w:rsidR="00C91775" w:rsidRDefault="00793ECC" w:rsidP="007B7A6C">
      <w:pPr>
        <w:pStyle w:val="Heading3"/>
      </w:pPr>
      <w:bookmarkStart w:id="22" w:name="_Toc193872496"/>
      <w:r>
        <w:t>4.3.3</w:t>
      </w:r>
      <w:r>
        <w:tab/>
      </w:r>
      <w:r w:rsidR="00C91775">
        <w:t>Screens required for low amenity locations</w:t>
      </w:r>
      <w:bookmarkEnd w:id="22"/>
    </w:p>
    <w:p w14:paraId="4B1E6640" w14:textId="7BE20189" w:rsidR="00C91775" w:rsidRDefault="00C91775" w:rsidP="007B7A6C">
      <w:pPr>
        <w:pStyle w:val="BodyText1"/>
      </w:pPr>
      <w:r w:rsidRPr="001B4370">
        <w:t xml:space="preserve"> </w:t>
      </w:r>
      <w:r>
        <w:t xml:space="preserve">A low amenity location </w:t>
      </w:r>
      <w:r w:rsidR="00433BAE">
        <w:t>influences</w:t>
      </w:r>
      <w:r w:rsidR="006C673B">
        <w:t>:</w:t>
      </w:r>
      <w:r>
        <w:t xml:space="preserve"> </w:t>
      </w:r>
    </w:p>
    <w:p w14:paraId="68457C17" w14:textId="093140C6" w:rsidR="00C91775" w:rsidRPr="00526A67" w:rsidRDefault="006C673B" w:rsidP="00542F79">
      <w:pPr>
        <w:pStyle w:val="BodyText1"/>
        <w:numPr>
          <w:ilvl w:val="0"/>
          <w:numId w:val="12"/>
        </w:numPr>
        <w:rPr>
          <w:szCs w:val="32"/>
        </w:rPr>
      </w:pPr>
      <w:r>
        <w:rPr>
          <w:szCs w:val="32"/>
        </w:rPr>
        <w:t>An area that has b</w:t>
      </w:r>
      <w:r w:rsidR="00C91775" w:rsidRPr="00526A67">
        <w:rPr>
          <w:szCs w:val="32"/>
        </w:rPr>
        <w:t xml:space="preserve">asic amenity use </w:t>
      </w:r>
      <w:proofErr w:type="gramStart"/>
      <w:r w:rsidR="00C91775" w:rsidRPr="00526A67">
        <w:rPr>
          <w:szCs w:val="32"/>
        </w:rPr>
        <w:t>only;</w:t>
      </w:r>
      <w:proofErr w:type="gramEnd"/>
    </w:p>
    <w:p w14:paraId="4CB66C33" w14:textId="4D4C8535" w:rsidR="00C91775" w:rsidRDefault="006C673B" w:rsidP="00542F79">
      <w:pPr>
        <w:pStyle w:val="BodyText1"/>
        <w:numPr>
          <w:ilvl w:val="0"/>
          <w:numId w:val="12"/>
        </w:numPr>
      </w:pPr>
      <w:r>
        <w:t>An area that has c</w:t>
      </w:r>
      <w:r w:rsidR="00C91775" w:rsidRPr="006B1D15">
        <w:t>asual riverside access used on a limited or infrequent basis, such as a road bridge in a rural area, footpath adjacent to a watercourse.</w:t>
      </w:r>
    </w:p>
    <w:p w14:paraId="7ADB26EF" w14:textId="3A504D33" w:rsidR="00C91775" w:rsidRDefault="00C91775" w:rsidP="00B1682E">
      <w:pPr>
        <w:pStyle w:val="BodyText1"/>
      </w:pPr>
      <w:r w:rsidRPr="00253526">
        <w:t xml:space="preserve">A 10mm </w:t>
      </w:r>
      <w:r w:rsidRPr="007B7A6C">
        <w:t>solids separation</w:t>
      </w:r>
      <w:r w:rsidRPr="00253526">
        <w:t xml:space="preserve"> is</w:t>
      </w:r>
      <w:r w:rsidR="00253526" w:rsidRPr="00253526">
        <w:t xml:space="preserve"> required for</w:t>
      </w:r>
      <w:r w:rsidRPr="00253526">
        <w:t xml:space="preserve"> </w:t>
      </w:r>
      <w:r w:rsidR="00253526" w:rsidRPr="007B7A6C">
        <w:t>all flows up to a 1:</w:t>
      </w:r>
      <w:proofErr w:type="gramStart"/>
      <w:r w:rsidR="00253526" w:rsidRPr="007B7A6C">
        <w:t>5 year</w:t>
      </w:r>
      <w:proofErr w:type="gramEnd"/>
      <w:r w:rsidR="00253526" w:rsidRPr="007B7A6C">
        <w:t xml:space="preserve"> rainfall return period</w:t>
      </w:r>
      <w:r w:rsidR="00253526" w:rsidRPr="00253526">
        <w:t xml:space="preserve"> </w:t>
      </w:r>
      <w:r w:rsidRPr="00253526">
        <w:t xml:space="preserve">or best engineering design. </w:t>
      </w:r>
    </w:p>
    <w:p w14:paraId="57AF0D1D" w14:textId="04A80068" w:rsidR="00C91775" w:rsidRPr="00C47A0B" w:rsidRDefault="00793ECC" w:rsidP="00C47A0B">
      <w:pPr>
        <w:pStyle w:val="Heading3"/>
        <w:rPr>
          <w:sz w:val="24"/>
        </w:rPr>
      </w:pPr>
      <w:bookmarkStart w:id="23" w:name="_Toc193872497"/>
      <w:r>
        <w:t>4.3.4</w:t>
      </w:r>
      <w:r>
        <w:tab/>
      </w:r>
      <w:r w:rsidR="00C91775" w:rsidRPr="0093434F">
        <w:t>Screens required for non-amenity locations</w:t>
      </w:r>
      <w:bookmarkEnd w:id="23"/>
    </w:p>
    <w:p w14:paraId="7196FB2E" w14:textId="41A59973" w:rsidR="00C91775" w:rsidRDefault="00C91775" w:rsidP="007B7A6C">
      <w:pPr>
        <w:pStyle w:val="BodyText1"/>
        <w:rPr>
          <w:color w:val="FF0000"/>
        </w:rPr>
      </w:pPr>
      <w:r>
        <w:t xml:space="preserve">A non-amenity location </w:t>
      </w:r>
      <w:r w:rsidR="00253526">
        <w:t>influences:</w:t>
      </w:r>
    </w:p>
    <w:p w14:paraId="482F1842" w14:textId="32186D32" w:rsidR="00C91775" w:rsidRPr="000778F5" w:rsidRDefault="00253526" w:rsidP="00542F79">
      <w:pPr>
        <w:pStyle w:val="BodyText1"/>
        <w:numPr>
          <w:ilvl w:val="0"/>
          <w:numId w:val="13"/>
        </w:numPr>
        <w:rPr>
          <w:color w:val="3C4741" w:themeColor="text1"/>
        </w:rPr>
      </w:pPr>
      <w:r>
        <w:rPr>
          <w:color w:val="3C4741" w:themeColor="text1"/>
        </w:rPr>
        <w:t>Areas that s</w:t>
      </w:r>
      <w:r w:rsidR="00C91775" w:rsidRPr="000778F5">
        <w:rPr>
          <w:color w:val="3C4741" w:themeColor="text1"/>
        </w:rPr>
        <w:t>eldom or never used for amenity purposes</w:t>
      </w:r>
      <w:r w:rsidR="00B1682E">
        <w:rPr>
          <w:color w:val="3C4741" w:themeColor="text1"/>
        </w:rPr>
        <w:t>.</w:t>
      </w:r>
    </w:p>
    <w:p w14:paraId="51C28241" w14:textId="5EF98EC7" w:rsidR="00C91775" w:rsidRDefault="00253526" w:rsidP="00542F79">
      <w:pPr>
        <w:pStyle w:val="BodyText1"/>
        <w:numPr>
          <w:ilvl w:val="0"/>
          <w:numId w:val="13"/>
        </w:numPr>
        <w:rPr>
          <w:color w:val="3C4741" w:themeColor="text1"/>
        </w:rPr>
      </w:pPr>
      <w:r>
        <w:rPr>
          <w:color w:val="3C4741" w:themeColor="text1"/>
        </w:rPr>
        <w:t>Areas that are r</w:t>
      </w:r>
      <w:r w:rsidR="00C91775" w:rsidRPr="000778F5">
        <w:rPr>
          <w:color w:val="3C4741" w:themeColor="text1"/>
        </w:rPr>
        <w:t>emote or inaccessible.</w:t>
      </w:r>
    </w:p>
    <w:p w14:paraId="39A0D0F9" w14:textId="2425C90B" w:rsidR="00B64D2A" w:rsidRPr="00B64D2A" w:rsidRDefault="00253526" w:rsidP="00C47A0B">
      <w:pPr>
        <w:pStyle w:val="BodyText1"/>
      </w:pPr>
      <w:r w:rsidRPr="002B08D6">
        <w:t>A 10mm solids separation is required for all flows up to a 1:</w:t>
      </w:r>
      <w:proofErr w:type="gramStart"/>
      <w:r w:rsidRPr="002B08D6">
        <w:t>5 year</w:t>
      </w:r>
      <w:proofErr w:type="gramEnd"/>
      <w:r w:rsidRPr="002B08D6">
        <w:t xml:space="preserve"> rainfall return period or best engineering design. </w:t>
      </w:r>
    </w:p>
    <w:p w14:paraId="19976362" w14:textId="5F7DC1BF" w:rsidR="00B64D2A" w:rsidRPr="0093434F" w:rsidRDefault="00793ECC" w:rsidP="007B7A6C">
      <w:pPr>
        <w:pStyle w:val="Heading3"/>
      </w:pPr>
      <w:bookmarkStart w:id="24" w:name="_Toc193872498"/>
      <w:r>
        <w:t>4.3.5</w:t>
      </w:r>
      <w:r>
        <w:tab/>
      </w:r>
      <w:r w:rsidR="00B64D2A" w:rsidRPr="0093434F">
        <w:t xml:space="preserve">Screens required for </w:t>
      </w:r>
      <w:r w:rsidR="00C47A0B" w:rsidRPr="0093434F">
        <w:t>existing</w:t>
      </w:r>
      <w:r w:rsidR="00B64D2A" w:rsidRPr="0093434F">
        <w:t xml:space="preserve"> </w:t>
      </w:r>
      <w:r w:rsidR="00A80EB1" w:rsidRPr="0093434F">
        <w:t>CSOs</w:t>
      </w:r>
      <w:bookmarkEnd w:id="24"/>
    </w:p>
    <w:p w14:paraId="2B15CC6D" w14:textId="7CAA6374" w:rsidR="00793ECC" w:rsidRPr="007B7A6C" w:rsidRDefault="00A80EB1" w:rsidP="00C47A0B">
      <w:pPr>
        <w:pStyle w:val="BodyText1"/>
        <w:rPr>
          <w:rFonts w:cs="Arial"/>
        </w:rPr>
      </w:pPr>
      <w:r w:rsidRPr="007B7A6C">
        <w:rPr>
          <w:rFonts w:cs="Arial"/>
        </w:rPr>
        <w:t>E</w:t>
      </w:r>
      <w:r w:rsidR="003F630D" w:rsidRPr="007B7A6C">
        <w:rPr>
          <w:rFonts w:cs="Arial"/>
        </w:rPr>
        <w:t>xisting</w:t>
      </w:r>
      <w:r w:rsidR="006E0DD6" w:rsidRPr="007B7A6C">
        <w:rPr>
          <w:rFonts w:cs="Arial"/>
        </w:rPr>
        <w:t xml:space="preserve"> </w:t>
      </w:r>
      <w:r w:rsidR="00C47A0B" w:rsidRPr="007B7A6C">
        <w:rPr>
          <w:rFonts w:cs="Arial"/>
        </w:rPr>
        <w:t>satisfactory</w:t>
      </w:r>
      <w:r w:rsidR="006E0DD6" w:rsidRPr="007B7A6C">
        <w:rPr>
          <w:rFonts w:cs="Arial"/>
        </w:rPr>
        <w:t xml:space="preserve"> discharge</w:t>
      </w:r>
      <w:r w:rsidR="001007F2">
        <w:rPr>
          <w:rFonts w:cs="Arial"/>
        </w:rPr>
        <w:t>s</w:t>
      </w:r>
      <w:r w:rsidR="006E0DD6" w:rsidRPr="007B7A6C">
        <w:rPr>
          <w:rFonts w:cs="Arial"/>
        </w:rPr>
        <w:t xml:space="preserve"> </w:t>
      </w:r>
      <w:r w:rsidRPr="007B7A6C">
        <w:rPr>
          <w:rFonts w:cs="Arial"/>
        </w:rPr>
        <w:t>will</w:t>
      </w:r>
      <w:r w:rsidR="00124BF8" w:rsidRPr="007B7A6C">
        <w:rPr>
          <w:rFonts w:cs="Arial"/>
        </w:rPr>
        <w:t xml:space="preserve"> </w:t>
      </w:r>
      <w:r w:rsidR="006E0DD6" w:rsidRPr="007B7A6C">
        <w:rPr>
          <w:rFonts w:cs="Arial"/>
        </w:rPr>
        <w:t xml:space="preserve">be </w:t>
      </w:r>
      <w:r w:rsidR="00E22AE7">
        <w:rPr>
          <w:rFonts w:cs="Arial"/>
        </w:rPr>
        <w:t>permitte</w:t>
      </w:r>
      <w:r w:rsidR="006E0DD6" w:rsidRPr="007B7A6C">
        <w:rPr>
          <w:rFonts w:cs="Arial"/>
        </w:rPr>
        <w:t xml:space="preserve">d as the status quo. </w:t>
      </w:r>
      <w:r w:rsidR="005C0EF0" w:rsidRPr="007B7A6C">
        <w:rPr>
          <w:rFonts w:cs="Arial"/>
        </w:rPr>
        <w:t>E</w:t>
      </w:r>
      <w:r w:rsidR="006E0DD6" w:rsidRPr="007B7A6C">
        <w:rPr>
          <w:rFonts w:cs="Arial"/>
        </w:rPr>
        <w:t>xisting</w:t>
      </w:r>
      <w:r w:rsidR="003F630D" w:rsidRPr="007B7A6C">
        <w:rPr>
          <w:rFonts w:cs="Arial"/>
        </w:rPr>
        <w:t xml:space="preserve"> unsatisfactory discharges</w:t>
      </w:r>
      <w:r w:rsidR="005C0EF0" w:rsidRPr="007B7A6C">
        <w:rPr>
          <w:rFonts w:cs="Arial"/>
        </w:rPr>
        <w:t xml:space="preserve"> </w:t>
      </w:r>
      <w:r w:rsidR="00B07882" w:rsidRPr="007B7A6C">
        <w:rPr>
          <w:rFonts w:cs="Arial"/>
        </w:rPr>
        <w:t xml:space="preserve">for 1 </w:t>
      </w:r>
      <w:r w:rsidR="00C47A0B" w:rsidRPr="007B7A6C">
        <w:rPr>
          <w:rFonts w:cs="Arial"/>
        </w:rPr>
        <w:t>criterion</w:t>
      </w:r>
      <w:r w:rsidR="00B07882" w:rsidRPr="007B7A6C">
        <w:rPr>
          <w:rFonts w:cs="Arial"/>
        </w:rPr>
        <w:t xml:space="preserve"> only will be </w:t>
      </w:r>
      <w:r w:rsidR="00E22AE7">
        <w:rPr>
          <w:rFonts w:cs="Arial"/>
        </w:rPr>
        <w:t>permitted</w:t>
      </w:r>
      <w:r w:rsidR="00B07882" w:rsidRPr="007B7A6C">
        <w:rPr>
          <w:rFonts w:cs="Arial"/>
        </w:rPr>
        <w:t xml:space="preserve"> to remove the reason for the unsatisfactory </w:t>
      </w:r>
      <w:r w:rsidR="004374C7" w:rsidRPr="007B7A6C">
        <w:rPr>
          <w:rFonts w:cs="Arial"/>
        </w:rPr>
        <w:t xml:space="preserve">status. If the reason for this failure is </w:t>
      </w:r>
      <w:r w:rsidR="00C47A0B" w:rsidRPr="007B7A6C">
        <w:rPr>
          <w:rFonts w:cs="Arial"/>
        </w:rPr>
        <w:t>aesthetic</w:t>
      </w:r>
      <w:r w:rsidR="004374C7" w:rsidRPr="007B7A6C">
        <w:rPr>
          <w:rFonts w:cs="Arial"/>
        </w:rPr>
        <w:t xml:space="preserve"> or </w:t>
      </w:r>
      <w:r w:rsidR="0093434F">
        <w:rPr>
          <w:rFonts w:cs="Arial"/>
        </w:rPr>
        <w:t xml:space="preserve">if </w:t>
      </w:r>
      <w:r w:rsidR="004374C7" w:rsidRPr="007B7A6C">
        <w:rPr>
          <w:rFonts w:cs="Arial"/>
        </w:rPr>
        <w:t>2 o</w:t>
      </w:r>
      <w:r w:rsidR="0093434F">
        <w:rPr>
          <w:rFonts w:cs="Arial"/>
        </w:rPr>
        <w:t>r</w:t>
      </w:r>
      <w:r w:rsidR="004374C7" w:rsidRPr="007B7A6C">
        <w:rPr>
          <w:rFonts w:cs="Arial"/>
        </w:rPr>
        <w:t xml:space="preserve"> more unsatisfactory criteria are failed the screen design sho</w:t>
      </w:r>
      <w:r w:rsidR="0093434F">
        <w:rPr>
          <w:rFonts w:cs="Arial"/>
        </w:rPr>
        <w:t>uld</w:t>
      </w:r>
      <w:r w:rsidR="004374C7" w:rsidRPr="007B7A6C">
        <w:rPr>
          <w:rFonts w:cs="Arial"/>
        </w:rPr>
        <w:t xml:space="preserve"> be </w:t>
      </w:r>
      <w:r w:rsidR="00C47A0B" w:rsidRPr="007B7A6C">
        <w:rPr>
          <w:rFonts w:cs="Arial"/>
        </w:rPr>
        <w:t>based</w:t>
      </w:r>
      <w:r w:rsidR="004374C7" w:rsidRPr="007B7A6C">
        <w:rPr>
          <w:rFonts w:cs="Arial"/>
        </w:rPr>
        <w:t xml:space="preserve"> on the </w:t>
      </w:r>
      <w:r w:rsidR="001007F2" w:rsidRPr="007B7A6C">
        <w:rPr>
          <w:rFonts w:cs="Arial"/>
        </w:rPr>
        <w:t xml:space="preserve">amenity of the location. </w:t>
      </w:r>
    </w:p>
    <w:p w14:paraId="7445E5F6" w14:textId="116F7DD1" w:rsidR="00C91775" w:rsidRDefault="004D57DF" w:rsidP="007B7A6C">
      <w:pPr>
        <w:pStyle w:val="Heading2"/>
      </w:pPr>
      <w:bookmarkStart w:id="25" w:name="_Toc193872499"/>
      <w:r>
        <w:lastRenderedPageBreak/>
        <w:t>4</w:t>
      </w:r>
      <w:r w:rsidR="00465823">
        <w:t>.4</w:t>
      </w:r>
      <w:r w:rsidR="00C91775">
        <w:tab/>
        <w:t>Maintenance requirements for CSO</w:t>
      </w:r>
      <w:r w:rsidR="00465823">
        <w:t xml:space="preserve"> screens</w:t>
      </w:r>
      <w:bookmarkEnd w:id="25"/>
    </w:p>
    <w:p w14:paraId="1EE977DD" w14:textId="42D9EDBD" w:rsidR="00C91775" w:rsidRPr="00526A67" w:rsidRDefault="00C91775" w:rsidP="00B1682E">
      <w:pPr>
        <w:pStyle w:val="BodyText1"/>
      </w:pPr>
      <w:r w:rsidRPr="00526A67">
        <w:t xml:space="preserve">Mechanically raked screens should be automatically cleaned. However static screens if not properly cleaned, can blind and the bypass can operate, resulting in the premature discharge of unscreened sewage.  </w:t>
      </w:r>
      <w:proofErr w:type="gramStart"/>
      <w:r w:rsidRPr="00526A67">
        <w:t>In order to</w:t>
      </w:r>
      <w:proofErr w:type="gramEnd"/>
      <w:r w:rsidRPr="00526A67">
        <w:t xml:space="preserve"> avoid this, an appropriate screen cleaning regime should be implemented based on the requirements of the individual CSO.</w:t>
      </w:r>
    </w:p>
    <w:p w14:paraId="348DF489" w14:textId="2CF08DEE" w:rsidR="00C91775" w:rsidRPr="00526A67" w:rsidRDefault="00C91775" w:rsidP="00B1682E">
      <w:pPr>
        <w:pStyle w:val="BodyText1"/>
      </w:pPr>
      <w:r w:rsidRPr="00526A67">
        <w:t xml:space="preserve">Overflows that are known to operate more often may need more frequent cleaning. </w:t>
      </w:r>
      <w:proofErr w:type="gramStart"/>
      <w:r w:rsidRPr="00526A67">
        <w:t>In order to</w:t>
      </w:r>
      <w:proofErr w:type="gramEnd"/>
      <w:r w:rsidRPr="00526A67">
        <w:t xml:space="preserve"> plan efficient cleansing visits, telemetry can be used to indicate when a spill has occurred </w:t>
      </w:r>
      <w:proofErr w:type="gramStart"/>
      <w:r w:rsidRPr="00526A67">
        <w:t>and also</w:t>
      </w:r>
      <w:proofErr w:type="gramEnd"/>
      <w:r w:rsidRPr="00526A67">
        <w:t xml:space="preserve"> when the screen is bypassed (for instance due to the screen being blinded).</w:t>
      </w:r>
    </w:p>
    <w:p w14:paraId="07993F78" w14:textId="7EDAAE33" w:rsidR="00C91775" w:rsidRPr="00526A67" w:rsidRDefault="00C91775" w:rsidP="00B1682E">
      <w:pPr>
        <w:pStyle w:val="BodyText1"/>
      </w:pPr>
      <w:r w:rsidRPr="00526A67">
        <w:t>It would be good practice to record the degree of blinding of the screen prior to cleansing and compare this with design expectations.  Repeated excess blinding may require a redesign of the screen or chamber.</w:t>
      </w:r>
    </w:p>
    <w:p w14:paraId="593706B7" w14:textId="0209015A" w:rsidR="00A17FEF" w:rsidRDefault="00C91775" w:rsidP="00B1682E">
      <w:pPr>
        <w:pStyle w:val="BodyText1"/>
      </w:pPr>
      <w:r w:rsidRPr="00526A67">
        <w:t>CSOs can suffer from structural deterioration, for instance due to loose bricks falling out causing a partial blockage.  These obstructions can quickly rag up with silt building up behind leading to a dry weather overflow.  Premature overflows can also be caused by sediment build up due to slack gradients.  Drainage Area Studies may provide useful information in this regard.</w:t>
      </w:r>
    </w:p>
    <w:p w14:paraId="2810AE9E" w14:textId="740A47B0" w:rsidR="00167332" w:rsidRDefault="004D57DF" w:rsidP="002050ED">
      <w:pPr>
        <w:pStyle w:val="Heading1"/>
        <w:rPr>
          <w:rFonts w:eastAsia="Times New Roman"/>
        </w:rPr>
      </w:pPr>
      <w:bookmarkStart w:id="26" w:name="_5._Designing_Storm"/>
      <w:bookmarkStart w:id="27" w:name="_Toc193872500"/>
      <w:bookmarkEnd w:id="26"/>
      <w:r>
        <w:rPr>
          <w:rFonts w:eastAsia="Times New Roman"/>
        </w:rPr>
        <w:t>5</w:t>
      </w:r>
      <w:r w:rsidR="002050ED">
        <w:rPr>
          <w:rFonts w:eastAsia="Times New Roman"/>
        </w:rPr>
        <w:t>.</w:t>
      </w:r>
      <w:r w:rsidR="00167332">
        <w:rPr>
          <w:rFonts w:eastAsia="Times New Roman"/>
        </w:rPr>
        <w:tab/>
      </w:r>
      <w:r w:rsidR="00EF1FBA">
        <w:rPr>
          <w:rFonts w:eastAsia="Times New Roman"/>
        </w:rPr>
        <w:t xml:space="preserve">Designing </w:t>
      </w:r>
      <w:r w:rsidR="00167332">
        <w:rPr>
          <w:rFonts w:eastAsia="Times New Roman"/>
        </w:rPr>
        <w:t>Storm tank</w:t>
      </w:r>
      <w:r w:rsidR="00EF1FBA">
        <w:rPr>
          <w:rFonts w:eastAsia="Times New Roman"/>
        </w:rPr>
        <w:t>s</w:t>
      </w:r>
      <w:bookmarkEnd w:id="27"/>
    </w:p>
    <w:p w14:paraId="5F99E1B9" w14:textId="77777777" w:rsidR="0007375E" w:rsidRPr="00A724BE" w:rsidRDefault="0007375E" w:rsidP="007B7A6C">
      <w:pPr>
        <w:pStyle w:val="BodyText1"/>
      </w:pPr>
      <w:r w:rsidRPr="00A724BE">
        <w:t>Storm tanks protect water quality by</w:t>
      </w:r>
      <w:r>
        <w:t>:</w:t>
      </w:r>
    </w:p>
    <w:p w14:paraId="2D755285" w14:textId="77777777" w:rsidR="0007375E" w:rsidRPr="00A724BE" w:rsidRDefault="0007375E" w:rsidP="00542F79">
      <w:pPr>
        <w:pStyle w:val="BodyText1"/>
        <w:numPr>
          <w:ilvl w:val="0"/>
          <w:numId w:val="14"/>
        </w:numPr>
      </w:pPr>
      <w:r w:rsidRPr="00A724BE">
        <w:t xml:space="preserve">Reducing the frequency and strength of discharges. </w:t>
      </w:r>
    </w:p>
    <w:p w14:paraId="08EB89C4" w14:textId="77777777" w:rsidR="0007375E" w:rsidRPr="00A724BE" w:rsidRDefault="0007375E" w:rsidP="00542F79">
      <w:pPr>
        <w:pStyle w:val="BodyText1"/>
        <w:numPr>
          <w:ilvl w:val="0"/>
          <w:numId w:val="14"/>
        </w:numPr>
      </w:pPr>
      <w:r w:rsidRPr="00A724BE">
        <w:t xml:space="preserve">Delaying any discharge until rainfall increases receiving watercourse flows. </w:t>
      </w:r>
    </w:p>
    <w:p w14:paraId="4F10E8B0" w14:textId="77777777" w:rsidR="0007375E" w:rsidRPr="00A724BE" w:rsidRDefault="0007375E" w:rsidP="00542F79">
      <w:pPr>
        <w:pStyle w:val="BodyText1"/>
        <w:numPr>
          <w:ilvl w:val="0"/>
          <w:numId w:val="14"/>
        </w:numPr>
      </w:pPr>
      <w:r w:rsidRPr="00A724BE">
        <w:t xml:space="preserve">Delaying the discharge until it is weak enough to have minimal impact. </w:t>
      </w:r>
    </w:p>
    <w:p w14:paraId="3448F8F6" w14:textId="64A84C62" w:rsidR="0007375E" w:rsidRPr="007B7A6C" w:rsidRDefault="0007375E" w:rsidP="00542F79">
      <w:pPr>
        <w:pStyle w:val="BodyText1"/>
        <w:numPr>
          <w:ilvl w:val="0"/>
          <w:numId w:val="14"/>
        </w:numPr>
      </w:pPr>
      <w:r w:rsidRPr="00A724BE">
        <w:t xml:space="preserve">Increasing the total amount of sewage retained for pass forward or treatment. </w:t>
      </w:r>
    </w:p>
    <w:p w14:paraId="08EB8B4D" w14:textId="1876999B" w:rsidR="00EF1FBA" w:rsidRPr="007B7A6C" w:rsidRDefault="004D57DF" w:rsidP="007B7A6C">
      <w:pPr>
        <w:pStyle w:val="Heading2"/>
      </w:pPr>
      <w:bookmarkStart w:id="28" w:name="_Toc193872501"/>
      <w:r>
        <w:t>5</w:t>
      </w:r>
      <w:r w:rsidR="00EF1FBA">
        <w:t>.1</w:t>
      </w:r>
      <w:r w:rsidR="00EF1FBA">
        <w:tab/>
        <w:t>Storm tank capacity</w:t>
      </w:r>
      <w:bookmarkEnd w:id="28"/>
      <w:r w:rsidR="00EF1FBA">
        <w:t xml:space="preserve"> </w:t>
      </w:r>
    </w:p>
    <w:p w14:paraId="2846D1FD" w14:textId="77777777" w:rsidR="00167332" w:rsidRPr="00167332" w:rsidRDefault="00167332" w:rsidP="007B7A6C">
      <w:pPr>
        <w:pStyle w:val="BodyText1"/>
      </w:pPr>
      <w:r w:rsidRPr="00167332">
        <w:t>Storm tanks may be located on the sewer network or at various locations at a STW.</w:t>
      </w:r>
    </w:p>
    <w:p w14:paraId="04A8CE7B" w14:textId="434767CB" w:rsidR="00E03CB1" w:rsidRDefault="00167332" w:rsidP="007B7A6C">
      <w:pPr>
        <w:pStyle w:val="BodyText1"/>
      </w:pPr>
      <w:r w:rsidRPr="00167332">
        <w:lastRenderedPageBreak/>
        <w:t>Storm tanks at the inlet to sewage treatment works will provide settlement for flows that exceed the design flow to full treatment (FFT). The industry design standard FFT is 3DWF (i.e. 3PG + I</w:t>
      </w:r>
      <w:r w:rsidRPr="00167332">
        <w:rPr>
          <w:vertAlign w:val="subscript"/>
        </w:rPr>
        <w:t>max</w:t>
      </w:r>
      <w:r w:rsidRPr="00167332">
        <w:t xml:space="preserve"> + 3E)</w:t>
      </w:r>
      <w:r>
        <w:t xml:space="preserve">. </w:t>
      </w:r>
      <w:r w:rsidR="00E03CB1">
        <w:t>S</w:t>
      </w:r>
      <w:r w:rsidRPr="00167332">
        <w:t>torm tanks should be capable of providing either</w:t>
      </w:r>
      <w:r w:rsidR="00E03CB1">
        <w:t>:</w:t>
      </w:r>
    </w:p>
    <w:p w14:paraId="62BEF93E" w14:textId="77777777" w:rsidR="00E03CB1" w:rsidRDefault="00167332" w:rsidP="00542F79">
      <w:pPr>
        <w:pStyle w:val="BodyText1"/>
        <w:numPr>
          <w:ilvl w:val="0"/>
          <w:numId w:val="15"/>
        </w:numPr>
      </w:pPr>
      <w:r w:rsidRPr="00167332">
        <w:t>2 hours storage at 3DWF</w:t>
      </w:r>
      <w:r w:rsidR="00E03CB1">
        <w:t>.</w:t>
      </w:r>
    </w:p>
    <w:p w14:paraId="4FD6F520" w14:textId="45314ABB" w:rsidR="00E03CB1" w:rsidRDefault="00167332" w:rsidP="00542F79">
      <w:pPr>
        <w:pStyle w:val="BodyText1"/>
        <w:numPr>
          <w:ilvl w:val="0"/>
          <w:numId w:val="15"/>
        </w:numPr>
      </w:pPr>
      <w:r w:rsidRPr="00167332">
        <w:t>2 hours storage at Formula ‘A’- FFT</w:t>
      </w:r>
      <w:r w:rsidR="00233360">
        <w:t>.</w:t>
      </w:r>
      <w:r w:rsidRPr="00167332">
        <w:t xml:space="preserve"> </w:t>
      </w:r>
    </w:p>
    <w:p w14:paraId="06177C49" w14:textId="35A66132" w:rsidR="00E03CB1" w:rsidRDefault="00E03CB1" w:rsidP="00167332">
      <w:pPr>
        <w:pStyle w:val="BodyText1"/>
        <w:numPr>
          <w:ilvl w:val="0"/>
          <w:numId w:val="15"/>
        </w:numPr>
      </w:pPr>
      <w:r>
        <w:t>A</w:t>
      </w:r>
      <w:r w:rsidR="00167332" w:rsidRPr="00167332">
        <w:t xml:space="preserve"> storage volume equivalent to 68 litres per head, for flows </w:t>
      </w:r>
      <w:proofErr w:type="gramStart"/>
      <w:r w:rsidR="00167332" w:rsidRPr="00167332">
        <w:t>in excess of</w:t>
      </w:r>
      <w:proofErr w:type="gramEnd"/>
      <w:r w:rsidR="00167332" w:rsidRPr="00167332">
        <w:t xml:space="preserve"> 3DWF up to Formula A as detailed in Appendix H1 of the </w:t>
      </w:r>
      <w:r w:rsidR="007533B0" w:rsidRPr="007B7A6C">
        <w:t>UWWTR Guidance Note</w:t>
      </w:r>
      <w:r w:rsidR="00167332" w:rsidRPr="00167332">
        <w:t xml:space="preserve"> or by sewer hydraulic and water quality impact modelling. </w:t>
      </w:r>
    </w:p>
    <w:p w14:paraId="02014990" w14:textId="01945217" w:rsidR="00A724BE" w:rsidRDefault="00167332" w:rsidP="007B7A6C">
      <w:pPr>
        <w:pStyle w:val="BodyText1"/>
      </w:pPr>
      <w:r w:rsidRPr="00167332">
        <w:t>Generally</w:t>
      </w:r>
      <w:r w:rsidR="00650BBA">
        <w:t>,</w:t>
      </w:r>
      <w:r w:rsidRPr="00167332">
        <w:t xml:space="preserve"> 2 hours at Formula ‘A’ – FFT is used to calculate storage requirements in cases where FFT is greater than or less than the standard 3DWF. (This provides 2 hours storage at the maximum flow rate to the storm tank). </w:t>
      </w:r>
    </w:p>
    <w:p w14:paraId="0907BEF5" w14:textId="5C3F241A" w:rsidR="00A724BE" w:rsidRDefault="00167332" w:rsidP="007B7A6C">
      <w:pPr>
        <w:pStyle w:val="BodyText1"/>
      </w:pPr>
      <w:r w:rsidRPr="00167332">
        <w:t>Once inlet flows have reduced below FFT, the contents of the storm tank should be returned to the head of the works to receive full treatment. This return can be made manually by operating a valve, or preferably automatically, when the inlet flow falls below a preset level.</w:t>
      </w:r>
    </w:p>
    <w:p w14:paraId="6E58C7BC" w14:textId="74D9084F" w:rsidR="00A724BE" w:rsidRDefault="00167332" w:rsidP="007B7A6C">
      <w:pPr>
        <w:pStyle w:val="BodyText1"/>
      </w:pPr>
      <w:r w:rsidRPr="00301517">
        <w:t>If required, the capacity of storm tanks in the network, i.e. at pumping stations, will need to be based on environmental quality modelling.</w:t>
      </w:r>
      <w:r w:rsidRPr="00167332">
        <w:t xml:space="preserve">  For example</w:t>
      </w:r>
      <w:r w:rsidR="00A724BE">
        <w:t>,</w:t>
      </w:r>
      <w:r w:rsidRPr="00167332">
        <w:t xml:space="preserve"> some pumping stations that pump direct to the STW pump FFT </w:t>
      </w:r>
      <w:r w:rsidR="00A724BE" w:rsidRPr="00A724BE">
        <w:t xml:space="preserve">flows and have adequate storage based on 68l/h or 2hours at 3DWF or 2 hours at Formula 'A' – FFT.  This is </w:t>
      </w:r>
      <w:proofErr w:type="gramStart"/>
      <w:r w:rsidR="00A724BE" w:rsidRPr="00A724BE">
        <w:t>similar to</w:t>
      </w:r>
      <w:proofErr w:type="gramEnd"/>
      <w:r w:rsidR="00A724BE" w:rsidRPr="00A724BE">
        <w:t xml:space="preserve"> what would happen at the treatment works but this reduces pumping requirements to the STW.</w:t>
      </w:r>
    </w:p>
    <w:p w14:paraId="66D44D76" w14:textId="7635C6F7" w:rsidR="00A724BE" w:rsidRDefault="007533B0" w:rsidP="007B7A6C">
      <w:pPr>
        <w:pStyle w:val="BodyText1"/>
      </w:pPr>
      <w:r w:rsidRPr="007B7A6C">
        <w:t>I</w:t>
      </w:r>
      <w:r w:rsidR="00A724BE" w:rsidRPr="00A724BE">
        <w:t xml:space="preserve">n addition to the above storm tanks, further storage capacity may have to be provided at the STW for CSOs on the inlet sewer depending on the available </w:t>
      </w:r>
      <w:r w:rsidR="00A724BE" w:rsidRPr="007533B0">
        <w:t xml:space="preserve">dilution (see </w:t>
      </w:r>
      <w:hyperlink w:anchor="_4.1._CSO_discharges" w:history="1">
        <w:r w:rsidR="00A724BE" w:rsidRPr="009900D6">
          <w:rPr>
            <w:rStyle w:val="Hyperlink"/>
          </w:rPr>
          <w:t>section 4.</w:t>
        </w:r>
        <w:r w:rsidR="00F34367" w:rsidRPr="007B7A6C">
          <w:rPr>
            <w:rStyle w:val="Hyperlink"/>
          </w:rPr>
          <w:t>1</w:t>
        </w:r>
      </w:hyperlink>
      <w:r w:rsidR="00A724BE" w:rsidRPr="007533B0">
        <w:t>).</w:t>
      </w:r>
    </w:p>
    <w:p w14:paraId="5C372A23" w14:textId="21C99F81" w:rsidR="00167332" w:rsidRDefault="00A724BE" w:rsidP="00C47A0B">
      <w:pPr>
        <w:pStyle w:val="BodyText1"/>
      </w:pPr>
      <w:r w:rsidRPr="00A724BE">
        <w:t xml:space="preserve">SEPA must be satisfied that the proposed capacity will meet the necessary water quality standards. Modelling is likely to be required for more significant discharges in accordance with </w:t>
      </w:r>
      <w:r w:rsidRPr="00A86866">
        <w:t>(</w:t>
      </w:r>
      <w:hyperlink w:anchor="_4.1._CSO_discharges" w:history="1">
        <w:r w:rsidRPr="009900D6">
          <w:rPr>
            <w:rStyle w:val="Hyperlink"/>
          </w:rPr>
          <w:t>section 4.</w:t>
        </w:r>
        <w:r w:rsidR="00AF177D" w:rsidRPr="007B7A6C">
          <w:rPr>
            <w:rStyle w:val="Hyperlink"/>
          </w:rPr>
          <w:t>1</w:t>
        </w:r>
      </w:hyperlink>
      <w:r w:rsidRPr="00A86866">
        <w:t>).</w:t>
      </w:r>
      <w:r w:rsidR="00D55A53" w:rsidRPr="007B7A6C">
        <w:t xml:space="preserve"> </w:t>
      </w:r>
      <w:r w:rsidRPr="00A86866">
        <w:t>The modelling</w:t>
      </w:r>
      <w:r w:rsidRPr="00A724BE">
        <w:t xml:space="preserve"> requirements will be the same for a CSO at a STW as a CSO on a network</w:t>
      </w:r>
      <w:r w:rsidR="00F34367">
        <w:t>.</w:t>
      </w:r>
    </w:p>
    <w:p w14:paraId="2EA55526" w14:textId="198B991D" w:rsidR="00A724BE" w:rsidRDefault="004D57DF" w:rsidP="007B7A6C">
      <w:pPr>
        <w:pStyle w:val="Heading2"/>
        <w:rPr>
          <w:rFonts w:eastAsia="Times New Roman"/>
        </w:rPr>
      </w:pPr>
      <w:bookmarkStart w:id="29" w:name="_Toc193872502"/>
      <w:r>
        <w:rPr>
          <w:rFonts w:eastAsia="Times New Roman"/>
        </w:rPr>
        <w:lastRenderedPageBreak/>
        <w:t>5</w:t>
      </w:r>
      <w:r w:rsidR="00EF1FBA">
        <w:rPr>
          <w:rFonts w:eastAsia="Times New Roman"/>
        </w:rPr>
        <w:t>.2</w:t>
      </w:r>
      <w:r w:rsidR="00A724BE">
        <w:rPr>
          <w:rFonts w:eastAsia="Times New Roman"/>
        </w:rPr>
        <w:tab/>
        <w:t>Storm tank configuration</w:t>
      </w:r>
      <w:bookmarkEnd w:id="29"/>
    </w:p>
    <w:p w14:paraId="19950108" w14:textId="4891CB7C" w:rsidR="006B69BF" w:rsidRPr="00A724BE" w:rsidRDefault="00A724BE" w:rsidP="00B1682E">
      <w:pPr>
        <w:pStyle w:val="BodyText1"/>
      </w:pPr>
      <w:r w:rsidRPr="00A724BE">
        <w:t>Frequently the 68l/</w:t>
      </w:r>
      <w:proofErr w:type="spellStart"/>
      <w:r w:rsidRPr="00A724BE">
        <w:t>hd</w:t>
      </w:r>
      <w:proofErr w:type="spellEnd"/>
      <w:r w:rsidRPr="00A724BE">
        <w:t xml:space="preserve"> (or equivalent) storage requirement at STWs has been incorporated into the primary tanks by increasing their size.  This arrangement has the disadvantage that it does not capture the stronger first flush of </w:t>
      </w:r>
      <w:proofErr w:type="gramStart"/>
      <w:r w:rsidRPr="00A724BE">
        <w:t>sewage, but</w:t>
      </w:r>
      <w:proofErr w:type="gramEnd"/>
      <w:r w:rsidRPr="00A724BE">
        <w:t xml:space="preserve"> merely displaces the existing sewage in the primary tanks.  </w:t>
      </w:r>
      <w:r w:rsidR="006B69BF" w:rsidRPr="007B7A6C">
        <w:t>It</w:t>
      </w:r>
      <w:r w:rsidR="006B69BF" w:rsidRPr="006B69BF">
        <w:rPr>
          <w:color w:val="FF0000"/>
        </w:rPr>
        <w:t xml:space="preserve"> </w:t>
      </w:r>
      <w:r w:rsidRPr="00A724BE">
        <w:t>does not delay the onset of a storm discharge and does not increase the amount of sewage passed forward for full treatment.</w:t>
      </w:r>
    </w:p>
    <w:p w14:paraId="24C2EF61" w14:textId="212829F0" w:rsidR="006B69BF" w:rsidRDefault="00A724BE" w:rsidP="00B1682E">
      <w:pPr>
        <w:pStyle w:val="BodyText1"/>
      </w:pPr>
      <w:r w:rsidRPr="00A724BE">
        <w:t xml:space="preserve">A more satisfactory arrangement consists of a storm tank of 68litres/head (or equivalent) provided as an entirely separate tank for the capture and treatment of storm sewage.  Flows between FFT and Formula A are discharged to this tank which should be empty at the start of a storm and is emptied as soon as possible afterwards.  Such an arrangement should therefore be considered where there is a water quality </w:t>
      </w:r>
      <w:proofErr w:type="gramStart"/>
      <w:r w:rsidRPr="00A724BE">
        <w:t>impact</w:t>
      </w:r>
      <w:proofErr w:type="gramEnd"/>
      <w:r w:rsidRPr="00A724BE">
        <w:t xml:space="preserve"> and a works comes to an appropriate stage in its lifetime for such an asset capability or investment process review.</w:t>
      </w:r>
    </w:p>
    <w:p w14:paraId="1C04BCA6" w14:textId="45F0B872" w:rsidR="006B69BF" w:rsidRDefault="00A724BE" w:rsidP="00B1682E">
      <w:pPr>
        <w:pStyle w:val="BodyText1"/>
      </w:pPr>
      <w:r w:rsidRPr="00172331">
        <w:t>The relative advantages of 'blind' versus 'flow through' storm tanks should be considered. In</w:t>
      </w:r>
      <w:r w:rsidRPr="00A724BE">
        <w:t xml:space="preserve"> low dilution situations where multiple storm tanks may be provided, it may be preferable to have the first storm tank 'blind', since it stores the initial more highly polluting 'first flush'. In this case the first storm tank has no outlet and simply stores the "first flush" which is later pumped back through the treatment works. Should the storm conditions continue, the other storm tanks, which are ‘flow through’ will start to fill. However, by the time they overflow to the watercourse, the river flow should have risen to accommodate storm water flows. The advantage of 'flow through' tanks is that they allow at least partial settlement of the incoming sewage before overflow. Flow through storm tanks are the accepted practice at most STWs with storm tanks.</w:t>
      </w:r>
    </w:p>
    <w:p w14:paraId="66238F58" w14:textId="2041405E" w:rsidR="006B69BF" w:rsidRDefault="004D57DF" w:rsidP="007B7A6C">
      <w:pPr>
        <w:pStyle w:val="Heading1"/>
        <w:rPr>
          <w:rFonts w:eastAsia="Times New Roman"/>
        </w:rPr>
      </w:pPr>
      <w:bookmarkStart w:id="30" w:name="_6._Pumping_station"/>
      <w:bookmarkStart w:id="31" w:name="_Toc193872503"/>
      <w:bookmarkEnd w:id="30"/>
      <w:r>
        <w:rPr>
          <w:rFonts w:eastAsia="Times New Roman"/>
        </w:rPr>
        <w:t>6</w:t>
      </w:r>
      <w:r w:rsidR="00080BD9">
        <w:rPr>
          <w:rFonts w:eastAsia="Times New Roman"/>
        </w:rPr>
        <w:t>.</w:t>
      </w:r>
      <w:r w:rsidR="006B69BF">
        <w:rPr>
          <w:rFonts w:eastAsia="Times New Roman"/>
        </w:rPr>
        <w:tab/>
        <w:t xml:space="preserve">Pumping station </w:t>
      </w:r>
      <w:r w:rsidR="00080BD9">
        <w:rPr>
          <w:rFonts w:eastAsia="Times New Roman"/>
        </w:rPr>
        <w:t>EOs</w:t>
      </w:r>
      <w:bookmarkEnd w:id="31"/>
    </w:p>
    <w:p w14:paraId="2739CF0D" w14:textId="35CE9A37" w:rsidR="00615D03" w:rsidRPr="00B1682E" w:rsidRDefault="00615D03" w:rsidP="00B1682E">
      <w:pPr>
        <w:pStyle w:val="BodyText1"/>
      </w:pPr>
      <w:r>
        <w:t>F</w:t>
      </w:r>
      <w:r w:rsidR="00676380" w:rsidRPr="00526A67">
        <w:t>or small, separately sewered catchments (i.e. where there are separate pipes for surface water and foul sewage) it should be possible to 'design out' the need for an EO by utilising storage in the pump wet well and upstream sewers, by use of telemetry to warn of pump failure and/or high level</w:t>
      </w:r>
      <w:r w:rsidR="0049622A">
        <w:t xml:space="preserve">s </w:t>
      </w:r>
      <w:r w:rsidR="0049622A" w:rsidRPr="007B7A6C">
        <w:t>of sewage in the wet well</w:t>
      </w:r>
      <w:r w:rsidR="00676380" w:rsidRPr="00526A67">
        <w:t xml:space="preserve">, and agreeing an appropriate response time. In such situations, there would be a presumption against providing an EO. Should an EO be deemed essential, which must be justified, then it must be </w:t>
      </w:r>
      <w:r w:rsidR="003C71D4">
        <w:t>permitted</w:t>
      </w:r>
      <w:r w:rsidR="00676380" w:rsidRPr="00526A67">
        <w:t xml:space="preserve"> subject to conditions to ensure that measures such as telemetry alarms </w:t>
      </w:r>
      <w:r w:rsidR="00676380" w:rsidRPr="00173F54">
        <w:t xml:space="preserve">(refer to </w:t>
      </w:r>
      <w:bookmarkStart w:id="32" w:name="_Hlk193291902"/>
      <w:r w:rsidR="006E11F6">
        <w:t xml:space="preserve">WAT-G-065 EASR Guidance: Permit Activity: Municipal </w:t>
      </w:r>
      <w:r w:rsidR="006E11F6">
        <w:lastRenderedPageBreak/>
        <w:t>Sewage Treatment Works</w:t>
      </w:r>
      <w:bookmarkEnd w:id="32"/>
      <w:r w:rsidR="009C65B1">
        <w:t>)</w:t>
      </w:r>
      <w:r w:rsidR="00676380" w:rsidRPr="00173F54">
        <w:t>,</w:t>
      </w:r>
      <w:r w:rsidR="00676380" w:rsidRPr="00526A67">
        <w:t xml:space="preserve"> are taken to minimise the frequency, duration and impact of any discharge.</w:t>
      </w:r>
    </w:p>
    <w:p w14:paraId="11B76429" w14:textId="5D35D9E6" w:rsidR="006B69BF" w:rsidRPr="00B1682E" w:rsidRDefault="006B69BF" w:rsidP="00B1682E">
      <w:pPr>
        <w:pStyle w:val="BodyText1"/>
        <w:rPr>
          <w:rFonts w:cs="Arial"/>
        </w:rPr>
      </w:pPr>
      <w:r w:rsidRPr="006B69BF">
        <w:t xml:space="preserve">Where the installation of an EO can be justified, then to minimise the risk of a discharge, the </w:t>
      </w:r>
      <w:r w:rsidR="00173F54" w:rsidRPr="007B7A6C">
        <w:t>UWWTR Guidance Note</w:t>
      </w:r>
      <w:r w:rsidRPr="006B69BF">
        <w:t xml:space="preserve"> advises a minimum storage capacity equivalent to 1-2 hours storage at 3DWF (3PG + I + 3E).  However, overflows at sensitive locations may warrant significantly greater storage times.</w:t>
      </w:r>
    </w:p>
    <w:p w14:paraId="72DE161B" w14:textId="77777777" w:rsidR="006B69BF" w:rsidRPr="006B69BF" w:rsidRDefault="006B69BF" w:rsidP="00B1682E">
      <w:pPr>
        <w:pStyle w:val="BodyText1"/>
      </w:pPr>
      <w:r w:rsidRPr="006B69BF">
        <w:t>Where operation of the EO would result in partially treated, secondary or tertiary treated effluent being discharged, precautions such as storage tanks may not be justified.</w:t>
      </w:r>
    </w:p>
    <w:p w14:paraId="52232AAF" w14:textId="62D60EA7" w:rsidR="0081030C" w:rsidRDefault="006B69BF" w:rsidP="00B1682E">
      <w:pPr>
        <w:pStyle w:val="BodyText1"/>
      </w:pPr>
      <w:r w:rsidRPr="006B69BF">
        <w:t xml:space="preserve">Should a CSO be required at the same location as a pumping station with an EO, there is a risk that if the pumps fail during a CSO overflow event, the result will be the EO operating i.e. the whole sewer volume discharging to the watercourse. The storage volume requirement at such a site </w:t>
      </w:r>
      <w:r w:rsidR="005B6D9A">
        <w:t>will</w:t>
      </w:r>
      <w:r w:rsidRPr="006B69BF">
        <w:t xml:space="preserve"> be assessed on a </w:t>
      </w:r>
      <w:proofErr w:type="gramStart"/>
      <w:r w:rsidRPr="006B69BF">
        <w:t>case by case</w:t>
      </w:r>
      <w:proofErr w:type="gramEnd"/>
      <w:r w:rsidRPr="006B69BF">
        <w:t xml:space="preserve"> basis as each discharge location will present different risks. </w:t>
      </w:r>
    </w:p>
    <w:p w14:paraId="504EB47F" w14:textId="50E714FE" w:rsidR="006B69BF" w:rsidRDefault="006B69BF" w:rsidP="00B1682E">
      <w:pPr>
        <w:pStyle w:val="BodyText1"/>
      </w:pPr>
      <w:r w:rsidRPr="006B69BF">
        <w:t xml:space="preserve">In certain high risk </w:t>
      </w:r>
      <w:proofErr w:type="gramStart"/>
      <w:r w:rsidRPr="006B69BF">
        <w:t>situations</w:t>
      </w:r>
      <w:proofErr w:type="gramEnd"/>
      <w:r w:rsidRPr="006B69BF">
        <w:t xml:space="preserve"> the discharger </w:t>
      </w:r>
      <w:r w:rsidR="005B6D9A">
        <w:t>will</w:t>
      </w:r>
      <w:r w:rsidRPr="006B69BF">
        <w:t xml:space="preserve"> be asked to model the scenario of the CSO and the EO operating at the same time against 99%ile river standards to gauge the likely short-term effect on the river. This should demonstrate </w:t>
      </w:r>
      <w:proofErr w:type="gramStart"/>
      <w:r w:rsidRPr="006B69BF">
        <w:t>whether or not</w:t>
      </w:r>
      <w:proofErr w:type="gramEnd"/>
      <w:r w:rsidRPr="006B69BF">
        <w:t xml:space="preserve"> a storage requirement over and above the usual EO requirement will be necessary. See also </w:t>
      </w:r>
      <w:r w:rsidR="009C65B1" w:rsidRPr="009C65B1">
        <w:t>WAT-G-065 EASR Guidance: Permit Activity: Municipal Sewage Treatment Works</w:t>
      </w:r>
      <w:r w:rsidR="009C65B1">
        <w:t>.</w:t>
      </w:r>
    </w:p>
    <w:p w14:paraId="48200FAF" w14:textId="534808E8" w:rsidR="00F24529" w:rsidRPr="00B1682E" w:rsidRDefault="006B69BF" w:rsidP="00B1682E">
      <w:pPr>
        <w:pStyle w:val="BodyText1"/>
      </w:pPr>
      <w:r>
        <w:t xml:space="preserve">The EO and CSO storage capacity should be over and above that provided within the pump well for the normal fill/pump sequence. This is to ensure that the required storage capacity is always available to be used prior to the operation of the EO and CSO. </w:t>
      </w:r>
    </w:p>
    <w:p w14:paraId="4CBCC505" w14:textId="09C43B35" w:rsidR="00F24529" w:rsidRPr="00526A67" w:rsidRDefault="00F24529" w:rsidP="00B1682E">
      <w:pPr>
        <w:pStyle w:val="BodyText1"/>
        <w:rPr>
          <w:rFonts w:cs="Arial"/>
        </w:rPr>
      </w:pPr>
      <w:r w:rsidRPr="00526A67">
        <w:rPr>
          <w:rFonts w:cs="Arial"/>
        </w:rPr>
        <w:t xml:space="preserve">12-18mm bar screening is acceptable, </w:t>
      </w:r>
      <w:r w:rsidRPr="007B7A6C">
        <w:rPr>
          <w:rFonts w:cs="Arial"/>
        </w:rPr>
        <w:t xml:space="preserve">however the discharger may </w:t>
      </w:r>
      <w:proofErr w:type="spellStart"/>
      <w:proofErr w:type="gramStart"/>
      <w:r w:rsidRPr="007B7A6C">
        <w:rPr>
          <w:rFonts w:cs="Arial"/>
        </w:rPr>
        <w:t>chose</w:t>
      </w:r>
      <w:proofErr w:type="spellEnd"/>
      <w:proofErr w:type="gramEnd"/>
      <w:r w:rsidRPr="007B7A6C">
        <w:rPr>
          <w:rFonts w:cs="Arial"/>
        </w:rPr>
        <w:t xml:space="preserve"> to put in 10mm bar screening.</w:t>
      </w:r>
    </w:p>
    <w:p w14:paraId="0324F012" w14:textId="77777777" w:rsidR="00F24529" w:rsidRDefault="00F24529" w:rsidP="00B1682E">
      <w:pPr>
        <w:pStyle w:val="BodyText1"/>
      </w:pPr>
    </w:p>
    <w:p w14:paraId="6059B4EC" w14:textId="5AB4B072" w:rsidR="00725F62" w:rsidRDefault="00A160D3" w:rsidP="007B7A6C">
      <w:pPr>
        <w:pStyle w:val="Heading1"/>
        <w:rPr>
          <w:rFonts w:eastAsia="Times New Roman"/>
        </w:rPr>
      </w:pPr>
      <w:bookmarkStart w:id="33" w:name="_Toc193872504"/>
      <w:r>
        <w:rPr>
          <w:rFonts w:eastAsia="Times New Roman"/>
        </w:rPr>
        <w:lastRenderedPageBreak/>
        <w:t>7.</w:t>
      </w:r>
      <w:r>
        <w:rPr>
          <w:rFonts w:eastAsia="Times New Roman"/>
        </w:rPr>
        <w:tab/>
      </w:r>
      <w:r w:rsidR="00725F62">
        <w:rPr>
          <w:rFonts w:eastAsia="Times New Roman"/>
        </w:rPr>
        <w:t>Monitoring and telemetry</w:t>
      </w:r>
      <w:r w:rsidR="00A4130E">
        <w:rPr>
          <w:rFonts w:eastAsia="Times New Roman"/>
        </w:rPr>
        <w:t xml:space="preserve"> requirements</w:t>
      </w:r>
      <w:bookmarkEnd w:id="33"/>
    </w:p>
    <w:p w14:paraId="6C7EABD5" w14:textId="6175853A" w:rsidR="00725F62" w:rsidRDefault="00A160D3" w:rsidP="007B7A6C">
      <w:pPr>
        <w:pStyle w:val="Heading2"/>
      </w:pPr>
      <w:bookmarkStart w:id="34" w:name="_Toc193872505"/>
      <w:r>
        <w:t>7.1</w:t>
      </w:r>
      <w:r w:rsidR="00725F62">
        <w:tab/>
        <w:t>Screen monitoring/telemetry</w:t>
      </w:r>
      <w:bookmarkEnd w:id="34"/>
    </w:p>
    <w:p w14:paraId="6974FCA3" w14:textId="253BF02C" w:rsidR="00725F62" w:rsidRDefault="00725F62" w:rsidP="007B7A6C">
      <w:pPr>
        <w:pStyle w:val="BodyText1"/>
      </w:pPr>
      <w:r w:rsidRPr="00526A67">
        <w:t>Where mechanically raked and other powered screens are newly installed, telemetry must be installed to notify the operator in the event of screen failure.</w:t>
      </w:r>
    </w:p>
    <w:p w14:paraId="34C66FAC" w14:textId="0042559F" w:rsidR="00725F62" w:rsidRPr="00173F54" w:rsidRDefault="00725F62" w:rsidP="007B7A6C">
      <w:pPr>
        <w:pStyle w:val="BodyText1"/>
      </w:pPr>
      <w:r w:rsidRPr="007B7A6C">
        <w:t xml:space="preserve">Monitoring of screen operation, performance and bypass operation may be required as a </w:t>
      </w:r>
      <w:r w:rsidR="00E22AE7">
        <w:t>permit</w:t>
      </w:r>
      <w:r w:rsidRPr="007B7A6C">
        <w:t xml:space="preserve"> condition and may include the requirement for telemetry to notify the operator of screen operation or bypass.</w:t>
      </w:r>
    </w:p>
    <w:p w14:paraId="3BB6F6FF" w14:textId="77777777" w:rsidR="00725F62" w:rsidRPr="007B7A6C" w:rsidRDefault="00725F62" w:rsidP="007B7A6C">
      <w:pPr>
        <w:pStyle w:val="BodyText1"/>
      </w:pPr>
      <w:r w:rsidRPr="007B7A6C">
        <w:t>Screen monitoring may be required due to one or more of the following reasons:</w:t>
      </w:r>
    </w:p>
    <w:p w14:paraId="752E627C" w14:textId="77777777" w:rsidR="00725F62" w:rsidRPr="007B7A6C" w:rsidRDefault="00725F62" w:rsidP="00542F79">
      <w:pPr>
        <w:pStyle w:val="BodyText1"/>
        <w:numPr>
          <w:ilvl w:val="0"/>
          <w:numId w:val="16"/>
        </w:numPr>
      </w:pPr>
      <w:r w:rsidRPr="007B7A6C">
        <w:t xml:space="preserve">Post scheme appraisal monitoring to confirm screen not bypassed more than 1 in 5 years on average. </w:t>
      </w:r>
    </w:p>
    <w:p w14:paraId="0F8524B0" w14:textId="77777777" w:rsidR="00725F62" w:rsidRPr="007B7A6C" w:rsidRDefault="00725F62" w:rsidP="00542F79">
      <w:pPr>
        <w:pStyle w:val="BodyText1"/>
        <w:numPr>
          <w:ilvl w:val="0"/>
          <w:numId w:val="16"/>
        </w:numPr>
      </w:pPr>
      <w:r w:rsidRPr="007B7A6C">
        <w:t>Sensitive receiving water environment.</w:t>
      </w:r>
    </w:p>
    <w:p w14:paraId="01DD2E50" w14:textId="77777777" w:rsidR="00725F62" w:rsidRPr="007B7A6C" w:rsidRDefault="00725F62" w:rsidP="00542F79">
      <w:pPr>
        <w:pStyle w:val="BodyText1"/>
        <w:numPr>
          <w:ilvl w:val="0"/>
          <w:numId w:val="16"/>
        </w:numPr>
      </w:pPr>
      <w:r w:rsidRPr="007B7A6C">
        <w:t>Uncertainty in capacity of proposed screen or performance of retrofitted screen.</w:t>
      </w:r>
    </w:p>
    <w:p w14:paraId="1D465349" w14:textId="77777777" w:rsidR="00725F62" w:rsidRPr="007B7A6C" w:rsidRDefault="00725F62" w:rsidP="00542F79">
      <w:pPr>
        <w:pStyle w:val="BodyText1"/>
        <w:numPr>
          <w:ilvl w:val="0"/>
          <w:numId w:val="16"/>
        </w:numPr>
      </w:pPr>
      <w:r w:rsidRPr="007B7A6C">
        <w:t xml:space="preserve">Previous poor performance. </w:t>
      </w:r>
    </w:p>
    <w:p w14:paraId="4A14BA54" w14:textId="14907DE7" w:rsidR="00725F62" w:rsidRPr="00B1682E" w:rsidRDefault="00725F62" w:rsidP="00B1682E">
      <w:pPr>
        <w:pStyle w:val="BodyText1"/>
        <w:numPr>
          <w:ilvl w:val="0"/>
          <w:numId w:val="16"/>
        </w:numPr>
      </w:pPr>
      <w:r w:rsidRPr="007B7A6C">
        <w:t xml:space="preserve">To notify the operator of a need for a </w:t>
      </w:r>
      <w:proofErr w:type="spellStart"/>
      <w:r w:rsidRPr="007B7A6C">
        <w:t>clean up</w:t>
      </w:r>
      <w:proofErr w:type="spellEnd"/>
      <w:r w:rsidRPr="007B7A6C">
        <w:t xml:space="preserve"> of sewage debris downstream. </w:t>
      </w:r>
    </w:p>
    <w:p w14:paraId="774851F6" w14:textId="569EC63F" w:rsidR="00725F62" w:rsidRPr="00B1682E" w:rsidRDefault="00725F62" w:rsidP="00B1682E">
      <w:pPr>
        <w:pStyle w:val="BodyText1"/>
      </w:pPr>
      <w:r w:rsidRPr="007B7A6C">
        <w:t>The operator</w:t>
      </w:r>
      <w:r w:rsidRPr="00526A67">
        <w:t xml:space="preserve"> may wish to apply additional monitoring to that required by the </w:t>
      </w:r>
      <w:r w:rsidR="00E22AE7">
        <w:t>permit</w:t>
      </w:r>
      <w:r w:rsidRPr="00526A67">
        <w:t xml:space="preserve"> </w:t>
      </w:r>
      <w:proofErr w:type="gramStart"/>
      <w:r w:rsidRPr="00526A67">
        <w:t>in order to</w:t>
      </w:r>
      <w:proofErr w:type="gramEnd"/>
      <w:r w:rsidRPr="00526A67">
        <w:t xml:space="preserve"> identify the need for manual screen cleansing or a sewage debris clean up.</w:t>
      </w:r>
    </w:p>
    <w:p w14:paraId="2C7D3E0F" w14:textId="1EB96BE6" w:rsidR="00725F62" w:rsidRDefault="00C769B1" w:rsidP="007B7A6C">
      <w:pPr>
        <w:pStyle w:val="Heading2"/>
      </w:pPr>
      <w:bookmarkStart w:id="35" w:name="_Toc193872506"/>
      <w:r>
        <w:t>7.2</w:t>
      </w:r>
      <w:r w:rsidR="00725F62">
        <w:tab/>
        <w:t>Overflow monitoring/telemetry</w:t>
      </w:r>
      <w:bookmarkEnd w:id="35"/>
    </w:p>
    <w:p w14:paraId="5140CFC4" w14:textId="4A879DDE" w:rsidR="00725F62" w:rsidRPr="00526A67" w:rsidRDefault="00725F62" w:rsidP="00824AA1">
      <w:pPr>
        <w:pStyle w:val="BodyText1"/>
        <w:rPr>
          <w:rFonts w:cs="Arial"/>
        </w:rPr>
      </w:pPr>
      <w:r w:rsidRPr="00526A67">
        <w:rPr>
          <w:rFonts w:cs="Arial"/>
        </w:rPr>
        <w:t xml:space="preserve">Modelling of CSO spill frequency is based typically upon very limited sewer flow data. The installation of event monitors or flow loggers or the provision of access facilities to install these monitors needs to be considered for all new and modified CSOs. However, the installation of event recorders and particularly flow monitoring devices can constitute a significant proportion of scheme costs. </w:t>
      </w:r>
      <w:r w:rsidRPr="007B7A6C">
        <w:rPr>
          <w:rFonts w:cs="Arial"/>
        </w:rPr>
        <w:t xml:space="preserve">For </w:t>
      </w:r>
      <w:proofErr w:type="gramStart"/>
      <w:r w:rsidRPr="007B7A6C">
        <w:rPr>
          <w:rFonts w:cs="Arial"/>
        </w:rPr>
        <w:t>the majority of</w:t>
      </w:r>
      <w:proofErr w:type="gramEnd"/>
      <w:r w:rsidRPr="007B7A6C">
        <w:rPr>
          <w:rFonts w:cs="Arial"/>
        </w:rPr>
        <w:t xml:space="preserve"> schemes, once the collection system has been brought up to UWWTR standards, or an existing intermittent discharge has been categorised as satisfactory, the need for monitoring is minimal.</w:t>
      </w:r>
    </w:p>
    <w:p w14:paraId="16A390CC" w14:textId="2F521414" w:rsidR="00725F62" w:rsidRPr="00B1682E" w:rsidRDefault="00725F62" w:rsidP="00B1682E">
      <w:pPr>
        <w:pStyle w:val="BodyText1"/>
        <w:rPr>
          <w:rFonts w:cs="Arial"/>
        </w:rPr>
      </w:pPr>
      <w:r w:rsidRPr="00526A67">
        <w:rPr>
          <w:rFonts w:cs="Arial"/>
        </w:rPr>
        <w:lastRenderedPageBreak/>
        <w:t xml:space="preserve">Flow/event monitoring requirements at STWs are detailed in </w:t>
      </w:r>
      <w:r w:rsidR="009C65B1" w:rsidRPr="009C65B1">
        <w:t>WAT-G-065 EASR Guidance: Permit Activity: Municipal Sewage Treatment Works</w:t>
      </w:r>
      <w:r w:rsidRPr="00526A67">
        <w:rPr>
          <w:rFonts w:cs="Arial"/>
        </w:rPr>
        <w:t>.</w:t>
      </w:r>
    </w:p>
    <w:p w14:paraId="1BF696B6" w14:textId="120A68BD" w:rsidR="00725F62" w:rsidRPr="00526A67" w:rsidRDefault="00C769B1" w:rsidP="007B7A6C">
      <w:pPr>
        <w:pStyle w:val="Heading3"/>
      </w:pPr>
      <w:bookmarkStart w:id="36" w:name="_Toc193872507"/>
      <w:r>
        <w:t>7.2.1</w:t>
      </w:r>
      <w:r>
        <w:tab/>
      </w:r>
      <w:r w:rsidR="00725F62" w:rsidRPr="00526A67">
        <w:t>Event Monitoring</w:t>
      </w:r>
      <w:bookmarkEnd w:id="36"/>
    </w:p>
    <w:p w14:paraId="55E9F202" w14:textId="12C241CC" w:rsidR="00725F62" w:rsidRPr="00526A67" w:rsidRDefault="00725F62" w:rsidP="007B7A6C">
      <w:pPr>
        <w:pStyle w:val="BodyText1"/>
      </w:pPr>
      <w:r w:rsidRPr="00526A67">
        <w:t xml:space="preserve">Event monitoring provides the date and start and stop time of overflow events.  Such monitoring may be required for </w:t>
      </w:r>
      <w:proofErr w:type="gramStart"/>
      <w:r w:rsidRPr="00526A67">
        <w:t>a number of</w:t>
      </w:r>
      <w:proofErr w:type="gramEnd"/>
      <w:r w:rsidRPr="00526A67">
        <w:t xml:space="preserve"> reasons:</w:t>
      </w:r>
    </w:p>
    <w:p w14:paraId="0AF60A93" w14:textId="77777777" w:rsidR="00725F62" w:rsidRPr="00526A67" w:rsidRDefault="00725F62" w:rsidP="00542F79">
      <w:pPr>
        <w:pStyle w:val="BodyText1"/>
        <w:numPr>
          <w:ilvl w:val="0"/>
          <w:numId w:val="17"/>
        </w:numPr>
      </w:pPr>
      <w:r w:rsidRPr="00526A67">
        <w:t>To validate model predictions and to ensure that sufficient data is available for future reviews</w:t>
      </w:r>
      <w:r>
        <w:t>.</w:t>
      </w:r>
    </w:p>
    <w:p w14:paraId="1C0066B2" w14:textId="4162E5BB" w:rsidR="00725F62" w:rsidRPr="00526A67" w:rsidRDefault="00725F62" w:rsidP="00542F79">
      <w:pPr>
        <w:pStyle w:val="BodyText1"/>
        <w:numPr>
          <w:ilvl w:val="0"/>
          <w:numId w:val="17"/>
        </w:numPr>
      </w:pPr>
      <w:r w:rsidRPr="00526A67">
        <w:t>To ensure that spill frequencies are as modelled and designed, specifically at medium or high sensitivity sites</w:t>
      </w:r>
    </w:p>
    <w:p w14:paraId="56708478" w14:textId="77777777" w:rsidR="00725F62" w:rsidRPr="00526A67" w:rsidRDefault="00725F62" w:rsidP="00542F79">
      <w:pPr>
        <w:pStyle w:val="BodyText1"/>
        <w:numPr>
          <w:ilvl w:val="0"/>
          <w:numId w:val="17"/>
        </w:numPr>
      </w:pPr>
      <w:r w:rsidRPr="00526A67">
        <w:t>To investigate water quality problems which may arise from premature operation</w:t>
      </w:r>
      <w:r>
        <w:t>.</w:t>
      </w:r>
    </w:p>
    <w:p w14:paraId="2AECDEBB" w14:textId="7D08DBF0" w:rsidR="00725F62" w:rsidRDefault="00725F62" w:rsidP="007B7A6C">
      <w:pPr>
        <w:pStyle w:val="BodyText1"/>
      </w:pPr>
      <w:r w:rsidRPr="00526A67">
        <w:t>Installation of these monitors may be temporary.</w:t>
      </w:r>
    </w:p>
    <w:p w14:paraId="2B743851" w14:textId="5D9CD427" w:rsidR="00F10D74" w:rsidRPr="00526A67" w:rsidRDefault="003B3278" w:rsidP="007B7A6C">
      <w:pPr>
        <w:pStyle w:val="BodyText1"/>
      </w:pPr>
      <w:r>
        <w:t xml:space="preserve">The event recording requirements for new or modified </w:t>
      </w:r>
      <w:r w:rsidR="00F10D74">
        <w:t>CSOs on the sewer network are:</w:t>
      </w:r>
    </w:p>
    <w:p w14:paraId="3BDBFE32" w14:textId="227914AC" w:rsidR="00725F62" w:rsidRPr="00526A67" w:rsidRDefault="00725F62" w:rsidP="00F10D74">
      <w:pPr>
        <w:pStyle w:val="BodyText1"/>
        <w:numPr>
          <w:ilvl w:val="0"/>
          <w:numId w:val="30"/>
        </w:numPr>
      </w:pPr>
      <w:r w:rsidRPr="00526A67">
        <w:t xml:space="preserve">Discharges liable to impact bathing and/or shellfish waters </w:t>
      </w:r>
      <w:r w:rsidR="001650C8">
        <w:t>will</w:t>
      </w:r>
      <w:r w:rsidRPr="00920C29">
        <w:t xml:space="preserve"> require the installation and use of </w:t>
      </w:r>
      <w:r w:rsidR="00764323">
        <w:t xml:space="preserve">permanent </w:t>
      </w:r>
      <w:r w:rsidRPr="00920C29">
        <w:t xml:space="preserve">event monitors </w:t>
      </w:r>
      <w:r w:rsidRPr="007B7A6C">
        <w:t>to provide an annual record of spill frequency and to enable SEPA to audit performance against the design spill standard.</w:t>
      </w:r>
    </w:p>
    <w:p w14:paraId="022496A6" w14:textId="7E9A82DD" w:rsidR="00CD64FE" w:rsidRDefault="008C631F" w:rsidP="00F10D74">
      <w:pPr>
        <w:pStyle w:val="BodyText1"/>
        <w:numPr>
          <w:ilvl w:val="0"/>
          <w:numId w:val="30"/>
        </w:numPr>
      </w:pPr>
      <w:r>
        <w:t>Discharge</w:t>
      </w:r>
      <w:r w:rsidR="00DB207C">
        <w:t>s</w:t>
      </w:r>
      <w:r>
        <w:t xml:space="preserve"> from </w:t>
      </w:r>
      <w:r w:rsidR="00232585">
        <w:rPr>
          <w:rFonts w:cstheme="minorHAnsi"/>
        </w:rPr>
        <w:t>≤</w:t>
      </w:r>
      <w:r w:rsidR="00232585">
        <w:t xml:space="preserve">2000 pe require access to install an event </w:t>
      </w:r>
      <w:r w:rsidR="00CD64FE">
        <w:t xml:space="preserve">monitor. </w:t>
      </w:r>
    </w:p>
    <w:p w14:paraId="5FFE3DD9" w14:textId="7D56B32C" w:rsidR="00725F62" w:rsidRDefault="00725F62" w:rsidP="00F10D74">
      <w:pPr>
        <w:pStyle w:val="BodyText1"/>
        <w:numPr>
          <w:ilvl w:val="0"/>
          <w:numId w:val="30"/>
        </w:numPr>
      </w:pPr>
      <w:r w:rsidRPr="00526A67">
        <w:t>Networks serving &gt;2000pe require overflow event recorders for new or modified overflows</w:t>
      </w:r>
      <w:r w:rsidR="00227EEF">
        <w:t xml:space="preserve"> unless modelling </w:t>
      </w:r>
      <w:r w:rsidR="000E7680">
        <w:t xml:space="preserve">shows </w:t>
      </w:r>
      <w:r w:rsidR="00484043">
        <w:t xml:space="preserve">the overflow will </w:t>
      </w:r>
      <w:r w:rsidR="00E47421">
        <w:t>discharges less frequently than 1 in 5 years</w:t>
      </w:r>
      <w:r w:rsidRPr="00526A67">
        <w:t>.</w:t>
      </w:r>
    </w:p>
    <w:p w14:paraId="3797978F" w14:textId="460129AD" w:rsidR="00725F62" w:rsidRPr="00526A67" w:rsidRDefault="00EC20F4" w:rsidP="007B7A6C">
      <w:pPr>
        <w:pStyle w:val="Heading3"/>
      </w:pPr>
      <w:bookmarkStart w:id="37" w:name="_Toc193872508"/>
      <w:r>
        <w:t>7.2.2</w:t>
      </w:r>
      <w:r>
        <w:tab/>
      </w:r>
      <w:r w:rsidR="00725F62" w:rsidRPr="00526A67">
        <w:t>Flow Monitoring</w:t>
      </w:r>
      <w:bookmarkEnd w:id="37"/>
    </w:p>
    <w:p w14:paraId="460E380A" w14:textId="2EB6E399" w:rsidR="00725F62" w:rsidRPr="00526A67" w:rsidRDefault="00725F62" w:rsidP="007B7A6C">
      <w:pPr>
        <w:pStyle w:val="BodyText1"/>
      </w:pPr>
      <w:r w:rsidRPr="00526A67">
        <w:t>In-sewer flow monitoring provides more useful information than event monitoring which is dependent on rainfall events and characteristics.</w:t>
      </w:r>
    </w:p>
    <w:p w14:paraId="57D6CE98" w14:textId="2BEDE559" w:rsidR="00725F62" w:rsidRPr="00526A67" w:rsidRDefault="00725F62" w:rsidP="007B7A6C">
      <w:pPr>
        <w:pStyle w:val="BodyText1"/>
      </w:pPr>
      <w:r w:rsidRPr="00526A67">
        <w:t xml:space="preserve">Flow monitors can provide information on whether pass forward flows are being </w:t>
      </w:r>
      <w:proofErr w:type="gramStart"/>
      <w:r w:rsidRPr="00526A67">
        <w:t>maintained</w:t>
      </w:r>
      <w:proofErr w:type="gramEnd"/>
      <w:r w:rsidRPr="00526A67">
        <w:t xml:space="preserve"> or dry weather flows being exceeded and can also provide estimates of spill volumes.</w:t>
      </w:r>
    </w:p>
    <w:p w14:paraId="60E0F05B" w14:textId="234B749D" w:rsidR="00AA26AF" w:rsidRDefault="00AA26AF" w:rsidP="00AA26AF">
      <w:pPr>
        <w:pStyle w:val="BodyText1"/>
      </w:pPr>
      <w:r>
        <w:lastRenderedPageBreak/>
        <w:t>The flow recording requirements for new or modified CSOs on the sewer network are:</w:t>
      </w:r>
    </w:p>
    <w:p w14:paraId="7A730E4C" w14:textId="77777777" w:rsidR="00286893" w:rsidRDefault="00286893" w:rsidP="00286893">
      <w:pPr>
        <w:pStyle w:val="BodyText1"/>
        <w:numPr>
          <w:ilvl w:val="0"/>
          <w:numId w:val="31"/>
        </w:numPr>
      </w:pPr>
      <w:r>
        <w:t>For all discharges there must be the ability to install flow monitoring devices both upstream and downstream of the CSO.</w:t>
      </w:r>
    </w:p>
    <w:p w14:paraId="04086512" w14:textId="17878A5A" w:rsidR="00725F62" w:rsidRPr="00526A67" w:rsidRDefault="00725F62" w:rsidP="001F5C45">
      <w:pPr>
        <w:pStyle w:val="BodyText1"/>
        <w:numPr>
          <w:ilvl w:val="0"/>
          <w:numId w:val="31"/>
        </w:numPr>
      </w:pPr>
      <w:r w:rsidRPr="00272314">
        <w:t>If the design spill frequency for discharges liable to impact bathing and/or shellfish waters is exceeded and/or there are impacts on water use, the installation of flow monitoring devices in the upstream and downstream sewer may be required.</w:t>
      </w:r>
    </w:p>
    <w:p w14:paraId="6E56E420" w14:textId="39B86CB9" w:rsidR="00725F62" w:rsidRPr="00526A67" w:rsidRDefault="005D305B" w:rsidP="006A55C0">
      <w:pPr>
        <w:pStyle w:val="BodyText1"/>
        <w:numPr>
          <w:ilvl w:val="0"/>
          <w:numId w:val="31"/>
        </w:numPr>
      </w:pPr>
      <w:r>
        <w:t>F</w:t>
      </w:r>
      <w:r w:rsidR="00725F62" w:rsidRPr="00526A67">
        <w:t>or discharges &gt;2000pe to a watercourse</w:t>
      </w:r>
      <w:r w:rsidR="002950EE">
        <w:t>,</w:t>
      </w:r>
      <w:r w:rsidR="00725F62" w:rsidRPr="00526A67">
        <w:t xml:space="preserve"> where the </w:t>
      </w:r>
      <w:r w:rsidR="007C1448">
        <w:t xml:space="preserve">dilution is less </w:t>
      </w:r>
      <w:r w:rsidR="00725F62" w:rsidRPr="00526A67">
        <w:t xml:space="preserve">than 8:1 (river Q95 </w:t>
      </w:r>
      <w:proofErr w:type="spellStart"/>
      <w:proofErr w:type="gramStart"/>
      <w:r w:rsidR="00725F62" w:rsidRPr="00526A67">
        <w:t>flow:sewer</w:t>
      </w:r>
      <w:proofErr w:type="spellEnd"/>
      <w:proofErr w:type="gramEnd"/>
      <w:r w:rsidR="00725F62" w:rsidRPr="00526A67">
        <w:t xml:space="preserve"> DWF) then </w:t>
      </w:r>
      <w:r w:rsidR="0066343D">
        <w:t>perm</w:t>
      </w:r>
      <w:r w:rsidR="002950EE">
        <w:t>ane</w:t>
      </w:r>
      <w:r w:rsidR="0066343D">
        <w:t xml:space="preserve">nt </w:t>
      </w:r>
      <w:r w:rsidR="00725F62" w:rsidRPr="00526A67">
        <w:t>flow monitoring is required</w:t>
      </w:r>
      <w:r w:rsidR="0066343D">
        <w:t xml:space="preserve"> downstream of the discharge</w:t>
      </w:r>
      <w:r w:rsidR="00CD485B">
        <w:t xml:space="preserve"> and the ability to install flow monitoring upstream of the </w:t>
      </w:r>
      <w:r w:rsidR="0016360F">
        <w:t>discharge</w:t>
      </w:r>
      <w:r w:rsidR="00833F39">
        <w:t xml:space="preserve"> is required. </w:t>
      </w:r>
      <w:r w:rsidR="00C7345D">
        <w:t xml:space="preserve">The exception to this is </w:t>
      </w:r>
      <w:r w:rsidR="00725F62">
        <w:t>where</w:t>
      </w:r>
      <w:r w:rsidR="00725F62" w:rsidRPr="00526A67">
        <w:t>:</w:t>
      </w:r>
    </w:p>
    <w:p w14:paraId="78CE1FB5" w14:textId="3C28B122" w:rsidR="00725F62" w:rsidRPr="00526A67" w:rsidRDefault="00725F62" w:rsidP="006A55C0">
      <w:pPr>
        <w:pStyle w:val="BodyText1"/>
        <w:numPr>
          <w:ilvl w:val="0"/>
          <w:numId w:val="32"/>
        </w:numPr>
      </w:pPr>
      <w:r>
        <w:t>T</w:t>
      </w:r>
      <w:r w:rsidRPr="00526A67">
        <w:t>here is a gravity sewer downstream with an overflow which cannot be adjusted.  However permanent flow monitoring is required where pass forward flows may be controlled by an adjustable penstock, weir plate, or by variations in pumping (i.e. CSOs at pumping stations).</w:t>
      </w:r>
    </w:p>
    <w:p w14:paraId="15BBFB4F" w14:textId="5C86A00C" w:rsidR="00725F62" w:rsidRDefault="00E52F89" w:rsidP="006A55C0">
      <w:pPr>
        <w:pStyle w:val="BodyText1"/>
        <w:numPr>
          <w:ilvl w:val="0"/>
          <w:numId w:val="32"/>
        </w:numPr>
      </w:pPr>
      <w:r>
        <w:t>T</w:t>
      </w:r>
      <w:r w:rsidR="00725F62" w:rsidRPr="00526A67">
        <w:t>he modelling indicates that the overflow will discharge less frequently than 1 in 5 years.</w:t>
      </w:r>
    </w:p>
    <w:p w14:paraId="349A6DF2" w14:textId="1CEC8112" w:rsidR="00725F62" w:rsidRDefault="00725F62" w:rsidP="00C47A0B">
      <w:pPr>
        <w:pStyle w:val="BodyText1"/>
      </w:pPr>
      <w:r w:rsidRPr="00526A67">
        <w:t xml:space="preserve">If </w:t>
      </w:r>
      <w:r w:rsidR="00E22AE7">
        <w:t>the permit</w:t>
      </w:r>
      <w:r w:rsidRPr="00526A67">
        <w:t xml:space="preserve"> says reporting or recording should be ‘as agreed in writing with SEPA’, then it should be decided whether this is required.  This </w:t>
      </w:r>
      <w:r w:rsidR="005B6D9A">
        <w:t>will</w:t>
      </w:r>
      <w:r w:rsidRPr="00526A67">
        <w:t xml:space="preserve"> be done on a risk assessed basis i.e. reporting required for higher risk/low dilution situations.</w:t>
      </w:r>
    </w:p>
    <w:p w14:paraId="23789FC1" w14:textId="3CA93A57" w:rsidR="00725F62" w:rsidRDefault="00090231" w:rsidP="007B7A6C">
      <w:pPr>
        <w:pStyle w:val="Heading2"/>
      </w:pPr>
      <w:bookmarkStart w:id="38" w:name="_Toc193872509"/>
      <w:r>
        <w:t>7.3</w:t>
      </w:r>
      <w:r>
        <w:tab/>
      </w:r>
      <w:r w:rsidR="00725F62">
        <w:t>Sewage pumping station with storm overflows</w:t>
      </w:r>
      <w:bookmarkEnd w:id="38"/>
    </w:p>
    <w:p w14:paraId="2F168AFA" w14:textId="7650A4CD" w:rsidR="00725F62" w:rsidRDefault="00725F62" w:rsidP="005133B9">
      <w:pPr>
        <w:pStyle w:val="BodyText1"/>
      </w:pPr>
      <w:r w:rsidRPr="00526A67">
        <w:t xml:space="preserve">These </w:t>
      </w:r>
      <w:r w:rsidR="005B6D9A">
        <w:t>will</w:t>
      </w:r>
      <w:r w:rsidRPr="00526A67">
        <w:t xml:space="preserve"> be dealt with as for CSO structures. However, a measurement of pump capacities can provide the pass forward flow, and a record of pump run-times may enable estimations to be made of the volumes of sewage passed forward</w:t>
      </w:r>
      <w:r>
        <w:t xml:space="preserve">. However, </w:t>
      </w:r>
      <w:r w:rsidRPr="00526A67">
        <w:t>pump rates may deteriorate over time.  In high-risk locations event recorders and inlet flow structures/recorders may be justified</w:t>
      </w:r>
      <w:r w:rsidRPr="007B7A6C">
        <w:t>.</w:t>
      </w:r>
    </w:p>
    <w:p w14:paraId="0EDE6720" w14:textId="7F722A4A" w:rsidR="00725F62" w:rsidRDefault="00CE7417" w:rsidP="007B7A6C">
      <w:pPr>
        <w:pStyle w:val="Heading2"/>
      </w:pPr>
      <w:bookmarkStart w:id="39" w:name="_Toc193872510"/>
      <w:r>
        <w:t>7.4</w:t>
      </w:r>
      <w:r w:rsidR="00725F62">
        <w:tab/>
        <w:t>Recording and reporting</w:t>
      </w:r>
      <w:bookmarkEnd w:id="39"/>
    </w:p>
    <w:p w14:paraId="0526E2FD" w14:textId="7F15D54C" w:rsidR="00725F62" w:rsidRPr="00526A67" w:rsidRDefault="00725F62" w:rsidP="007B7A6C">
      <w:pPr>
        <w:pStyle w:val="BodyText1"/>
      </w:pPr>
      <w:r w:rsidRPr="00526A67">
        <w:t xml:space="preserve">The details of recording and reporting vary according to the </w:t>
      </w:r>
      <w:r w:rsidR="00E22AE7">
        <w:t>permit</w:t>
      </w:r>
      <w:r w:rsidRPr="00526A67">
        <w:t>.</w:t>
      </w:r>
    </w:p>
    <w:p w14:paraId="5B7C41AC" w14:textId="3EFC2E63" w:rsidR="00725F62" w:rsidRPr="00526A67" w:rsidRDefault="00725F62" w:rsidP="007B7A6C">
      <w:pPr>
        <w:pStyle w:val="BodyText1"/>
      </w:pPr>
      <w:r w:rsidRPr="00526A67">
        <w:lastRenderedPageBreak/>
        <w:t>For flow monitors</w:t>
      </w:r>
      <w:r w:rsidR="005E6B1E">
        <w:t>,</w:t>
      </w:r>
      <w:r w:rsidRPr="00526A67">
        <w:t xml:space="preserve"> this may include the pass forward flows and DWF.</w:t>
      </w:r>
    </w:p>
    <w:p w14:paraId="47D9F7DF" w14:textId="6B8C6E32" w:rsidR="00725F62" w:rsidRPr="00526A67" w:rsidRDefault="00725F62" w:rsidP="007B7A6C">
      <w:pPr>
        <w:pStyle w:val="BodyText1"/>
      </w:pPr>
      <w:r w:rsidRPr="00526A67">
        <w:t>For event monitors</w:t>
      </w:r>
      <w:r w:rsidR="005E6B1E">
        <w:t>,</w:t>
      </w:r>
      <w:r w:rsidRPr="00526A67">
        <w:t xml:space="preserve"> this may include the start/stop time and date of each overflow event.</w:t>
      </w:r>
    </w:p>
    <w:p w14:paraId="75A3B61C" w14:textId="343F880A" w:rsidR="00725F62" w:rsidRPr="00526A67" w:rsidRDefault="00725F62" w:rsidP="007B7A6C">
      <w:pPr>
        <w:pStyle w:val="BodyText1"/>
      </w:pPr>
      <w:r w:rsidRPr="00526A67">
        <w:t xml:space="preserve">Further details for STWs are provided in the Recording and Reporting sections in </w:t>
      </w:r>
      <w:r w:rsidR="009C65B1" w:rsidRPr="009C65B1">
        <w:t>WAT-G-065 EASR Guidance: Permit Activity: Municipal Sewage Treatment Works</w:t>
      </w:r>
      <w:r w:rsidRPr="00526A67">
        <w:t>.</w:t>
      </w:r>
    </w:p>
    <w:p w14:paraId="27F8C12E" w14:textId="6A62C7E0" w:rsidR="006B69BF" w:rsidRDefault="00725F62" w:rsidP="007B7A6C">
      <w:pPr>
        <w:pStyle w:val="BodyText1"/>
      </w:pPr>
      <w:r w:rsidRPr="00526A67">
        <w:t xml:space="preserve">For overflows on the sewer network, routine reporting </w:t>
      </w:r>
      <w:r w:rsidR="005B6D9A">
        <w:t>will</w:t>
      </w:r>
      <w:r w:rsidRPr="00526A67">
        <w:t xml:space="preserve"> be conditioned in the </w:t>
      </w:r>
      <w:r w:rsidR="00E22AE7">
        <w:t>permit</w:t>
      </w:r>
      <w:r w:rsidRPr="00526A67">
        <w:t xml:space="preserve"> if there is an environmental need such as low dilution.</w:t>
      </w:r>
    </w:p>
    <w:p w14:paraId="27B9E586" w14:textId="7CFA4232" w:rsidR="002F5E22" w:rsidRPr="00A8603F" w:rsidRDefault="005E6B1E" w:rsidP="008F24EE">
      <w:pPr>
        <w:spacing w:line="240" w:lineRule="auto"/>
      </w:pPr>
      <w:r>
        <w:br w:type="page"/>
      </w:r>
    </w:p>
    <w:p w14:paraId="5912DAB9" w14:textId="01C511C9" w:rsidR="00FF2DD2" w:rsidRDefault="006802F9" w:rsidP="006802F9">
      <w:pPr>
        <w:pStyle w:val="Heading1"/>
        <w:rPr>
          <w:rFonts w:eastAsia="Times New Roman"/>
        </w:rPr>
      </w:pPr>
      <w:bookmarkStart w:id="40" w:name="_Toc193872511"/>
      <w:r>
        <w:rPr>
          <w:rFonts w:eastAsia="Times New Roman"/>
        </w:rPr>
        <w:lastRenderedPageBreak/>
        <w:t>Annex 1</w:t>
      </w:r>
      <w:r w:rsidR="00A070F0">
        <w:rPr>
          <w:rFonts w:eastAsia="Times New Roman"/>
        </w:rPr>
        <w:t>: Types of overflows</w:t>
      </w:r>
      <w:bookmarkEnd w:id="40"/>
    </w:p>
    <w:p w14:paraId="7AE56835" w14:textId="6596AEE1" w:rsidR="006802F9" w:rsidRDefault="006802F9" w:rsidP="007B7A6C">
      <w:pPr>
        <w:pStyle w:val="Heading2"/>
        <w:rPr>
          <w:rFonts w:eastAsia="Times New Roman"/>
        </w:rPr>
      </w:pPr>
      <w:bookmarkStart w:id="41" w:name="_Toc193872512"/>
      <w:r>
        <w:rPr>
          <w:rFonts w:eastAsia="Times New Roman"/>
        </w:rPr>
        <w:t>A1.</w:t>
      </w:r>
      <w:r w:rsidR="00A070F0">
        <w:rPr>
          <w:rFonts w:eastAsia="Times New Roman"/>
        </w:rPr>
        <w:t>1</w:t>
      </w:r>
      <w:r>
        <w:rPr>
          <w:rFonts w:eastAsia="Times New Roman"/>
        </w:rPr>
        <w:t xml:space="preserve"> </w:t>
      </w:r>
      <w:r w:rsidR="00F76285">
        <w:rPr>
          <w:rFonts w:eastAsia="Times New Roman"/>
        </w:rPr>
        <w:tab/>
      </w:r>
      <w:r>
        <w:rPr>
          <w:rFonts w:eastAsia="Times New Roman"/>
        </w:rPr>
        <w:t>Combined sewer overflows (CSOs)</w:t>
      </w:r>
      <w:bookmarkEnd w:id="41"/>
    </w:p>
    <w:p w14:paraId="033F69F1" w14:textId="78318E58" w:rsidR="006802F9" w:rsidRDefault="006802F9" w:rsidP="007B7A6C">
      <w:pPr>
        <w:pStyle w:val="BodyText1"/>
      </w:pPr>
      <w:r w:rsidRPr="003B0C26">
        <w:t xml:space="preserve">CSOs are a feature of most existing sewerage systems where surface water i.e. rainwater from roofs, yards and roads and foul (sewage &amp; trade) effluent flows are combined in one single pipe. With increasing rainfall, the combined sewer reaches its hydraulic </w:t>
      </w:r>
      <w:proofErr w:type="gramStart"/>
      <w:r w:rsidRPr="003B0C26">
        <w:t>capacity</w:t>
      </w:r>
      <w:proofErr w:type="gramEnd"/>
      <w:r w:rsidRPr="003B0C26">
        <w:t xml:space="preserve"> and a release mechanism is required </w:t>
      </w:r>
      <w:proofErr w:type="gramStart"/>
      <w:r w:rsidRPr="003B0C26">
        <w:t>in order to</w:t>
      </w:r>
      <w:proofErr w:type="gramEnd"/>
      <w:r w:rsidRPr="003B0C26">
        <w:t xml:space="preserve"> prevent flooding or inundation of areas (including domestic property and commercial premises) with dilute sewage. CSOs should operate intermittently and only in response to rainfall and/or flooding events. They may discharge to inland, coastal or transitional (i.e. estuarine) waters.</w:t>
      </w:r>
    </w:p>
    <w:p w14:paraId="32D005B0" w14:textId="77777777" w:rsidR="006802F9" w:rsidRDefault="006802F9" w:rsidP="007B7A6C">
      <w:pPr>
        <w:pStyle w:val="BodyText1"/>
      </w:pPr>
      <w:r w:rsidRPr="003B0C26">
        <w:t xml:space="preserve">When rainfall occurs in an area, the rain runs off from permeable surfaces, i.e. grassland and natural ground, more slowly than from impermeable or developed areas such as roofs, roads and pavements. </w:t>
      </w:r>
      <w:proofErr w:type="gramStart"/>
      <w:r w:rsidRPr="003B0C26">
        <w:t>As a consequence</w:t>
      </w:r>
      <w:proofErr w:type="gramEnd"/>
      <w:r w:rsidRPr="003B0C26">
        <w:t>, flows in the combined sewer increase more rapidly than in the receiving watercourse. It is therefore necessary to retain these initial storm flows in the sewer until the watercourse flow has increased sufficiently to cope with a discharge of dilute sewage when the CSO overflows. Retention is provided by</w:t>
      </w:r>
      <w:r>
        <w:t>:</w:t>
      </w:r>
      <w:r w:rsidRPr="003B0C26">
        <w:t xml:space="preserve"> </w:t>
      </w:r>
    </w:p>
    <w:p w14:paraId="695D8E8F" w14:textId="77777777" w:rsidR="005343B2" w:rsidRDefault="006802F9" w:rsidP="00542F79">
      <w:pPr>
        <w:pStyle w:val="BodyText1"/>
        <w:numPr>
          <w:ilvl w:val="0"/>
          <w:numId w:val="18"/>
        </w:numPr>
      </w:pPr>
      <w:r w:rsidRPr="003B0C26">
        <w:t>the sewers downstream of CSOs being adequately sized</w:t>
      </w:r>
      <w:r>
        <w:t>;</w:t>
      </w:r>
      <w:r w:rsidRPr="003B0C26">
        <w:t xml:space="preserve"> or </w:t>
      </w:r>
    </w:p>
    <w:p w14:paraId="7D756D85" w14:textId="0784285B" w:rsidR="006802F9" w:rsidRDefault="006802F9" w:rsidP="00542F79">
      <w:pPr>
        <w:pStyle w:val="BodyText1"/>
        <w:numPr>
          <w:ilvl w:val="0"/>
          <w:numId w:val="18"/>
        </w:numPr>
      </w:pPr>
      <w:r w:rsidRPr="003B0C26">
        <w:t>by the provision of storage capacity in the CSO chamber, upstream sewer or in storm settlement tanks at the sewage treatment works or in the sewer network.</w:t>
      </w:r>
    </w:p>
    <w:p w14:paraId="5C3CABE9" w14:textId="2A12CB05" w:rsidR="006802F9" w:rsidRDefault="006802F9" w:rsidP="00E77E18">
      <w:pPr>
        <w:pStyle w:val="BodyText1"/>
      </w:pPr>
      <w:r w:rsidRPr="003B0C26">
        <w:t>By reducing surface water and groundwater inflows to sewers, the need for new CSOs can be kept to the absolute minimum</w:t>
      </w:r>
      <w:r w:rsidR="005E205B">
        <w:t>.</w:t>
      </w:r>
    </w:p>
    <w:p w14:paraId="1E9BF4F2" w14:textId="24D08813" w:rsidR="006802F9" w:rsidRDefault="008D38C0" w:rsidP="007B7A6C">
      <w:pPr>
        <w:pStyle w:val="Heading2"/>
        <w:rPr>
          <w:rFonts w:eastAsia="Times New Roman"/>
        </w:rPr>
      </w:pPr>
      <w:bookmarkStart w:id="42" w:name="_Toc193872513"/>
      <w:r>
        <w:rPr>
          <w:rFonts w:eastAsia="Times New Roman"/>
        </w:rPr>
        <w:t>A</w:t>
      </w:r>
      <w:r w:rsidR="00A070F0">
        <w:rPr>
          <w:rFonts w:eastAsia="Times New Roman"/>
        </w:rPr>
        <w:t>1.2</w:t>
      </w:r>
      <w:r w:rsidR="006802F9">
        <w:rPr>
          <w:rFonts w:eastAsia="Times New Roman"/>
        </w:rPr>
        <w:t xml:space="preserve"> </w:t>
      </w:r>
      <w:r w:rsidR="006802F9">
        <w:rPr>
          <w:rFonts w:eastAsia="Times New Roman"/>
        </w:rPr>
        <w:tab/>
        <w:t>Storm tanks</w:t>
      </w:r>
      <w:bookmarkEnd w:id="42"/>
    </w:p>
    <w:p w14:paraId="78C715C1" w14:textId="7AB547B9" w:rsidR="006802F9" w:rsidRDefault="006802F9" w:rsidP="007B7A6C">
      <w:pPr>
        <w:pStyle w:val="BodyText1"/>
      </w:pPr>
      <w:r w:rsidRPr="005946BD">
        <w:t>Storm tanks at inland sewage treatment works are normally required to deal primarily with the polluting "first flush" of storm sewage at a time when flows in the receiving watercourse will not have responded to rainfall as quickly as the impermeable areas served by the combined sewer.</w:t>
      </w:r>
    </w:p>
    <w:p w14:paraId="2C03EFFC" w14:textId="24040726" w:rsidR="006802F9" w:rsidRDefault="006802F9" w:rsidP="007B7A6C">
      <w:pPr>
        <w:pStyle w:val="BodyText1"/>
      </w:pPr>
      <w:r w:rsidRPr="005946BD">
        <w:t>In coastal and transitional waters, some form of storm water retention system may also be required to deal with these "first flush" scenarios, especially where the microbiological quality of receiving waters is an issue.</w:t>
      </w:r>
    </w:p>
    <w:p w14:paraId="45764D3C" w14:textId="5A9886EE" w:rsidR="006802F9" w:rsidRDefault="006802F9" w:rsidP="00E77E18">
      <w:pPr>
        <w:pStyle w:val="BodyText1"/>
      </w:pPr>
      <w:r w:rsidRPr="005946BD">
        <w:lastRenderedPageBreak/>
        <w:t>The sizing of storm water retention systems, if they are necessary (e.g. to reduce spill frequency from the sewer network), is normally based on sewer hydraulic modelling and modelling of the receiving waters.</w:t>
      </w:r>
    </w:p>
    <w:p w14:paraId="667DCDDD" w14:textId="4992EF88" w:rsidR="006802F9" w:rsidRDefault="008D38C0" w:rsidP="007B7A6C">
      <w:pPr>
        <w:pStyle w:val="Heading2"/>
        <w:rPr>
          <w:rFonts w:eastAsia="Times New Roman"/>
        </w:rPr>
      </w:pPr>
      <w:bookmarkStart w:id="43" w:name="_Toc193872514"/>
      <w:r>
        <w:rPr>
          <w:rFonts w:eastAsia="Times New Roman"/>
        </w:rPr>
        <w:t>A1.3</w:t>
      </w:r>
      <w:r w:rsidR="008108F4">
        <w:rPr>
          <w:rFonts w:eastAsia="Times New Roman"/>
        </w:rPr>
        <w:t xml:space="preserve"> </w:t>
      </w:r>
      <w:r w:rsidR="008108F4">
        <w:rPr>
          <w:rFonts w:eastAsia="Times New Roman"/>
        </w:rPr>
        <w:tab/>
      </w:r>
      <w:r w:rsidR="006802F9">
        <w:rPr>
          <w:rFonts w:eastAsia="Times New Roman"/>
        </w:rPr>
        <w:t>Emergency overflows</w:t>
      </w:r>
      <w:bookmarkEnd w:id="43"/>
    </w:p>
    <w:p w14:paraId="1A1565E7" w14:textId="5C210AFA" w:rsidR="006802F9" w:rsidRPr="005946BD" w:rsidRDefault="006802F9" w:rsidP="007B7A6C">
      <w:pPr>
        <w:pStyle w:val="BodyText1"/>
      </w:pPr>
      <w:r w:rsidRPr="005946BD">
        <w:t xml:space="preserve">Emergency Overflows (EOs) are designed to cater for mechanical and/or electrical failure, rising main failure or blockage in the downstream sewer. Such equipment may be </w:t>
      </w:r>
      <w:proofErr w:type="gramStart"/>
      <w:r w:rsidRPr="005946BD">
        <w:t>mechanically-raked</w:t>
      </w:r>
      <w:proofErr w:type="gramEnd"/>
      <w:r w:rsidRPr="005946BD">
        <w:t xml:space="preserve"> screens or pumps or flow control devices. EOs are not CSOs as they are not designed to operate in response to rainfall. They may be present on separate sewerage systems as well as combined sewerage systems.</w:t>
      </w:r>
    </w:p>
    <w:p w14:paraId="4F2FBDAF" w14:textId="1076339B" w:rsidR="00184281" w:rsidRPr="005946BD" w:rsidRDefault="006802F9" w:rsidP="001D3090">
      <w:pPr>
        <w:pStyle w:val="BodyText1"/>
      </w:pPr>
      <w:r w:rsidRPr="005946BD">
        <w:t>Emergency overflows of sewage, although they should be very infrequent, can have a more severe effect on watercourses than CSO discharges as there may be no dilution effect from any rainfall. The sewage discharge may be stronger and the flow in the watercourse may be low. For small, separately sewered catchments (i.e. where there are separate pipes for surface water and foul sewage)</w:t>
      </w:r>
      <w:r w:rsidR="00184281">
        <w:t>.</w:t>
      </w:r>
    </w:p>
    <w:p w14:paraId="613A4513" w14:textId="57462AFB" w:rsidR="00F32AEA" w:rsidRPr="007B7A6C" w:rsidRDefault="00831CA7" w:rsidP="007B7A6C">
      <w:pPr>
        <w:pStyle w:val="Heading1"/>
      </w:pPr>
      <w:bookmarkStart w:id="44" w:name="_Toc193872515"/>
      <w:r w:rsidRPr="007B7A6C">
        <w:t xml:space="preserve">Annex 2: Background to sewer network </w:t>
      </w:r>
      <w:r w:rsidR="00CB06A3">
        <w:t>permit</w:t>
      </w:r>
      <w:r w:rsidRPr="007B7A6C">
        <w:t>s</w:t>
      </w:r>
      <w:bookmarkEnd w:id="44"/>
      <w:r w:rsidRPr="007B7A6C">
        <w:t xml:space="preserve"> </w:t>
      </w:r>
    </w:p>
    <w:p w14:paraId="1FB16B61" w14:textId="22655585" w:rsidR="00F32AEA" w:rsidRDefault="00F32AEA" w:rsidP="007B7A6C">
      <w:pPr>
        <w:pStyle w:val="BodyText1"/>
      </w:pPr>
      <w:r>
        <w:t xml:space="preserve">Network </w:t>
      </w:r>
      <w:r w:rsidR="00CB06A3">
        <w:t>permit</w:t>
      </w:r>
      <w:r>
        <w:t>s change the focus from managing individual overflows to managing whole sewer networks. This links SEPA’s approach to the output from drainage area studies undertaken by Scottish Water.</w:t>
      </w:r>
    </w:p>
    <w:p w14:paraId="74713D21" w14:textId="5DDF334C" w:rsidR="00F32AEA" w:rsidRDefault="00F32AEA" w:rsidP="007B7A6C">
      <w:pPr>
        <w:pStyle w:val="BodyText1"/>
      </w:pPr>
      <w:r>
        <w:t xml:space="preserve">Network </w:t>
      </w:r>
      <w:r w:rsidR="00CB06A3">
        <w:t>permit</w:t>
      </w:r>
      <w:r>
        <w:t xml:space="preserve">s focus on the management of sewer networks, therefore providing the most effective means of controlling the risks of pollution. For example, they allow SEPA to inspect against and for Scottish Water to demonstrate their compliance in relation to the management conditions, within the </w:t>
      </w:r>
      <w:r w:rsidR="00601ABF" w:rsidRPr="00601ABF">
        <w:t>sewer network permit</w:t>
      </w:r>
      <w:r>
        <w:t>.</w:t>
      </w:r>
    </w:p>
    <w:p w14:paraId="234EE5CC" w14:textId="27F7052E" w:rsidR="00F32AEA" w:rsidRDefault="00F32AEA" w:rsidP="007B7A6C">
      <w:pPr>
        <w:pStyle w:val="BodyText1"/>
      </w:pPr>
      <w:r>
        <w:t xml:space="preserve">Network </w:t>
      </w:r>
      <w:r w:rsidR="00CB06A3">
        <w:t>permit</w:t>
      </w:r>
      <w:r>
        <w:t xml:space="preserve">s allow SEPA to be more proactive in requiring flow data collection and specifying how sewers should be modelled. The Scottish Water investment process typically involves the development of drainage area studies which provide the basis upon which </w:t>
      </w:r>
      <w:proofErr w:type="gramStart"/>
      <w:r>
        <w:t>SEPA’s</w:t>
      </w:r>
      <w:proofErr w:type="gramEnd"/>
      <w:r>
        <w:t xml:space="preserve"> and Scottish Water’s understanding of networks is progressed.  The </w:t>
      </w:r>
      <w:r w:rsidR="000E5E6A">
        <w:t>permitted</w:t>
      </w:r>
      <w:r>
        <w:t xml:space="preserve"> sewer networks are based upon the network served by a particular STW. For networks with non-compliant or </w:t>
      </w:r>
      <w:r>
        <w:lastRenderedPageBreak/>
        <w:t>unsatisfactory assets, this may require agreed investment in an overall strategic solution and/or improvements at an individual asset – e.g. fitting of screens.</w:t>
      </w:r>
    </w:p>
    <w:p w14:paraId="74B31949" w14:textId="77777777" w:rsidR="0059498C" w:rsidRPr="00592FDF" w:rsidRDefault="0059498C" w:rsidP="0059498C">
      <w:pPr>
        <w:pStyle w:val="Heading1"/>
      </w:pPr>
      <w:bookmarkStart w:id="45" w:name="_Toc190256876"/>
      <w:bookmarkStart w:id="46" w:name="_Toc193872516"/>
      <w:r w:rsidRPr="00592FDF">
        <w:t>D</w:t>
      </w:r>
      <w:r>
        <w:t>isclaimer</w:t>
      </w:r>
      <w:bookmarkEnd w:id="45"/>
      <w:bookmarkEnd w:id="46"/>
    </w:p>
    <w:p w14:paraId="15DE0294" w14:textId="77777777" w:rsidR="0059498C" w:rsidRPr="000A2A13" w:rsidRDefault="0059498C" w:rsidP="0059498C">
      <w:pPr>
        <w:pStyle w:val="BodyText1"/>
      </w:pPr>
      <w:r w:rsidRPr="000A2A13">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0115A164" w14:textId="77777777" w:rsidR="0059498C" w:rsidRPr="000A2A13" w:rsidRDefault="0059498C" w:rsidP="0059498C">
      <w:pPr>
        <w:pStyle w:val="BodyText1"/>
        <w:numPr>
          <w:ilvl w:val="0"/>
          <w:numId w:val="37"/>
        </w:numPr>
      </w:pPr>
      <w:r w:rsidRPr="000A2A13">
        <w:t>any direct, indirect and consequential losses</w:t>
      </w:r>
    </w:p>
    <w:p w14:paraId="35DD2097" w14:textId="77777777" w:rsidR="0059498C" w:rsidRPr="000A2A13" w:rsidRDefault="0059498C" w:rsidP="0059498C">
      <w:pPr>
        <w:pStyle w:val="BodyText1"/>
        <w:numPr>
          <w:ilvl w:val="0"/>
          <w:numId w:val="37"/>
        </w:numPr>
      </w:pPr>
      <w:r w:rsidRPr="000A2A13">
        <w:t>any loss or damage caused by civil wrongs, breach of contract or otherwise</w:t>
      </w:r>
    </w:p>
    <w:p w14:paraId="7F382196" w14:textId="77777777" w:rsidR="0059498C" w:rsidRPr="000A2A13" w:rsidRDefault="0059498C" w:rsidP="0059498C">
      <w:pPr>
        <w:pStyle w:val="BodyText1"/>
      </w:pPr>
      <w:r w:rsidRPr="000A2A13">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4C5D5889" w14:textId="77777777" w:rsidR="0059498C" w:rsidRDefault="0059498C" w:rsidP="007B7A6C">
      <w:pPr>
        <w:pStyle w:val="BodyText1"/>
      </w:pPr>
    </w:p>
    <w:p w14:paraId="09FD9325" w14:textId="77777777" w:rsidR="001D3090" w:rsidRDefault="001D3090" w:rsidP="64367E61">
      <w:pPr>
        <w:pStyle w:val="BodyText1"/>
        <w:rPr>
          <w:rFonts w:eastAsia="Times New Roman"/>
          <w:sz w:val="32"/>
          <w:szCs w:val="32"/>
        </w:rPr>
      </w:pPr>
    </w:p>
    <w:p w14:paraId="3C478563" w14:textId="77777777" w:rsidR="001D3090" w:rsidRDefault="001D3090" w:rsidP="64367E61">
      <w:pPr>
        <w:pStyle w:val="BodyText1"/>
        <w:rPr>
          <w:rFonts w:eastAsia="Times New Roman"/>
          <w:sz w:val="32"/>
          <w:szCs w:val="32"/>
        </w:rPr>
      </w:pPr>
    </w:p>
    <w:p w14:paraId="666FA099" w14:textId="77777777" w:rsidR="00E77E18" w:rsidRDefault="00E77E18" w:rsidP="64367E61">
      <w:pPr>
        <w:pStyle w:val="BodyText1"/>
        <w:rPr>
          <w:rFonts w:eastAsia="Times New Roman"/>
          <w:sz w:val="32"/>
          <w:szCs w:val="32"/>
        </w:rPr>
      </w:pPr>
    </w:p>
    <w:p w14:paraId="02029704" w14:textId="77777777" w:rsidR="00E77E18" w:rsidRDefault="00E77E18" w:rsidP="64367E61">
      <w:pPr>
        <w:pStyle w:val="BodyText1"/>
        <w:rPr>
          <w:rFonts w:eastAsia="Times New Roman"/>
          <w:sz w:val="32"/>
          <w:szCs w:val="32"/>
        </w:rPr>
      </w:pPr>
    </w:p>
    <w:p w14:paraId="43B196CC" w14:textId="77777777" w:rsidR="004F0541" w:rsidRDefault="004F0541" w:rsidP="64367E61">
      <w:pPr>
        <w:pStyle w:val="BodyText1"/>
        <w:rPr>
          <w:rFonts w:eastAsia="Times New Roman"/>
          <w:sz w:val="32"/>
          <w:szCs w:val="32"/>
        </w:rPr>
      </w:pPr>
    </w:p>
    <w:p w14:paraId="62E56C65" w14:textId="5D0D79F7" w:rsidR="006243FF" w:rsidRPr="001D3090" w:rsidRDefault="006243FF" w:rsidP="64367E61">
      <w:pPr>
        <w:pStyle w:val="BodyText1"/>
        <w:rPr>
          <w:rFonts w:eastAsia="Times New Roman"/>
          <w:sz w:val="32"/>
          <w:szCs w:val="32"/>
        </w:rPr>
      </w:pPr>
    </w:p>
    <w:sectPr w:rsidR="006243FF" w:rsidRPr="001D3090" w:rsidSect="006A6137">
      <w:headerReference w:type="even" r:id="rId18"/>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3341D" w14:textId="77777777" w:rsidR="000E1F8F" w:rsidRDefault="000E1F8F" w:rsidP="00660C79">
      <w:pPr>
        <w:spacing w:line="240" w:lineRule="auto"/>
      </w:pPr>
      <w:r>
        <w:separator/>
      </w:r>
    </w:p>
  </w:endnote>
  <w:endnote w:type="continuationSeparator" w:id="0">
    <w:p w14:paraId="24BA7B07" w14:textId="77777777" w:rsidR="000E1F8F" w:rsidRDefault="000E1F8F" w:rsidP="00660C79">
      <w:pPr>
        <w:spacing w:line="240" w:lineRule="auto"/>
      </w:pPr>
      <w:r>
        <w:continuationSeparator/>
      </w:r>
    </w:p>
  </w:endnote>
  <w:endnote w:type="continuationNotice" w:id="1">
    <w:p w14:paraId="45499C02" w14:textId="77777777" w:rsidR="000E1F8F" w:rsidRDefault="000E1F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33FC"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15447116" wp14:editId="7DB30665">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39CC8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47116"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B39CC8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278350D2"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3C04EF2"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A17EC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7A15"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580953BD" wp14:editId="78DE6E05">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9963B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953BD"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A9963B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303527F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82FB965" wp14:editId="29E809AC">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45718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24AC1E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FDF4AB" w14:textId="77777777" w:rsidR="00917BB1" w:rsidRDefault="00917BB1" w:rsidP="00917BB1">
    <w:pPr>
      <w:pStyle w:val="Footer"/>
      <w:ind w:right="360"/>
    </w:pPr>
    <w:r>
      <w:rPr>
        <w:noProof/>
      </w:rPr>
      <w:drawing>
        <wp:inline distT="0" distB="0" distL="0" distR="0" wp14:anchorId="45C7C4E1" wp14:editId="1BD8CAD3">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3289"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6B9EA5AF" wp14:editId="40470C5B">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99EDA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9EA5AF"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499EDA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EFD6" w14:textId="77777777" w:rsidR="000E1F8F" w:rsidRDefault="000E1F8F" w:rsidP="00660C79">
      <w:pPr>
        <w:spacing w:line="240" w:lineRule="auto"/>
      </w:pPr>
      <w:r>
        <w:separator/>
      </w:r>
    </w:p>
  </w:footnote>
  <w:footnote w:type="continuationSeparator" w:id="0">
    <w:p w14:paraId="061D9EFF" w14:textId="77777777" w:rsidR="000E1F8F" w:rsidRDefault="000E1F8F" w:rsidP="00660C79">
      <w:pPr>
        <w:spacing w:line="240" w:lineRule="auto"/>
      </w:pPr>
      <w:r>
        <w:continuationSeparator/>
      </w:r>
    </w:p>
  </w:footnote>
  <w:footnote w:type="continuationNotice" w:id="1">
    <w:p w14:paraId="1589F8DC" w14:textId="77777777" w:rsidR="000E1F8F" w:rsidRDefault="000E1F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CB5F"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61CC2392" wp14:editId="6F7D7D7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4195F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CC2392"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04195F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B3B7" w14:textId="6B207842" w:rsidR="008D113C" w:rsidRPr="00917BB1" w:rsidRDefault="00751749" w:rsidP="006F6076">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C44225D" wp14:editId="1CE730AA">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691A6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44225D"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5691A6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6F6076" w:rsidRPr="006F6076">
      <w:t xml:space="preserve"> </w:t>
    </w:r>
    <w:r w:rsidR="006F6076" w:rsidRPr="006F6076">
      <w:rPr>
        <w:color w:val="6E7571" w:themeColor="text2"/>
      </w:rPr>
      <w:t>EASR Guidance:</w:t>
    </w:r>
    <w:r w:rsidR="006F6076">
      <w:rPr>
        <w:color w:val="6E7571" w:themeColor="text2"/>
      </w:rPr>
      <w:t xml:space="preserve"> </w:t>
    </w:r>
    <w:r w:rsidR="00F971CD">
      <w:rPr>
        <w:color w:val="6E7571" w:themeColor="text2"/>
      </w:rPr>
      <w:t xml:space="preserve">Permit Activity: </w:t>
    </w:r>
    <w:r w:rsidR="006F6076" w:rsidRPr="006F6076">
      <w:rPr>
        <w:color w:val="6E7571" w:themeColor="text2"/>
      </w:rPr>
      <w:t>Sewer Overflows</w:t>
    </w:r>
  </w:p>
  <w:p w14:paraId="76FB30C5"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C42AC4B" wp14:editId="54D89E7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8D4E9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1E3D" w14:textId="723915A2" w:rsidR="00751749" w:rsidRDefault="00751749">
    <w:pPr>
      <w:pStyle w:val="Header"/>
    </w:pPr>
    <w:r>
      <w:rPr>
        <w:noProof/>
      </w:rPr>
      <mc:AlternateContent>
        <mc:Choice Requires="wps">
          <w:drawing>
            <wp:anchor distT="0" distB="0" distL="0" distR="0" simplePos="0" relativeHeight="251658242" behindDoc="0" locked="0" layoutInCell="1" allowOverlap="1" wp14:anchorId="66E9C762" wp14:editId="3192E66D">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A6F9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E9C762"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C3A6F9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45B"/>
    <w:multiLevelType w:val="hybridMultilevel"/>
    <w:tmpl w:val="4524E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B50B9"/>
    <w:multiLevelType w:val="hybridMultilevel"/>
    <w:tmpl w:val="1282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06A16"/>
    <w:multiLevelType w:val="hybridMultilevel"/>
    <w:tmpl w:val="428A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AB6"/>
    <w:multiLevelType w:val="hybridMultilevel"/>
    <w:tmpl w:val="5CE8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76252"/>
    <w:multiLevelType w:val="hybridMultilevel"/>
    <w:tmpl w:val="6F7A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4338F"/>
    <w:multiLevelType w:val="hybridMultilevel"/>
    <w:tmpl w:val="5ED8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76252"/>
    <w:multiLevelType w:val="hybridMultilevel"/>
    <w:tmpl w:val="74AEA69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C3D75EA"/>
    <w:multiLevelType w:val="hybridMultilevel"/>
    <w:tmpl w:val="D35E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84F32"/>
    <w:multiLevelType w:val="hybridMultilevel"/>
    <w:tmpl w:val="E9A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21A4F"/>
    <w:multiLevelType w:val="hybridMultilevel"/>
    <w:tmpl w:val="F6523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1258D"/>
    <w:multiLevelType w:val="multilevel"/>
    <w:tmpl w:val="11F68C5A"/>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E575BF"/>
    <w:multiLevelType w:val="hybridMultilevel"/>
    <w:tmpl w:val="E182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D187E"/>
    <w:multiLevelType w:val="hybridMultilevel"/>
    <w:tmpl w:val="98D2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428F2"/>
    <w:multiLevelType w:val="hybridMultilevel"/>
    <w:tmpl w:val="1786D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19645B"/>
    <w:multiLevelType w:val="hybridMultilevel"/>
    <w:tmpl w:val="8806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523DF5"/>
    <w:multiLevelType w:val="hybridMultilevel"/>
    <w:tmpl w:val="3C9A5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065D2"/>
    <w:multiLevelType w:val="hybridMultilevel"/>
    <w:tmpl w:val="E550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87DF6"/>
    <w:multiLevelType w:val="hybridMultilevel"/>
    <w:tmpl w:val="44A01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67D4B"/>
    <w:multiLevelType w:val="hybridMultilevel"/>
    <w:tmpl w:val="D27E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F69D3"/>
    <w:multiLevelType w:val="hybridMultilevel"/>
    <w:tmpl w:val="859C176C"/>
    <w:lvl w:ilvl="0" w:tplc="08090001">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3C2A5E1A"/>
    <w:multiLevelType w:val="hybridMultilevel"/>
    <w:tmpl w:val="9152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C511F"/>
    <w:multiLevelType w:val="hybridMultilevel"/>
    <w:tmpl w:val="B0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E67321"/>
    <w:multiLevelType w:val="hybridMultilevel"/>
    <w:tmpl w:val="37C2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6778B"/>
    <w:multiLevelType w:val="hybridMultilevel"/>
    <w:tmpl w:val="BAA86C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77806B2"/>
    <w:multiLevelType w:val="hybridMultilevel"/>
    <w:tmpl w:val="F0E2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B0A42"/>
    <w:multiLevelType w:val="hybridMultilevel"/>
    <w:tmpl w:val="ED4AB3CC"/>
    <w:lvl w:ilvl="0" w:tplc="5072785A">
      <w:start w:val="1"/>
      <w:numFmt w:val="bullet"/>
      <w:pStyle w:val="List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567E6784"/>
    <w:multiLevelType w:val="hybridMultilevel"/>
    <w:tmpl w:val="0582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166DD8"/>
    <w:multiLevelType w:val="hybridMultilevel"/>
    <w:tmpl w:val="9E7A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91867"/>
    <w:multiLevelType w:val="hybridMultilevel"/>
    <w:tmpl w:val="C1B2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0F187F"/>
    <w:multiLevelType w:val="hybridMultilevel"/>
    <w:tmpl w:val="3FBEB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015459"/>
    <w:multiLevelType w:val="hybridMultilevel"/>
    <w:tmpl w:val="3FC4A6C4"/>
    <w:lvl w:ilvl="0" w:tplc="9FFAD1B6">
      <w:start w:val="1"/>
      <w:numFmt w:val="bullet"/>
      <w:pStyle w:val="Table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73C774AB"/>
    <w:multiLevelType w:val="hybridMultilevel"/>
    <w:tmpl w:val="10A4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197EF6"/>
    <w:multiLevelType w:val="hybridMultilevel"/>
    <w:tmpl w:val="EDF8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8F7A4F"/>
    <w:multiLevelType w:val="hybridMultilevel"/>
    <w:tmpl w:val="D4BE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7D1459"/>
    <w:multiLevelType w:val="hybridMultilevel"/>
    <w:tmpl w:val="9378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48648E"/>
    <w:multiLevelType w:val="hybridMultilevel"/>
    <w:tmpl w:val="E2B8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C0092"/>
    <w:multiLevelType w:val="hybridMultilevel"/>
    <w:tmpl w:val="0666F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745591">
    <w:abstractNumId w:val="10"/>
  </w:num>
  <w:num w:numId="2" w16cid:durableId="1190146405">
    <w:abstractNumId w:val="25"/>
  </w:num>
  <w:num w:numId="3" w16cid:durableId="1844468946">
    <w:abstractNumId w:val="30"/>
  </w:num>
  <w:num w:numId="4" w16cid:durableId="394856990">
    <w:abstractNumId w:val="19"/>
  </w:num>
  <w:num w:numId="5" w16cid:durableId="149251062">
    <w:abstractNumId w:val="13"/>
  </w:num>
  <w:num w:numId="6" w16cid:durableId="311836468">
    <w:abstractNumId w:val="32"/>
  </w:num>
  <w:num w:numId="7" w16cid:durableId="1531333141">
    <w:abstractNumId w:val="26"/>
  </w:num>
  <w:num w:numId="8" w16cid:durableId="1114323631">
    <w:abstractNumId w:val="2"/>
  </w:num>
  <w:num w:numId="9" w16cid:durableId="578948109">
    <w:abstractNumId w:val="33"/>
  </w:num>
  <w:num w:numId="10" w16cid:durableId="1745420341">
    <w:abstractNumId w:val="11"/>
  </w:num>
  <w:num w:numId="11" w16cid:durableId="1926917335">
    <w:abstractNumId w:val="16"/>
  </w:num>
  <w:num w:numId="12" w16cid:durableId="2081442807">
    <w:abstractNumId w:val="5"/>
  </w:num>
  <w:num w:numId="13" w16cid:durableId="893468869">
    <w:abstractNumId w:val="1"/>
  </w:num>
  <w:num w:numId="14" w16cid:durableId="344481197">
    <w:abstractNumId w:val="36"/>
  </w:num>
  <w:num w:numId="15" w16cid:durableId="1621641131">
    <w:abstractNumId w:val="15"/>
  </w:num>
  <w:num w:numId="16" w16cid:durableId="1945841799">
    <w:abstractNumId w:val="27"/>
  </w:num>
  <w:num w:numId="17" w16cid:durableId="314993415">
    <w:abstractNumId w:val="14"/>
  </w:num>
  <w:num w:numId="18" w16cid:durableId="929779898">
    <w:abstractNumId w:val="17"/>
  </w:num>
  <w:num w:numId="19" w16cid:durableId="53045016">
    <w:abstractNumId w:val="22"/>
  </w:num>
  <w:num w:numId="20" w16cid:durableId="131362721">
    <w:abstractNumId w:val="21"/>
  </w:num>
  <w:num w:numId="21" w16cid:durableId="2006544772">
    <w:abstractNumId w:val="18"/>
  </w:num>
  <w:num w:numId="22" w16cid:durableId="1053188619">
    <w:abstractNumId w:val="4"/>
  </w:num>
  <w:num w:numId="23" w16cid:durableId="1424258769">
    <w:abstractNumId w:val="31"/>
  </w:num>
  <w:num w:numId="24" w16cid:durableId="180315980">
    <w:abstractNumId w:val="12"/>
  </w:num>
  <w:num w:numId="25" w16cid:durableId="1688167597">
    <w:abstractNumId w:val="35"/>
  </w:num>
  <w:num w:numId="26" w16cid:durableId="1191066067">
    <w:abstractNumId w:val="3"/>
  </w:num>
  <w:num w:numId="27" w16cid:durableId="440878560">
    <w:abstractNumId w:val="28"/>
  </w:num>
  <w:num w:numId="28" w16cid:durableId="519196419">
    <w:abstractNumId w:val="34"/>
  </w:num>
  <w:num w:numId="29" w16cid:durableId="1114596693">
    <w:abstractNumId w:val="23"/>
  </w:num>
  <w:num w:numId="30" w16cid:durableId="724912881">
    <w:abstractNumId w:val="20"/>
  </w:num>
  <w:num w:numId="31" w16cid:durableId="44453028">
    <w:abstractNumId w:val="0"/>
  </w:num>
  <w:num w:numId="32" w16cid:durableId="944116728">
    <w:abstractNumId w:val="6"/>
  </w:num>
  <w:num w:numId="33" w16cid:durableId="633947254">
    <w:abstractNumId w:val="7"/>
  </w:num>
  <w:num w:numId="34" w16cid:durableId="286006307">
    <w:abstractNumId w:val="9"/>
  </w:num>
  <w:num w:numId="35" w16cid:durableId="2037928570">
    <w:abstractNumId w:val="24"/>
  </w:num>
  <w:num w:numId="36" w16cid:durableId="1612395042">
    <w:abstractNumId w:val="29"/>
  </w:num>
  <w:num w:numId="37" w16cid:durableId="276640171">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0"/>
    <w:rsid w:val="00002BA4"/>
    <w:rsid w:val="00003650"/>
    <w:rsid w:val="00003E29"/>
    <w:rsid w:val="00010CBE"/>
    <w:rsid w:val="000137BD"/>
    <w:rsid w:val="00016170"/>
    <w:rsid w:val="000161DA"/>
    <w:rsid w:val="0001667E"/>
    <w:rsid w:val="000201D9"/>
    <w:rsid w:val="00021436"/>
    <w:rsid w:val="00022B7D"/>
    <w:rsid w:val="000248B9"/>
    <w:rsid w:val="00025B01"/>
    <w:rsid w:val="0003257F"/>
    <w:rsid w:val="00032585"/>
    <w:rsid w:val="00032829"/>
    <w:rsid w:val="00032A61"/>
    <w:rsid w:val="000370E5"/>
    <w:rsid w:val="00037ABF"/>
    <w:rsid w:val="00040561"/>
    <w:rsid w:val="00044537"/>
    <w:rsid w:val="000500CE"/>
    <w:rsid w:val="00052CD9"/>
    <w:rsid w:val="000532BA"/>
    <w:rsid w:val="00053F68"/>
    <w:rsid w:val="00055935"/>
    <w:rsid w:val="0005646B"/>
    <w:rsid w:val="00060DDC"/>
    <w:rsid w:val="00070937"/>
    <w:rsid w:val="00071F2F"/>
    <w:rsid w:val="0007375E"/>
    <w:rsid w:val="000778F5"/>
    <w:rsid w:val="00080BD9"/>
    <w:rsid w:val="00083C7B"/>
    <w:rsid w:val="000862B3"/>
    <w:rsid w:val="00086F43"/>
    <w:rsid w:val="0008754D"/>
    <w:rsid w:val="00090231"/>
    <w:rsid w:val="00091AC6"/>
    <w:rsid w:val="0009513A"/>
    <w:rsid w:val="00097452"/>
    <w:rsid w:val="000A0793"/>
    <w:rsid w:val="000A32CC"/>
    <w:rsid w:val="000A3AFC"/>
    <w:rsid w:val="000A4AEB"/>
    <w:rsid w:val="000A7840"/>
    <w:rsid w:val="000B251C"/>
    <w:rsid w:val="000B2C81"/>
    <w:rsid w:val="000B32FB"/>
    <w:rsid w:val="000B550F"/>
    <w:rsid w:val="000B577C"/>
    <w:rsid w:val="000B6AB4"/>
    <w:rsid w:val="000B7559"/>
    <w:rsid w:val="000B79C2"/>
    <w:rsid w:val="000C06EB"/>
    <w:rsid w:val="000C1B83"/>
    <w:rsid w:val="000C4012"/>
    <w:rsid w:val="000C5ED8"/>
    <w:rsid w:val="000C7008"/>
    <w:rsid w:val="000D02AF"/>
    <w:rsid w:val="000D14C4"/>
    <w:rsid w:val="000D2157"/>
    <w:rsid w:val="000D51A7"/>
    <w:rsid w:val="000D5B6F"/>
    <w:rsid w:val="000D5D2B"/>
    <w:rsid w:val="000D66B2"/>
    <w:rsid w:val="000E03CC"/>
    <w:rsid w:val="000E0D15"/>
    <w:rsid w:val="000E11F7"/>
    <w:rsid w:val="000E1255"/>
    <w:rsid w:val="000E1967"/>
    <w:rsid w:val="000E1B75"/>
    <w:rsid w:val="000E1F8F"/>
    <w:rsid w:val="000E5E6A"/>
    <w:rsid w:val="000E7680"/>
    <w:rsid w:val="000F00A4"/>
    <w:rsid w:val="000F194B"/>
    <w:rsid w:val="000F38A7"/>
    <w:rsid w:val="000F4205"/>
    <w:rsid w:val="000F7094"/>
    <w:rsid w:val="00100057"/>
    <w:rsid w:val="001007F2"/>
    <w:rsid w:val="00101281"/>
    <w:rsid w:val="0010495E"/>
    <w:rsid w:val="00105F31"/>
    <w:rsid w:val="0011327E"/>
    <w:rsid w:val="00115FF6"/>
    <w:rsid w:val="00116288"/>
    <w:rsid w:val="001231B6"/>
    <w:rsid w:val="00124BF8"/>
    <w:rsid w:val="00132745"/>
    <w:rsid w:val="00134EA1"/>
    <w:rsid w:val="001404D3"/>
    <w:rsid w:val="00150009"/>
    <w:rsid w:val="0015025D"/>
    <w:rsid w:val="00151A12"/>
    <w:rsid w:val="00155A18"/>
    <w:rsid w:val="00156DA9"/>
    <w:rsid w:val="0016360F"/>
    <w:rsid w:val="00164540"/>
    <w:rsid w:val="001650C8"/>
    <w:rsid w:val="00166BD6"/>
    <w:rsid w:val="00167332"/>
    <w:rsid w:val="0017176D"/>
    <w:rsid w:val="00172331"/>
    <w:rsid w:val="0017338C"/>
    <w:rsid w:val="00173D57"/>
    <w:rsid w:val="00173F54"/>
    <w:rsid w:val="00174A84"/>
    <w:rsid w:val="00177FCB"/>
    <w:rsid w:val="001800E5"/>
    <w:rsid w:val="001807BB"/>
    <w:rsid w:val="00180998"/>
    <w:rsid w:val="00180E42"/>
    <w:rsid w:val="00181B8A"/>
    <w:rsid w:val="00184281"/>
    <w:rsid w:val="001873CB"/>
    <w:rsid w:val="00190C9B"/>
    <w:rsid w:val="00190CBF"/>
    <w:rsid w:val="001911E6"/>
    <w:rsid w:val="00195F4B"/>
    <w:rsid w:val="0019687F"/>
    <w:rsid w:val="00197A08"/>
    <w:rsid w:val="001A0624"/>
    <w:rsid w:val="001A3A63"/>
    <w:rsid w:val="001A3BF1"/>
    <w:rsid w:val="001A4FAB"/>
    <w:rsid w:val="001A6DAB"/>
    <w:rsid w:val="001B17B7"/>
    <w:rsid w:val="001B4370"/>
    <w:rsid w:val="001B76CE"/>
    <w:rsid w:val="001C6A5B"/>
    <w:rsid w:val="001C75B7"/>
    <w:rsid w:val="001D3090"/>
    <w:rsid w:val="001D3F62"/>
    <w:rsid w:val="001E1621"/>
    <w:rsid w:val="001E19CE"/>
    <w:rsid w:val="001E4E9F"/>
    <w:rsid w:val="001F1151"/>
    <w:rsid w:val="001F36BD"/>
    <w:rsid w:val="001F48F5"/>
    <w:rsid w:val="001F49B1"/>
    <w:rsid w:val="001F5C45"/>
    <w:rsid w:val="001F7DDF"/>
    <w:rsid w:val="002042E6"/>
    <w:rsid w:val="002043BF"/>
    <w:rsid w:val="002044A9"/>
    <w:rsid w:val="002050ED"/>
    <w:rsid w:val="00206706"/>
    <w:rsid w:val="00207DC4"/>
    <w:rsid w:val="00210797"/>
    <w:rsid w:val="0021127C"/>
    <w:rsid w:val="00211CB1"/>
    <w:rsid w:val="00212398"/>
    <w:rsid w:val="00214510"/>
    <w:rsid w:val="00217333"/>
    <w:rsid w:val="00222F30"/>
    <w:rsid w:val="002250B1"/>
    <w:rsid w:val="00227E3C"/>
    <w:rsid w:val="00227EEF"/>
    <w:rsid w:val="00232585"/>
    <w:rsid w:val="00232EB8"/>
    <w:rsid w:val="00233360"/>
    <w:rsid w:val="002362F6"/>
    <w:rsid w:val="00236552"/>
    <w:rsid w:val="0024151B"/>
    <w:rsid w:val="002430D8"/>
    <w:rsid w:val="00244E70"/>
    <w:rsid w:val="00246C6D"/>
    <w:rsid w:val="00253526"/>
    <w:rsid w:val="00254E58"/>
    <w:rsid w:val="002634BA"/>
    <w:rsid w:val="00264C6A"/>
    <w:rsid w:val="00267049"/>
    <w:rsid w:val="002676F6"/>
    <w:rsid w:val="002677A3"/>
    <w:rsid w:val="00271F4C"/>
    <w:rsid w:val="00272314"/>
    <w:rsid w:val="0027553D"/>
    <w:rsid w:val="00275FF8"/>
    <w:rsid w:val="0027713F"/>
    <w:rsid w:val="00281BB1"/>
    <w:rsid w:val="00286893"/>
    <w:rsid w:val="00290B1F"/>
    <w:rsid w:val="002950EE"/>
    <w:rsid w:val="00296CD7"/>
    <w:rsid w:val="002A360F"/>
    <w:rsid w:val="002A41E3"/>
    <w:rsid w:val="002A5B06"/>
    <w:rsid w:val="002A76ED"/>
    <w:rsid w:val="002B08D6"/>
    <w:rsid w:val="002B154B"/>
    <w:rsid w:val="002B1D23"/>
    <w:rsid w:val="002B2CE7"/>
    <w:rsid w:val="002C0EB2"/>
    <w:rsid w:val="002C2B75"/>
    <w:rsid w:val="002C42E9"/>
    <w:rsid w:val="002C5DE7"/>
    <w:rsid w:val="002C6330"/>
    <w:rsid w:val="002D13AF"/>
    <w:rsid w:val="002D1CE8"/>
    <w:rsid w:val="002D6FB2"/>
    <w:rsid w:val="002E0C3C"/>
    <w:rsid w:val="002E163F"/>
    <w:rsid w:val="002E4B28"/>
    <w:rsid w:val="002E5E78"/>
    <w:rsid w:val="002E72CB"/>
    <w:rsid w:val="002F07CC"/>
    <w:rsid w:val="002F35B1"/>
    <w:rsid w:val="002F383B"/>
    <w:rsid w:val="002F5E22"/>
    <w:rsid w:val="002F6FC1"/>
    <w:rsid w:val="0030096D"/>
    <w:rsid w:val="00300B2A"/>
    <w:rsid w:val="00301517"/>
    <w:rsid w:val="00302300"/>
    <w:rsid w:val="00306AE8"/>
    <w:rsid w:val="003103D6"/>
    <w:rsid w:val="0031651E"/>
    <w:rsid w:val="00317407"/>
    <w:rsid w:val="00317618"/>
    <w:rsid w:val="00320B86"/>
    <w:rsid w:val="00325512"/>
    <w:rsid w:val="0032578F"/>
    <w:rsid w:val="003312ED"/>
    <w:rsid w:val="00332457"/>
    <w:rsid w:val="003364BA"/>
    <w:rsid w:val="00337FEA"/>
    <w:rsid w:val="00344588"/>
    <w:rsid w:val="0034613C"/>
    <w:rsid w:val="00347610"/>
    <w:rsid w:val="00353872"/>
    <w:rsid w:val="00354532"/>
    <w:rsid w:val="003627A6"/>
    <w:rsid w:val="003636A6"/>
    <w:rsid w:val="003650A2"/>
    <w:rsid w:val="00380052"/>
    <w:rsid w:val="00382145"/>
    <w:rsid w:val="003832BB"/>
    <w:rsid w:val="003842AA"/>
    <w:rsid w:val="003843D5"/>
    <w:rsid w:val="00391313"/>
    <w:rsid w:val="00391B1D"/>
    <w:rsid w:val="003942BF"/>
    <w:rsid w:val="0039471F"/>
    <w:rsid w:val="00394726"/>
    <w:rsid w:val="00396049"/>
    <w:rsid w:val="003A197E"/>
    <w:rsid w:val="003A4294"/>
    <w:rsid w:val="003A4455"/>
    <w:rsid w:val="003A69EB"/>
    <w:rsid w:val="003B0C26"/>
    <w:rsid w:val="003B186D"/>
    <w:rsid w:val="003B244A"/>
    <w:rsid w:val="003B3278"/>
    <w:rsid w:val="003B584B"/>
    <w:rsid w:val="003C4F3B"/>
    <w:rsid w:val="003C534F"/>
    <w:rsid w:val="003C71D4"/>
    <w:rsid w:val="003C7F9B"/>
    <w:rsid w:val="003D3AE2"/>
    <w:rsid w:val="003E19A7"/>
    <w:rsid w:val="003E225B"/>
    <w:rsid w:val="003E5032"/>
    <w:rsid w:val="003E7916"/>
    <w:rsid w:val="003F064C"/>
    <w:rsid w:val="003F104C"/>
    <w:rsid w:val="003F2FFB"/>
    <w:rsid w:val="003F356E"/>
    <w:rsid w:val="003F3B4E"/>
    <w:rsid w:val="003F3BE3"/>
    <w:rsid w:val="003F44F5"/>
    <w:rsid w:val="003F485D"/>
    <w:rsid w:val="003F5384"/>
    <w:rsid w:val="003F625A"/>
    <w:rsid w:val="003F630D"/>
    <w:rsid w:val="003F7AA8"/>
    <w:rsid w:val="0040149F"/>
    <w:rsid w:val="004073BC"/>
    <w:rsid w:val="00411437"/>
    <w:rsid w:val="004133B7"/>
    <w:rsid w:val="004143BF"/>
    <w:rsid w:val="00414E03"/>
    <w:rsid w:val="00416E9F"/>
    <w:rsid w:val="00422F27"/>
    <w:rsid w:val="004254DC"/>
    <w:rsid w:val="00431189"/>
    <w:rsid w:val="00433BAE"/>
    <w:rsid w:val="004374C7"/>
    <w:rsid w:val="00442656"/>
    <w:rsid w:val="004439BC"/>
    <w:rsid w:val="004444AC"/>
    <w:rsid w:val="00444AA1"/>
    <w:rsid w:val="004473F5"/>
    <w:rsid w:val="00454075"/>
    <w:rsid w:val="00454B66"/>
    <w:rsid w:val="00455CF0"/>
    <w:rsid w:val="00462D8E"/>
    <w:rsid w:val="0046433A"/>
    <w:rsid w:val="00465823"/>
    <w:rsid w:val="00466145"/>
    <w:rsid w:val="00476BF6"/>
    <w:rsid w:val="00480DDA"/>
    <w:rsid w:val="00482FBA"/>
    <w:rsid w:val="00484043"/>
    <w:rsid w:val="00484E42"/>
    <w:rsid w:val="00484F35"/>
    <w:rsid w:val="00485627"/>
    <w:rsid w:val="0048598C"/>
    <w:rsid w:val="00485E34"/>
    <w:rsid w:val="00486119"/>
    <w:rsid w:val="0049070B"/>
    <w:rsid w:val="00492446"/>
    <w:rsid w:val="00492869"/>
    <w:rsid w:val="00493357"/>
    <w:rsid w:val="00496164"/>
    <w:rsid w:val="0049622A"/>
    <w:rsid w:val="004977FB"/>
    <w:rsid w:val="004A03E5"/>
    <w:rsid w:val="004A123F"/>
    <w:rsid w:val="004A2B39"/>
    <w:rsid w:val="004A3CE5"/>
    <w:rsid w:val="004A3E91"/>
    <w:rsid w:val="004A421E"/>
    <w:rsid w:val="004A4F63"/>
    <w:rsid w:val="004A5EB9"/>
    <w:rsid w:val="004A6E9D"/>
    <w:rsid w:val="004A75E2"/>
    <w:rsid w:val="004B79BB"/>
    <w:rsid w:val="004B7F35"/>
    <w:rsid w:val="004C2587"/>
    <w:rsid w:val="004C314C"/>
    <w:rsid w:val="004C6544"/>
    <w:rsid w:val="004D0CD6"/>
    <w:rsid w:val="004D12B3"/>
    <w:rsid w:val="004D3753"/>
    <w:rsid w:val="004D4571"/>
    <w:rsid w:val="004D57DF"/>
    <w:rsid w:val="004E1575"/>
    <w:rsid w:val="004E1EC7"/>
    <w:rsid w:val="004E5997"/>
    <w:rsid w:val="004E6815"/>
    <w:rsid w:val="004E68A9"/>
    <w:rsid w:val="004F0541"/>
    <w:rsid w:val="004F1741"/>
    <w:rsid w:val="004F4476"/>
    <w:rsid w:val="004F54CF"/>
    <w:rsid w:val="005001C5"/>
    <w:rsid w:val="0051277A"/>
    <w:rsid w:val="005133B9"/>
    <w:rsid w:val="00513DC5"/>
    <w:rsid w:val="00515D50"/>
    <w:rsid w:val="00516CCE"/>
    <w:rsid w:val="005225FE"/>
    <w:rsid w:val="00525330"/>
    <w:rsid w:val="005254E1"/>
    <w:rsid w:val="00531EA9"/>
    <w:rsid w:val="00534366"/>
    <w:rsid w:val="005343B2"/>
    <w:rsid w:val="00534783"/>
    <w:rsid w:val="005377BC"/>
    <w:rsid w:val="00542F79"/>
    <w:rsid w:val="00545D63"/>
    <w:rsid w:val="00551989"/>
    <w:rsid w:val="005530C5"/>
    <w:rsid w:val="005553CA"/>
    <w:rsid w:val="005565F7"/>
    <w:rsid w:val="00560A42"/>
    <w:rsid w:val="00561045"/>
    <w:rsid w:val="00562AA0"/>
    <w:rsid w:val="00563EF2"/>
    <w:rsid w:val="00570221"/>
    <w:rsid w:val="00572893"/>
    <w:rsid w:val="00575409"/>
    <w:rsid w:val="00576D21"/>
    <w:rsid w:val="0058123C"/>
    <w:rsid w:val="00587EA6"/>
    <w:rsid w:val="005921AF"/>
    <w:rsid w:val="005946BD"/>
    <w:rsid w:val="0059498C"/>
    <w:rsid w:val="00595156"/>
    <w:rsid w:val="00596AC2"/>
    <w:rsid w:val="005A1443"/>
    <w:rsid w:val="005A3539"/>
    <w:rsid w:val="005A355E"/>
    <w:rsid w:val="005B1257"/>
    <w:rsid w:val="005B1692"/>
    <w:rsid w:val="005B245F"/>
    <w:rsid w:val="005B5321"/>
    <w:rsid w:val="005B6233"/>
    <w:rsid w:val="005B682C"/>
    <w:rsid w:val="005B6D9A"/>
    <w:rsid w:val="005B7091"/>
    <w:rsid w:val="005B7C12"/>
    <w:rsid w:val="005C0BE3"/>
    <w:rsid w:val="005C0EF0"/>
    <w:rsid w:val="005C191C"/>
    <w:rsid w:val="005C5281"/>
    <w:rsid w:val="005D1213"/>
    <w:rsid w:val="005D2E3E"/>
    <w:rsid w:val="005D305B"/>
    <w:rsid w:val="005D3F42"/>
    <w:rsid w:val="005E15FA"/>
    <w:rsid w:val="005E205B"/>
    <w:rsid w:val="005E6B1E"/>
    <w:rsid w:val="005F047D"/>
    <w:rsid w:val="005F33F9"/>
    <w:rsid w:val="005F3720"/>
    <w:rsid w:val="005F4F63"/>
    <w:rsid w:val="00601ABF"/>
    <w:rsid w:val="00610B22"/>
    <w:rsid w:val="0061100C"/>
    <w:rsid w:val="006154C2"/>
    <w:rsid w:val="00615D03"/>
    <w:rsid w:val="00616D9E"/>
    <w:rsid w:val="0061755F"/>
    <w:rsid w:val="006228FC"/>
    <w:rsid w:val="006243FF"/>
    <w:rsid w:val="00627354"/>
    <w:rsid w:val="00627593"/>
    <w:rsid w:val="00627AA6"/>
    <w:rsid w:val="0063186E"/>
    <w:rsid w:val="006329D1"/>
    <w:rsid w:val="00635E6E"/>
    <w:rsid w:val="006369E9"/>
    <w:rsid w:val="00640CEC"/>
    <w:rsid w:val="00640DA5"/>
    <w:rsid w:val="00641202"/>
    <w:rsid w:val="00645E12"/>
    <w:rsid w:val="00646355"/>
    <w:rsid w:val="00647FC7"/>
    <w:rsid w:val="006504A8"/>
    <w:rsid w:val="00650536"/>
    <w:rsid w:val="00650BBA"/>
    <w:rsid w:val="0065112B"/>
    <w:rsid w:val="006514E8"/>
    <w:rsid w:val="00655182"/>
    <w:rsid w:val="006554A7"/>
    <w:rsid w:val="00655D5B"/>
    <w:rsid w:val="00660C79"/>
    <w:rsid w:val="0066283F"/>
    <w:rsid w:val="0066300D"/>
    <w:rsid w:val="0066343D"/>
    <w:rsid w:val="00663D57"/>
    <w:rsid w:val="006649E8"/>
    <w:rsid w:val="006661FD"/>
    <w:rsid w:val="00667E51"/>
    <w:rsid w:val="00670C3E"/>
    <w:rsid w:val="00670C78"/>
    <w:rsid w:val="006711E5"/>
    <w:rsid w:val="00672CD3"/>
    <w:rsid w:val="00674B65"/>
    <w:rsid w:val="00676380"/>
    <w:rsid w:val="006802F9"/>
    <w:rsid w:val="0068180C"/>
    <w:rsid w:val="00683189"/>
    <w:rsid w:val="0068389C"/>
    <w:rsid w:val="00684F5A"/>
    <w:rsid w:val="00686DF4"/>
    <w:rsid w:val="00687FDF"/>
    <w:rsid w:val="00690112"/>
    <w:rsid w:val="00690803"/>
    <w:rsid w:val="00693D3A"/>
    <w:rsid w:val="0069443C"/>
    <w:rsid w:val="00694FB3"/>
    <w:rsid w:val="006953B5"/>
    <w:rsid w:val="00697438"/>
    <w:rsid w:val="006A1351"/>
    <w:rsid w:val="006A1AB3"/>
    <w:rsid w:val="006A3C5D"/>
    <w:rsid w:val="006A55C0"/>
    <w:rsid w:val="006A6137"/>
    <w:rsid w:val="006B0251"/>
    <w:rsid w:val="006B1D15"/>
    <w:rsid w:val="006B322A"/>
    <w:rsid w:val="006B4DC5"/>
    <w:rsid w:val="006B5604"/>
    <w:rsid w:val="006B69BF"/>
    <w:rsid w:val="006B6F6C"/>
    <w:rsid w:val="006C4C57"/>
    <w:rsid w:val="006C61B3"/>
    <w:rsid w:val="006C673B"/>
    <w:rsid w:val="006D0CEE"/>
    <w:rsid w:val="006D16CE"/>
    <w:rsid w:val="006D31E3"/>
    <w:rsid w:val="006D5198"/>
    <w:rsid w:val="006E0DD6"/>
    <w:rsid w:val="006E11F6"/>
    <w:rsid w:val="006E3124"/>
    <w:rsid w:val="006E5244"/>
    <w:rsid w:val="006E56C2"/>
    <w:rsid w:val="006F266D"/>
    <w:rsid w:val="006F5477"/>
    <w:rsid w:val="006F6076"/>
    <w:rsid w:val="006F6E78"/>
    <w:rsid w:val="0070386F"/>
    <w:rsid w:val="00703F72"/>
    <w:rsid w:val="00704A86"/>
    <w:rsid w:val="00704C93"/>
    <w:rsid w:val="00715B11"/>
    <w:rsid w:val="0071751A"/>
    <w:rsid w:val="00720E54"/>
    <w:rsid w:val="007213B8"/>
    <w:rsid w:val="0072220A"/>
    <w:rsid w:val="00724ED6"/>
    <w:rsid w:val="00725053"/>
    <w:rsid w:val="00725B13"/>
    <w:rsid w:val="00725F62"/>
    <w:rsid w:val="00732E4C"/>
    <w:rsid w:val="00734042"/>
    <w:rsid w:val="00734DD4"/>
    <w:rsid w:val="00735104"/>
    <w:rsid w:val="007351F0"/>
    <w:rsid w:val="00737E1C"/>
    <w:rsid w:val="007404EA"/>
    <w:rsid w:val="00740C3C"/>
    <w:rsid w:val="00741EC1"/>
    <w:rsid w:val="00741EFD"/>
    <w:rsid w:val="00743266"/>
    <w:rsid w:val="00745B5C"/>
    <w:rsid w:val="00745BA8"/>
    <w:rsid w:val="00751749"/>
    <w:rsid w:val="007533B0"/>
    <w:rsid w:val="00754326"/>
    <w:rsid w:val="00757BCD"/>
    <w:rsid w:val="00764323"/>
    <w:rsid w:val="00764E98"/>
    <w:rsid w:val="007656FD"/>
    <w:rsid w:val="007726A5"/>
    <w:rsid w:val="00776453"/>
    <w:rsid w:val="007775B4"/>
    <w:rsid w:val="007777DA"/>
    <w:rsid w:val="00777DBC"/>
    <w:rsid w:val="007826E2"/>
    <w:rsid w:val="00785684"/>
    <w:rsid w:val="00787180"/>
    <w:rsid w:val="00790134"/>
    <w:rsid w:val="007907C6"/>
    <w:rsid w:val="0079141A"/>
    <w:rsid w:val="007931A1"/>
    <w:rsid w:val="0079381A"/>
    <w:rsid w:val="0079387C"/>
    <w:rsid w:val="00793ECC"/>
    <w:rsid w:val="0079440C"/>
    <w:rsid w:val="007A183E"/>
    <w:rsid w:val="007B0D2C"/>
    <w:rsid w:val="007B0EEE"/>
    <w:rsid w:val="007B215B"/>
    <w:rsid w:val="007B24AF"/>
    <w:rsid w:val="007B59B2"/>
    <w:rsid w:val="007B770A"/>
    <w:rsid w:val="007B7A6C"/>
    <w:rsid w:val="007C1448"/>
    <w:rsid w:val="007C1E79"/>
    <w:rsid w:val="007C3F12"/>
    <w:rsid w:val="007C4447"/>
    <w:rsid w:val="007C5566"/>
    <w:rsid w:val="007C6D26"/>
    <w:rsid w:val="007D1F0D"/>
    <w:rsid w:val="007D441B"/>
    <w:rsid w:val="007D4907"/>
    <w:rsid w:val="007E304F"/>
    <w:rsid w:val="007E3067"/>
    <w:rsid w:val="007E609A"/>
    <w:rsid w:val="007F6126"/>
    <w:rsid w:val="00800C06"/>
    <w:rsid w:val="00801105"/>
    <w:rsid w:val="008017DA"/>
    <w:rsid w:val="00802538"/>
    <w:rsid w:val="00803925"/>
    <w:rsid w:val="008068AC"/>
    <w:rsid w:val="00807870"/>
    <w:rsid w:val="0081030C"/>
    <w:rsid w:val="008108F4"/>
    <w:rsid w:val="00812805"/>
    <w:rsid w:val="008129F4"/>
    <w:rsid w:val="00822E04"/>
    <w:rsid w:val="00823E90"/>
    <w:rsid w:val="00824AA1"/>
    <w:rsid w:val="00824D8E"/>
    <w:rsid w:val="00826954"/>
    <w:rsid w:val="008301A3"/>
    <w:rsid w:val="00831267"/>
    <w:rsid w:val="00831CA7"/>
    <w:rsid w:val="00832B09"/>
    <w:rsid w:val="00833CE8"/>
    <w:rsid w:val="00833F39"/>
    <w:rsid w:val="00837474"/>
    <w:rsid w:val="00842C8C"/>
    <w:rsid w:val="00846062"/>
    <w:rsid w:val="00847058"/>
    <w:rsid w:val="00853B87"/>
    <w:rsid w:val="00860BA6"/>
    <w:rsid w:val="00860C22"/>
    <w:rsid w:val="00861B46"/>
    <w:rsid w:val="0086498F"/>
    <w:rsid w:val="00866653"/>
    <w:rsid w:val="00877598"/>
    <w:rsid w:val="0087787C"/>
    <w:rsid w:val="00877B19"/>
    <w:rsid w:val="0088328C"/>
    <w:rsid w:val="00883336"/>
    <w:rsid w:val="00883C1E"/>
    <w:rsid w:val="00887510"/>
    <w:rsid w:val="00891E3D"/>
    <w:rsid w:val="00894248"/>
    <w:rsid w:val="00897CA6"/>
    <w:rsid w:val="008A7614"/>
    <w:rsid w:val="008B0537"/>
    <w:rsid w:val="008B1DFA"/>
    <w:rsid w:val="008B41FA"/>
    <w:rsid w:val="008B546C"/>
    <w:rsid w:val="008B6897"/>
    <w:rsid w:val="008B7CE7"/>
    <w:rsid w:val="008B7E70"/>
    <w:rsid w:val="008C1A73"/>
    <w:rsid w:val="008C47D6"/>
    <w:rsid w:val="008C631F"/>
    <w:rsid w:val="008D113C"/>
    <w:rsid w:val="008D115F"/>
    <w:rsid w:val="008D376F"/>
    <w:rsid w:val="008D38C0"/>
    <w:rsid w:val="008D3ABE"/>
    <w:rsid w:val="008D4145"/>
    <w:rsid w:val="008D4D51"/>
    <w:rsid w:val="008E211E"/>
    <w:rsid w:val="008E2CE7"/>
    <w:rsid w:val="008E53A2"/>
    <w:rsid w:val="008E700B"/>
    <w:rsid w:val="008F24EE"/>
    <w:rsid w:val="008F563B"/>
    <w:rsid w:val="008F5B2F"/>
    <w:rsid w:val="008F7704"/>
    <w:rsid w:val="008F7CA5"/>
    <w:rsid w:val="009014B9"/>
    <w:rsid w:val="009015CB"/>
    <w:rsid w:val="00901D47"/>
    <w:rsid w:val="00905C68"/>
    <w:rsid w:val="00907198"/>
    <w:rsid w:val="009114B5"/>
    <w:rsid w:val="009119E7"/>
    <w:rsid w:val="00911B06"/>
    <w:rsid w:val="00917BB1"/>
    <w:rsid w:val="00920C29"/>
    <w:rsid w:val="00923B75"/>
    <w:rsid w:val="009264B4"/>
    <w:rsid w:val="009319C3"/>
    <w:rsid w:val="00933E58"/>
    <w:rsid w:val="0093434F"/>
    <w:rsid w:val="00934EFF"/>
    <w:rsid w:val="00935172"/>
    <w:rsid w:val="00935BB9"/>
    <w:rsid w:val="009411D2"/>
    <w:rsid w:val="0094194A"/>
    <w:rsid w:val="00941CAE"/>
    <w:rsid w:val="00941DD8"/>
    <w:rsid w:val="009428AE"/>
    <w:rsid w:val="00943904"/>
    <w:rsid w:val="0094686C"/>
    <w:rsid w:val="00952DB3"/>
    <w:rsid w:val="00953114"/>
    <w:rsid w:val="0095540B"/>
    <w:rsid w:val="0095544B"/>
    <w:rsid w:val="00956336"/>
    <w:rsid w:val="00961EB9"/>
    <w:rsid w:val="009622FE"/>
    <w:rsid w:val="009657D9"/>
    <w:rsid w:val="0096615F"/>
    <w:rsid w:val="00967C13"/>
    <w:rsid w:val="0097066E"/>
    <w:rsid w:val="00971B7B"/>
    <w:rsid w:val="009721FE"/>
    <w:rsid w:val="009733B9"/>
    <w:rsid w:val="009753AB"/>
    <w:rsid w:val="00975D21"/>
    <w:rsid w:val="00980531"/>
    <w:rsid w:val="009812C0"/>
    <w:rsid w:val="00983231"/>
    <w:rsid w:val="009900D6"/>
    <w:rsid w:val="009907E5"/>
    <w:rsid w:val="00990A28"/>
    <w:rsid w:val="00993451"/>
    <w:rsid w:val="009940C8"/>
    <w:rsid w:val="009943AF"/>
    <w:rsid w:val="0099486A"/>
    <w:rsid w:val="009A0EC4"/>
    <w:rsid w:val="009A12A4"/>
    <w:rsid w:val="009A240D"/>
    <w:rsid w:val="009A3ACC"/>
    <w:rsid w:val="009A7641"/>
    <w:rsid w:val="009B4A2A"/>
    <w:rsid w:val="009B7185"/>
    <w:rsid w:val="009C04A8"/>
    <w:rsid w:val="009C324A"/>
    <w:rsid w:val="009C4C44"/>
    <w:rsid w:val="009C5F29"/>
    <w:rsid w:val="009C65B1"/>
    <w:rsid w:val="009C7736"/>
    <w:rsid w:val="009D0684"/>
    <w:rsid w:val="009D1AAE"/>
    <w:rsid w:val="009D2F30"/>
    <w:rsid w:val="009D74AD"/>
    <w:rsid w:val="009F242A"/>
    <w:rsid w:val="009F246B"/>
    <w:rsid w:val="009F34E1"/>
    <w:rsid w:val="009F360C"/>
    <w:rsid w:val="00A01DD9"/>
    <w:rsid w:val="00A070F0"/>
    <w:rsid w:val="00A1256E"/>
    <w:rsid w:val="00A14136"/>
    <w:rsid w:val="00A151D2"/>
    <w:rsid w:val="00A160D3"/>
    <w:rsid w:val="00A1662A"/>
    <w:rsid w:val="00A16C9F"/>
    <w:rsid w:val="00A1759C"/>
    <w:rsid w:val="00A17AE3"/>
    <w:rsid w:val="00A17FEF"/>
    <w:rsid w:val="00A2242E"/>
    <w:rsid w:val="00A22A50"/>
    <w:rsid w:val="00A256AD"/>
    <w:rsid w:val="00A32C1B"/>
    <w:rsid w:val="00A32CDC"/>
    <w:rsid w:val="00A33770"/>
    <w:rsid w:val="00A3439D"/>
    <w:rsid w:val="00A35A61"/>
    <w:rsid w:val="00A378B2"/>
    <w:rsid w:val="00A4130E"/>
    <w:rsid w:val="00A42101"/>
    <w:rsid w:val="00A4309D"/>
    <w:rsid w:val="00A54E43"/>
    <w:rsid w:val="00A56DE0"/>
    <w:rsid w:val="00A60103"/>
    <w:rsid w:val="00A60B0B"/>
    <w:rsid w:val="00A635D4"/>
    <w:rsid w:val="00A64E14"/>
    <w:rsid w:val="00A724BE"/>
    <w:rsid w:val="00A73116"/>
    <w:rsid w:val="00A733FB"/>
    <w:rsid w:val="00A7506C"/>
    <w:rsid w:val="00A767D9"/>
    <w:rsid w:val="00A80EB1"/>
    <w:rsid w:val="00A81152"/>
    <w:rsid w:val="00A843D9"/>
    <w:rsid w:val="00A8465C"/>
    <w:rsid w:val="00A8603F"/>
    <w:rsid w:val="00A86306"/>
    <w:rsid w:val="00A86866"/>
    <w:rsid w:val="00A9024F"/>
    <w:rsid w:val="00A904F4"/>
    <w:rsid w:val="00A9280E"/>
    <w:rsid w:val="00A93183"/>
    <w:rsid w:val="00A9349C"/>
    <w:rsid w:val="00AA1E7C"/>
    <w:rsid w:val="00AA26AF"/>
    <w:rsid w:val="00AA76A0"/>
    <w:rsid w:val="00AA7876"/>
    <w:rsid w:val="00AB12F0"/>
    <w:rsid w:val="00AB562F"/>
    <w:rsid w:val="00AB6A41"/>
    <w:rsid w:val="00AB79B4"/>
    <w:rsid w:val="00AC0B4E"/>
    <w:rsid w:val="00AC38B8"/>
    <w:rsid w:val="00AC3F58"/>
    <w:rsid w:val="00AC7950"/>
    <w:rsid w:val="00AC7C7B"/>
    <w:rsid w:val="00AD0BE1"/>
    <w:rsid w:val="00AD3663"/>
    <w:rsid w:val="00AD6766"/>
    <w:rsid w:val="00AD768C"/>
    <w:rsid w:val="00AE02DF"/>
    <w:rsid w:val="00AE068C"/>
    <w:rsid w:val="00AE217B"/>
    <w:rsid w:val="00AE43E6"/>
    <w:rsid w:val="00AF177D"/>
    <w:rsid w:val="00AF4020"/>
    <w:rsid w:val="00AF54CD"/>
    <w:rsid w:val="00AF6AE4"/>
    <w:rsid w:val="00B00DDC"/>
    <w:rsid w:val="00B06800"/>
    <w:rsid w:val="00B07882"/>
    <w:rsid w:val="00B07BD4"/>
    <w:rsid w:val="00B111B8"/>
    <w:rsid w:val="00B1422F"/>
    <w:rsid w:val="00B145BA"/>
    <w:rsid w:val="00B15F76"/>
    <w:rsid w:val="00B1682E"/>
    <w:rsid w:val="00B21588"/>
    <w:rsid w:val="00B21DCC"/>
    <w:rsid w:val="00B25E69"/>
    <w:rsid w:val="00B268BE"/>
    <w:rsid w:val="00B27855"/>
    <w:rsid w:val="00B334FC"/>
    <w:rsid w:val="00B3415B"/>
    <w:rsid w:val="00B365F0"/>
    <w:rsid w:val="00B36F3A"/>
    <w:rsid w:val="00B379F3"/>
    <w:rsid w:val="00B4011D"/>
    <w:rsid w:val="00B421F0"/>
    <w:rsid w:val="00B45B6D"/>
    <w:rsid w:val="00B46E48"/>
    <w:rsid w:val="00B51181"/>
    <w:rsid w:val="00B5330F"/>
    <w:rsid w:val="00B54CF4"/>
    <w:rsid w:val="00B567C6"/>
    <w:rsid w:val="00B576D4"/>
    <w:rsid w:val="00B60451"/>
    <w:rsid w:val="00B62EDC"/>
    <w:rsid w:val="00B64D2A"/>
    <w:rsid w:val="00B66238"/>
    <w:rsid w:val="00B67C58"/>
    <w:rsid w:val="00B70B9B"/>
    <w:rsid w:val="00B72DD8"/>
    <w:rsid w:val="00B73414"/>
    <w:rsid w:val="00B73D3A"/>
    <w:rsid w:val="00B74AAC"/>
    <w:rsid w:val="00B7541F"/>
    <w:rsid w:val="00B81A9F"/>
    <w:rsid w:val="00B87B00"/>
    <w:rsid w:val="00B87C3A"/>
    <w:rsid w:val="00B93F54"/>
    <w:rsid w:val="00B97923"/>
    <w:rsid w:val="00BA1117"/>
    <w:rsid w:val="00BA1190"/>
    <w:rsid w:val="00BA1580"/>
    <w:rsid w:val="00BA4EB5"/>
    <w:rsid w:val="00BA5484"/>
    <w:rsid w:val="00BB163C"/>
    <w:rsid w:val="00BB7352"/>
    <w:rsid w:val="00BB7D53"/>
    <w:rsid w:val="00BB7E37"/>
    <w:rsid w:val="00BC0151"/>
    <w:rsid w:val="00BC353E"/>
    <w:rsid w:val="00BC3C0C"/>
    <w:rsid w:val="00BC63B9"/>
    <w:rsid w:val="00BD1047"/>
    <w:rsid w:val="00BD1357"/>
    <w:rsid w:val="00BD1825"/>
    <w:rsid w:val="00BD2783"/>
    <w:rsid w:val="00BD2CBD"/>
    <w:rsid w:val="00BD74DF"/>
    <w:rsid w:val="00BD7F91"/>
    <w:rsid w:val="00BE0206"/>
    <w:rsid w:val="00BE11A8"/>
    <w:rsid w:val="00BE1B20"/>
    <w:rsid w:val="00BE24C7"/>
    <w:rsid w:val="00BE2613"/>
    <w:rsid w:val="00BE374B"/>
    <w:rsid w:val="00BE3E63"/>
    <w:rsid w:val="00BE4AC2"/>
    <w:rsid w:val="00BE4BD3"/>
    <w:rsid w:val="00BF3F5D"/>
    <w:rsid w:val="00C00090"/>
    <w:rsid w:val="00C0436D"/>
    <w:rsid w:val="00C06029"/>
    <w:rsid w:val="00C07B29"/>
    <w:rsid w:val="00C12C09"/>
    <w:rsid w:val="00C2183B"/>
    <w:rsid w:val="00C3053C"/>
    <w:rsid w:val="00C331E4"/>
    <w:rsid w:val="00C34F02"/>
    <w:rsid w:val="00C3655C"/>
    <w:rsid w:val="00C42A36"/>
    <w:rsid w:val="00C47A0B"/>
    <w:rsid w:val="00C51F35"/>
    <w:rsid w:val="00C54893"/>
    <w:rsid w:val="00C569B9"/>
    <w:rsid w:val="00C600FA"/>
    <w:rsid w:val="00C61BA3"/>
    <w:rsid w:val="00C62518"/>
    <w:rsid w:val="00C63021"/>
    <w:rsid w:val="00C64375"/>
    <w:rsid w:val="00C65EB8"/>
    <w:rsid w:val="00C7345D"/>
    <w:rsid w:val="00C769B1"/>
    <w:rsid w:val="00C76F04"/>
    <w:rsid w:val="00C81255"/>
    <w:rsid w:val="00C830ED"/>
    <w:rsid w:val="00C8518D"/>
    <w:rsid w:val="00C91775"/>
    <w:rsid w:val="00C9231C"/>
    <w:rsid w:val="00C92E91"/>
    <w:rsid w:val="00C92ED6"/>
    <w:rsid w:val="00C94C2D"/>
    <w:rsid w:val="00C95518"/>
    <w:rsid w:val="00CA1444"/>
    <w:rsid w:val="00CA4F61"/>
    <w:rsid w:val="00CA51AF"/>
    <w:rsid w:val="00CA612D"/>
    <w:rsid w:val="00CB06A3"/>
    <w:rsid w:val="00CB2DB2"/>
    <w:rsid w:val="00CB46F0"/>
    <w:rsid w:val="00CB5213"/>
    <w:rsid w:val="00CB75A6"/>
    <w:rsid w:val="00CB7C33"/>
    <w:rsid w:val="00CC4705"/>
    <w:rsid w:val="00CC4FE6"/>
    <w:rsid w:val="00CD0552"/>
    <w:rsid w:val="00CD1601"/>
    <w:rsid w:val="00CD485B"/>
    <w:rsid w:val="00CD64FE"/>
    <w:rsid w:val="00CD6AC0"/>
    <w:rsid w:val="00CD7DAD"/>
    <w:rsid w:val="00CE19E2"/>
    <w:rsid w:val="00CE56C8"/>
    <w:rsid w:val="00CE7220"/>
    <w:rsid w:val="00CE7417"/>
    <w:rsid w:val="00CF0A9E"/>
    <w:rsid w:val="00CF2165"/>
    <w:rsid w:val="00CF450B"/>
    <w:rsid w:val="00CF6678"/>
    <w:rsid w:val="00CF7EFB"/>
    <w:rsid w:val="00D004D2"/>
    <w:rsid w:val="00D03355"/>
    <w:rsid w:val="00D03848"/>
    <w:rsid w:val="00D040B6"/>
    <w:rsid w:val="00D04165"/>
    <w:rsid w:val="00D0470A"/>
    <w:rsid w:val="00D105E2"/>
    <w:rsid w:val="00D122BC"/>
    <w:rsid w:val="00D125AD"/>
    <w:rsid w:val="00D1291E"/>
    <w:rsid w:val="00D150BF"/>
    <w:rsid w:val="00D226D8"/>
    <w:rsid w:val="00D23776"/>
    <w:rsid w:val="00D23AC3"/>
    <w:rsid w:val="00D2455C"/>
    <w:rsid w:val="00D268E4"/>
    <w:rsid w:val="00D30573"/>
    <w:rsid w:val="00D328F9"/>
    <w:rsid w:val="00D35448"/>
    <w:rsid w:val="00D40F3C"/>
    <w:rsid w:val="00D44E1C"/>
    <w:rsid w:val="00D45B8A"/>
    <w:rsid w:val="00D45CBF"/>
    <w:rsid w:val="00D47DE8"/>
    <w:rsid w:val="00D50425"/>
    <w:rsid w:val="00D50DE9"/>
    <w:rsid w:val="00D54385"/>
    <w:rsid w:val="00D54428"/>
    <w:rsid w:val="00D55A53"/>
    <w:rsid w:val="00D56FC9"/>
    <w:rsid w:val="00D60335"/>
    <w:rsid w:val="00D61D3A"/>
    <w:rsid w:val="00D64268"/>
    <w:rsid w:val="00D706E5"/>
    <w:rsid w:val="00D754EC"/>
    <w:rsid w:val="00D76236"/>
    <w:rsid w:val="00D77CE7"/>
    <w:rsid w:val="00D841D1"/>
    <w:rsid w:val="00D846DB"/>
    <w:rsid w:val="00D8514B"/>
    <w:rsid w:val="00D851E5"/>
    <w:rsid w:val="00D85672"/>
    <w:rsid w:val="00D873A1"/>
    <w:rsid w:val="00D93FD2"/>
    <w:rsid w:val="00D966FE"/>
    <w:rsid w:val="00DA274C"/>
    <w:rsid w:val="00DA2C2F"/>
    <w:rsid w:val="00DA33DE"/>
    <w:rsid w:val="00DA3587"/>
    <w:rsid w:val="00DA3DBF"/>
    <w:rsid w:val="00DA6037"/>
    <w:rsid w:val="00DA65B6"/>
    <w:rsid w:val="00DB1047"/>
    <w:rsid w:val="00DB207C"/>
    <w:rsid w:val="00DB210D"/>
    <w:rsid w:val="00DB684E"/>
    <w:rsid w:val="00DB7C01"/>
    <w:rsid w:val="00DC3464"/>
    <w:rsid w:val="00DC7953"/>
    <w:rsid w:val="00DD0291"/>
    <w:rsid w:val="00DD1369"/>
    <w:rsid w:val="00DD1406"/>
    <w:rsid w:val="00DD2EB5"/>
    <w:rsid w:val="00DD7CED"/>
    <w:rsid w:val="00DE25A5"/>
    <w:rsid w:val="00DE309C"/>
    <w:rsid w:val="00DE4BA7"/>
    <w:rsid w:val="00DE760E"/>
    <w:rsid w:val="00DF03A7"/>
    <w:rsid w:val="00DF0877"/>
    <w:rsid w:val="00DF25C1"/>
    <w:rsid w:val="00DF34CF"/>
    <w:rsid w:val="00E01D6F"/>
    <w:rsid w:val="00E023D4"/>
    <w:rsid w:val="00E02FD6"/>
    <w:rsid w:val="00E03CB1"/>
    <w:rsid w:val="00E03EB5"/>
    <w:rsid w:val="00E064CB"/>
    <w:rsid w:val="00E11A56"/>
    <w:rsid w:val="00E11EEB"/>
    <w:rsid w:val="00E141D1"/>
    <w:rsid w:val="00E15433"/>
    <w:rsid w:val="00E1594B"/>
    <w:rsid w:val="00E15B1C"/>
    <w:rsid w:val="00E16C78"/>
    <w:rsid w:val="00E2014F"/>
    <w:rsid w:val="00E22AE7"/>
    <w:rsid w:val="00E30C67"/>
    <w:rsid w:val="00E326A4"/>
    <w:rsid w:val="00E33659"/>
    <w:rsid w:val="00E42560"/>
    <w:rsid w:val="00E44FF1"/>
    <w:rsid w:val="00E45CBE"/>
    <w:rsid w:val="00E46C3C"/>
    <w:rsid w:val="00E47421"/>
    <w:rsid w:val="00E47AE4"/>
    <w:rsid w:val="00E52F89"/>
    <w:rsid w:val="00E55679"/>
    <w:rsid w:val="00E56B97"/>
    <w:rsid w:val="00E60534"/>
    <w:rsid w:val="00E606EB"/>
    <w:rsid w:val="00E6319E"/>
    <w:rsid w:val="00E64B2B"/>
    <w:rsid w:val="00E66524"/>
    <w:rsid w:val="00E67B74"/>
    <w:rsid w:val="00E67C75"/>
    <w:rsid w:val="00E75BC0"/>
    <w:rsid w:val="00E7778B"/>
    <w:rsid w:val="00E77E18"/>
    <w:rsid w:val="00E80713"/>
    <w:rsid w:val="00E81F7F"/>
    <w:rsid w:val="00E836FE"/>
    <w:rsid w:val="00E84CF5"/>
    <w:rsid w:val="00E85F06"/>
    <w:rsid w:val="00E8686D"/>
    <w:rsid w:val="00E94F31"/>
    <w:rsid w:val="00EA09AF"/>
    <w:rsid w:val="00EA1BCC"/>
    <w:rsid w:val="00EB1688"/>
    <w:rsid w:val="00EB3B3C"/>
    <w:rsid w:val="00EB4016"/>
    <w:rsid w:val="00EB6B8A"/>
    <w:rsid w:val="00EC1F6F"/>
    <w:rsid w:val="00EC20F4"/>
    <w:rsid w:val="00EC51E9"/>
    <w:rsid w:val="00EC6A4E"/>
    <w:rsid w:val="00EC6A73"/>
    <w:rsid w:val="00ED110E"/>
    <w:rsid w:val="00EE1BCD"/>
    <w:rsid w:val="00EE2CE2"/>
    <w:rsid w:val="00EE3CEA"/>
    <w:rsid w:val="00EE48F9"/>
    <w:rsid w:val="00EE617C"/>
    <w:rsid w:val="00EE69DF"/>
    <w:rsid w:val="00EE7DCC"/>
    <w:rsid w:val="00EF1FBA"/>
    <w:rsid w:val="00EF32EA"/>
    <w:rsid w:val="00EF353E"/>
    <w:rsid w:val="00EF35D8"/>
    <w:rsid w:val="00EF5701"/>
    <w:rsid w:val="00EF7139"/>
    <w:rsid w:val="00F0098F"/>
    <w:rsid w:val="00F06327"/>
    <w:rsid w:val="00F064E5"/>
    <w:rsid w:val="00F07048"/>
    <w:rsid w:val="00F103C4"/>
    <w:rsid w:val="00F10D74"/>
    <w:rsid w:val="00F16C2C"/>
    <w:rsid w:val="00F215D0"/>
    <w:rsid w:val="00F22C12"/>
    <w:rsid w:val="00F24529"/>
    <w:rsid w:val="00F26D4B"/>
    <w:rsid w:val="00F31935"/>
    <w:rsid w:val="00F32AEA"/>
    <w:rsid w:val="00F34367"/>
    <w:rsid w:val="00F34DF8"/>
    <w:rsid w:val="00F369A0"/>
    <w:rsid w:val="00F36BBC"/>
    <w:rsid w:val="00F42991"/>
    <w:rsid w:val="00F43C1E"/>
    <w:rsid w:val="00F47378"/>
    <w:rsid w:val="00F50211"/>
    <w:rsid w:val="00F51D95"/>
    <w:rsid w:val="00F53B74"/>
    <w:rsid w:val="00F54BB2"/>
    <w:rsid w:val="00F61B7A"/>
    <w:rsid w:val="00F62AEF"/>
    <w:rsid w:val="00F655FD"/>
    <w:rsid w:val="00F65B09"/>
    <w:rsid w:val="00F6765A"/>
    <w:rsid w:val="00F70C3E"/>
    <w:rsid w:val="00F72274"/>
    <w:rsid w:val="00F7427C"/>
    <w:rsid w:val="00F76285"/>
    <w:rsid w:val="00F7634B"/>
    <w:rsid w:val="00F805C5"/>
    <w:rsid w:val="00F83BDC"/>
    <w:rsid w:val="00F8435D"/>
    <w:rsid w:val="00F91216"/>
    <w:rsid w:val="00F971CD"/>
    <w:rsid w:val="00FA6611"/>
    <w:rsid w:val="00FA7323"/>
    <w:rsid w:val="00FA7923"/>
    <w:rsid w:val="00FB65C7"/>
    <w:rsid w:val="00FC38A6"/>
    <w:rsid w:val="00FC470B"/>
    <w:rsid w:val="00FC5CDF"/>
    <w:rsid w:val="00FD0AE6"/>
    <w:rsid w:val="00FD50A5"/>
    <w:rsid w:val="00FD6024"/>
    <w:rsid w:val="00FD6152"/>
    <w:rsid w:val="00FE0525"/>
    <w:rsid w:val="00FE1324"/>
    <w:rsid w:val="00FE56D3"/>
    <w:rsid w:val="00FE6BEC"/>
    <w:rsid w:val="00FF2801"/>
    <w:rsid w:val="00FF2DD2"/>
    <w:rsid w:val="00FF5D5A"/>
    <w:rsid w:val="00FF7D3B"/>
    <w:rsid w:val="1D66B4A6"/>
    <w:rsid w:val="208CC894"/>
    <w:rsid w:val="4991A051"/>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342B"/>
  <w15:chartTrackingRefBased/>
  <w15:docId w15:val="{65D576CA-92D7-42AF-A8A9-D514271D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CommentText">
    <w:name w:val="annotation text"/>
    <w:basedOn w:val="Normal"/>
    <w:link w:val="CommentTextChar"/>
    <w:unhideWhenUsed/>
    <w:rsid w:val="00BA1580"/>
    <w:pPr>
      <w:spacing w:line="240" w:lineRule="auto"/>
    </w:pPr>
    <w:rPr>
      <w:sz w:val="20"/>
      <w:szCs w:val="20"/>
    </w:rPr>
  </w:style>
  <w:style w:type="character" w:customStyle="1" w:styleId="CommentTextChar">
    <w:name w:val="Comment Text Char"/>
    <w:basedOn w:val="DefaultParagraphFont"/>
    <w:link w:val="CommentText"/>
    <w:rsid w:val="00BA1580"/>
    <w:rPr>
      <w:rFonts w:eastAsiaTheme="minorEastAsia"/>
      <w:sz w:val="20"/>
      <w:szCs w:val="20"/>
    </w:rPr>
  </w:style>
  <w:style w:type="character" w:styleId="CommentReference">
    <w:name w:val="annotation reference"/>
    <w:semiHidden/>
    <w:unhideWhenUsed/>
    <w:rsid w:val="00BA1580"/>
    <w:rPr>
      <w:sz w:val="16"/>
      <w:szCs w:val="16"/>
    </w:rPr>
  </w:style>
  <w:style w:type="paragraph" w:styleId="ListParagraph">
    <w:name w:val="List Paragraph"/>
    <w:basedOn w:val="Normal"/>
    <w:uiPriority w:val="34"/>
    <w:qFormat/>
    <w:rsid w:val="00BA1580"/>
    <w:pPr>
      <w:ind w:left="720"/>
      <w:contextualSpacing/>
    </w:pPr>
  </w:style>
  <w:style w:type="paragraph" w:styleId="BodyText">
    <w:name w:val="Body Text"/>
    <w:link w:val="BodyTextChar"/>
    <w:unhideWhenUsed/>
    <w:rsid w:val="00BA1580"/>
    <w:pPr>
      <w:tabs>
        <w:tab w:val="left" w:pos="3119"/>
        <w:tab w:val="left" w:pos="5954"/>
      </w:tabs>
      <w:overflowPunct w:val="0"/>
      <w:autoSpaceDE w:val="0"/>
      <w:autoSpaceDN w:val="0"/>
      <w:adjustRightInd w:val="0"/>
      <w:spacing w:before="180" w:after="60"/>
      <w:ind w:left="567"/>
    </w:pPr>
    <w:rPr>
      <w:rFonts w:ascii="Arial" w:eastAsia="Times New Roman" w:hAnsi="Arial" w:cs="Times New Roman"/>
      <w:szCs w:val="28"/>
    </w:rPr>
  </w:style>
  <w:style w:type="character" w:customStyle="1" w:styleId="BodyTextChar">
    <w:name w:val="Body Text Char"/>
    <w:basedOn w:val="DefaultParagraphFont"/>
    <w:link w:val="BodyText"/>
    <w:rsid w:val="00BA1580"/>
    <w:rPr>
      <w:rFonts w:ascii="Arial" w:eastAsia="Times New Roman" w:hAnsi="Arial" w:cs="Times New Roman"/>
      <w:szCs w:val="28"/>
    </w:rPr>
  </w:style>
  <w:style w:type="paragraph" w:styleId="CommentSubject">
    <w:name w:val="annotation subject"/>
    <w:basedOn w:val="CommentText"/>
    <w:next w:val="CommentText"/>
    <w:link w:val="CommentSubjectChar"/>
    <w:uiPriority w:val="99"/>
    <w:semiHidden/>
    <w:unhideWhenUsed/>
    <w:rsid w:val="00DA3DBF"/>
    <w:rPr>
      <w:b/>
      <w:bCs/>
    </w:rPr>
  </w:style>
  <w:style w:type="character" w:customStyle="1" w:styleId="CommentSubjectChar">
    <w:name w:val="Comment Subject Char"/>
    <w:basedOn w:val="CommentTextChar"/>
    <w:link w:val="CommentSubject"/>
    <w:uiPriority w:val="99"/>
    <w:semiHidden/>
    <w:rsid w:val="00DA3DBF"/>
    <w:rPr>
      <w:rFonts w:eastAsiaTheme="minorEastAsia"/>
      <w:b/>
      <w:bCs/>
      <w:sz w:val="20"/>
      <w:szCs w:val="20"/>
    </w:rPr>
  </w:style>
  <w:style w:type="character" w:styleId="FollowedHyperlink">
    <w:name w:val="FollowedHyperlink"/>
    <w:basedOn w:val="DefaultParagraphFont"/>
    <w:uiPriority w:val="99"/>
    <w:semiHidden/>
    <w:unhideWhenUsed/>
    <w:rsid w:val="00E03CB1"/>
    <w:rPr>
      <w:color w:val="016574" w:themeColor="followedHyperlink"/>
      <w:u w:val="single"/>
    </w:rPr>
  </w:style>
  <w:style w:type="paragraph" w:styleId="ListBullet">
    <w:name w:val="List Bullet"/>
    <w:basedOn w:val="BodyText"/>
    <w:link w:val="ListBulletChar"/>
    <w:rsid w:val="00F42991"/>
    <w:pPr>
      <w:numPr>
        <w:numId w:val="2"/>
      </w:numPr>
      <w:tabs>
        <w:tab w:val="left" w:pos="1049"/>
        <w:tab w:val="left" w:pos="1134"/>
      </w:tabs>
      <w:spacing w:after="120"/>
      <w:textAlignment w:val="baseline"/>
    </w:pPr>
  </w:style>
  <w:style w:type="character" w:customStyle="1" w:styleId="ListBulletChar">
    <w:name w:val="List Bullet Char"/>
    <w:link w:val="ListBullet"/>
    <w:rsid w:val="00F42991"/>
    <w:rPr>
      <w:rFonts w:ascii="Arial" w:eastAsia="Times New Roman" w:hAnsi="Arial" w:cs="Times New Roman"/>
      <w:szCs w:val="28"/>
    </w:rPr>
  </w:style>
  <w:style w:type="table" w:styleId="TableGrid">
    <w:name w:val="Table Grid"/>
    <w:basedOn w:val="TableNormal"/>
    <w:uiPriority w:val="39"/>
    <w:rsid w:val="0055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Bullet"/>
    <w:basedOn w:val="Normal"/>
    <w:next w:val="Normal"/>
    <w:rsid w:val="00431189"/>
    <w:pPr>
      <w:keepNext/>
      <w:keepLines/>
      <w:numPr>
        <w:numId w:val="3"/>
      </w:numPr>
      <w:tabs>
        <w:tab w:val="left" w:pos="340"/>
      </w:tabs>
      <w:overflowPunct w:val="0"/>
      <w:autoSpaceDE w:val="0"/>
      <w:autoSpaceDN w:val="0"/>
      <w:adjustRightInd w:val="0"/>
      <w:spacing w:before="120" w:after="60" w:line="240" w:lineRule="auto"/>
      <w:ind w:right="57"/>
      <w:textAlignment w:val="baseline"/>
    </w:pPr>
    <w:rPr>
      <w:rFonts w:ascii="Arial" w:eastAsia="Times New Roman" w:hAnsi="Arial" w:cs="Times New Roman"/>
      <w:sz w:val="20"/>
    </w:rPr>
  </w:style>
  <w:style w:type="paragraph" w:customStyle="1" w:styleId="TableBody">
    <w:name w:val="TableBody"/>
    <w:basedOn w:val="Normal"/>
    <w:rsid w:val="002F6FC1"/>
    <w:pPr>
      <w:keepNext/>
      <w:keepLines/>
      <w:overflowPunct w:val="0"/>
      <w:autoSpaceDE w:val="0"/>
      <w:autoSpaceDN w:val="0"/>
      <w:adjustRightInd w:val="0"/>
      <w:spacing w:before="120" w:after="60" w:line="240" w:lineRule="auto"/>
      <w:ind w:left="113" w:right="57"/>
      <w:textAlignment w:val="baseline"/>
    </w:pPr>
    <w:rPr>
      <w:rFonts w:ascii="Arial" w:eastAsia="Times New Roman" w:hAnsi="Arial" w:cs="Times New Roman"/>
      <w:sz w:val="20"/>
    </w:rPr>
  </w:style>
  <w:style w:type="character" w:styleId="HTMLSample">
    <w:name w:val="HTML Sample"/>
    <w:semiHidden/>
    <w:rsid w:val="009A0EC4"/>
    <w:rPr>
      <w:rFonts w:ascii="Courier New" w:hAnsi="Courier New" w:cs="Courier New"/>
    </w:rPr>
  </w:style>
  <w:style w:type="paragraph" w:customStyle="1" w:styleId="Version">
    <w:name w:val="Version"/>
    <w:basedOn w:val="BodyText"/>
    <w:next w:val="BodyText"/>
    <w:rsid w:val="000778F5"/>
    <w:pPr>
      <w:spacing w:before="6000" w:line="360" w:lineRule="auto"/>
      <w:ind w:left="284"/>
      <w:textAlignment w:val="baseline"/>
    </w:pPr>
    <w:rPr>
      <w:szCs w:val="24"/>
    </w:rPr>
  </w:style>
  <w:style w:type="paragraph" w:customStyle="1" w:styleId="Sub-heading">
    <w:name w:val="Sub-heading"/>
    <w:basedOn w:val="Heading3"/>
    <w:next w:val="BodyText"/>
    <w:rsid w:val="00115FF6"/>
    <w:pPr>
      <w:keepLines w:val="0"/>
      <w:shd w:val="clear" w:color="8DA3B2" w:fill="auto"/>
      <w:tabs>
        <w:tab w:val="left" w:pos="1021"/>
      </w:tabs>
      <w:spacing w:before="320" w:after="200"/>
    </w:pPr>
    <w:rPr>
      <w:rFonts w:ascii="Helvetica" w:eastAsia="Times New Roman" w:hAnsi="Helvetica" w:cs="Times New Roman"/>
      <w:kern w:val="28"/>
      <w:szCs w:val="32"/>
    </w:rPr>
  </w:style>
  <w:style w:type="character" w:styleId="Mention">
    <w:name w:val="Mention"/>
    <w:basedOn w:val="DefaultParagraphFont"/>
    <w:uiPriority w:val="99"/>
    <w:unhideWhenUsed/>
    <w:rsid w:val="00734042"/>
    <w:rPr>
      <w:color w:val="2B579A"/>
      <w:shd w:val="clear" w:color="auto" w:fill="E1DFDD"/>
    </w:rPr>
  </w:style>
  <w:style w:type="paragraph" w:styleId="TOCHeading">
    <w:name w:val="TOC Heading"/>
    <w:basedOn w:val="Heading1"/>
    <w:next w:val="Normal"/>
    <w:uiPriority w:val="39"/>
    <w:unhideWhenUsed/>
    <w:qFormat/>
    <w:rsid w:val="00B379F3"/>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379F3"/>
    <w:pPr>
      <w:spacing w:after="100"/>
    </w:pPr>
  </w:style>
  <w:style w:type="paragraph" w:styleId="TOC2">
    <w:name w:val="toc 2"/>
    <w:basedOn w:val="Normal"/>
    <w:next w:val="Normal"/>
    <w:autoRedefine/>
    <w:uiPriority w:val="39"/>
    <w:unhideWhenUsed/>
    <w:rsid w:val="00B379F3"/>
    <w:pPr>
      <w:spacing w:after="100"/>
      <w:ind w:left="240"/>
    </w:pPr>
  </w:style>
  <w:style w:type="paragraph" w:styleId="TOC3">
    <w:name w:val="toc 3"/>
    <w:basedOn w:val="Normal"/>
    <w:next w:val="Normal"/>
    <w:autoRedefine/>
    <w:uiPriority w:val="39"/>
    <w:unhideWhenUsed/>
    <w:rsid w:val="00B379F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1595">
      <w:bodyDiv w:val="1"/>
      <w:marLeft w:val="0"/>
      <w:marRight w:val="0"/>
      <w:marTop w:val="0"/>
      <w:marBottom w:val="0"/>
      <w:divBdr>
        <w:top w:val="none" w:sz="0" w:space="0" w:color="auto"/>
        <w:left w:val="none" w:sz="0" w:space="0" w:color="auto"/>
        <w:bottom w:val="none" w:sz="0" w:space="0" w:color="auto"/>
        <w:right w:val="none" w:sz="0" w:space="0" w:color="auto"/>
      </w:divBdr>
      <w:divsChild>
        <w:div w:id="390352795">
          <w:marLeft w:val="0"/>
          <w:marRight w:val="0"/>
          <w:marTop w:val="0"/>
          <w:marBottom w:val="0"/>
          <w:divBdr>
            <w:top w:val="none" w:sz="0" w:space="0" w:color="auto"/>
            <w:left w:val="none" w:sz="0" w:space="0" w:color="auto"/>
            <w:bottom w:val="none" w:sz="0" w:space="0" w:color="auto"/>
            <w:right w:val="none" w:sz="0" w:space="0" w:color="auto"/>
          </w:divBdr>
          <w:divsChild>
            <w:div w:id="81029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1516">
      <w:bodyDiv w:val="1"/>
      <w:marLeft w:val="0"/>
      <w:marRight w:val="0"/>
      <w:marTop w:val="0"/>
      <w:marBottom w:val="0"/>
      <w:divBdr>
        <w:top w:val="none" w:sz="0" w:space="0" w:color="auto"/>
        <w:left w:val="none" w:sz="0" w:space="0" w:color="auto"/>
        <w:bottom w:val="none" w:sz="0" w:space="0" w:color="auto"/>
        <w:right w:val="none" w:sz="0" w:space="0" w:color="auto"/>
      </w:divBdr>
    </w:div>
    <w:div w:id="186067982">
      <w:bodyDiv w:val="1"/>
      <w:marLeft w:val="0"/>
      <w:marRight w:val="0"/>
      <w:marTop w:val="0"/>
      <w:marBottom w:val="0"/>
      <w:divBdr>
        <w:top w:val="none" w:sz="0" w:space="0" w:color="auto"/>
        <w:left w:val="none" w:sz="0" w:space="0" w:color="auto"/>
        <w:bottom w:val="none" w:sz="0" w:space="0" w:color="auto"/>
        <w:right w:val="none" w:sz="0" w:space="0" w:color="auto"/>
      </w:divBdr>
    </w:div>
    <w:div w:id="189227980">
      <w:bodyDiv w:val="1"/>
      <w:marLeft w:val="0"/>
      <w:marRight w:val="0"/>
      <w:marTop w:val="0"/>
      <w:marBottom w:val="0"/>
      <w:divBdr>
        <w:top w:val="none" w:sz="0" w:space="0" w:color="auto"/>
        <w:left w:val="none" w:sz="0" w:space="0" w:color="auto"/>
        <w:bottom w:val="none" w:sz="0" w:space="0" w:color="auto"/>
        <w:right w:val="none" w:sz="0" w:space="0" w:color="auto"/>
      </w:divBdr>
    </w:div>
    <w:div w:id="208421155">
      <w:bodyDiv w:val="1"/>
      <w:marLeft w:val="0"/>
      <w:marRight w:val="0"/>
      <w:marTop w:val="0"/>
      <w:marBottom w:val="0"/>
      <w:divBdr>
        <w:top w:val="none" w:sz="0" w:space="0" w:color="auto"/>
        <w:left w:val="none" w:sz="0" w:space="0" w:color="auto"/>
        <w:bottom w:val="none" w:sz="0" w:space="0" w:color="auto"/>
        <w:right w:val="none" w:sz="0" w:space="0" w:color="auto"/>
      </w:divBdr>
    </w:div>
    <w:div w:id="230700162">
      <w:bodyDiv w:val="1"/>
      <w:marLeft w:val="0"/>
      <w:marRight w:val="0"/>
      <w:marTop w:val="0"/>
      <w:marBottom w:val="0"/>
      <w:divBdr>
        <w:top w:val="none" w:sz="0" w:space="0" w:color="auto"/>
        <w:left w:val="none" w:sz="0" w:space="0" w:color="auto"/>
        <w:bottom w:val="none" w:sz="0" w:space="0" w:color="auto"/>
        <w:right w:val="none" w:sz="0" w:space="0" w:color="auto"/>
      </w:divBdr>
      <w:divsChild>
        <w:div w:id="2051953920">
          <w:marLeft w:val="0"/>
          <w:marRight w:val="0"/>
          <w:marTop w:val="0"/>
          <w:marBottom w:val="0"/>
          <w:divBdr>
            <w:top w:val="none" w:sz="0" w:space="0" w:color="auto"/>
            <w:left w:val="none" w:sz="0" w:space="0" w:color="auto"/>
            <w:bottom w:val="none" w:sz="0" w:space="0" w:color="auto"/>
            <w:right w:val="none" w:sz="0" w:space="0" w:color="auto"/>
          </w:divBdr>
          <w:divsChild>
            <w:div w:id="878514550">
              <w:marLeft w:val="0"/>
              <w:marRight w:val="0"/>
              <w:marTop w:val="0"/>
              <w:marBottom w:val="0"/>
              <w:divBdr>
                <w:top w:val="none" w:sz="0" w:space="0" w:color="auto"/>
                <w:left w:val="none" w:sz="0" w:space="0" w:color="auto"/>
                <w:bottom w:val="none" w:sz="0" w:space="0" w:color="auto"/>
                <w:right w:val="none" w:sz="0" w:space="0" w:color="auto"/>
              </w:divBdr>
            </w:div>
            <w:div w:id="20221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01005">
      <w:bodyDiv w:val="1"/>
      <w:marLeft w:val="0"/>
      <w:marRight w:val="0"/>
      <w:marTop w:val="0"/>
      <w:marBottom w:val="0"/>
      <w:divBdr>
        <w:top w:val="none" w:sz="0" w:space="0" w:color="auto"/>
        <w:left w:val="none" w:sz="0" w:space="0" w:color="auto"/>
        <w:bottom w:val="none" w:sz="0" w:space="0" w:color="auto"/>
        <w:right w:val="none" w:sz="0" w:space="0" w:color="auto"/>
      </w:divBdr>
    </w:div>
    <w:div w:id="279655267">
      <w:bodyDiv w:val="1"/>
      <w:marLeft w:val="0"/>
      <w:marRight w:val="0"/>
      <w:marTop w:val="0"/>
      <w:marBottom w:val="0"/>
      <w:divBdr>
        <w:top w:val="none" w:sz="0" w:space="0" w:color="auto"/>
        <w:left w:val="none" w:sz="0" w:space="0" w:color="auto"/>
        <w:bottom w:val="none" w:sz="0" w:space="0" w:color="auto"/>
        <w:right w:val="none" w:sz="0" w:space="0" w:color="auto"/>
      </w:divBdr>
    </w:div>
    <w:div w:id="381368750">
      <w:bodyDiv w:val="1"/>
      <w:marLeft w:val="0"/>
      <w:marRight w:val="0"/>
      <w:marTop w:val="0"/>
      <w:marBottom w:val="0"/>
      <w:divBdr>
        <w:top w:val="none" w:sz="0" w:space="0" w:color="auto"/>
        <w:left w:val="none" w:sz="0" w:space="0" w:color="auto"/>
        <w:bottom w:val="none" w:sz="0" w:space="0" w:color="auto"/>
        <w:right w:val="none" w:sz="0" w:space="0" w:color="auto"/>
      </w:divBdr>
    </w:div>
    <w:div w:id="382145559">
      <w:bodyDiv w:val="1"/>
      <w:marLeft w:val="0"/>
      <w:marRight w:val="0"/>
      <w:marTop w:val="0"/>
      <w:marBottom w:val="0"/>
      <w:divBdr>
        <w:top w:val="none" w:sz="0" w:space="0" w:color="auto"/>
        <w:left w:val="none" w:sz="0" w:space="0" w:color="auto"/>
        <w:bottom w:val="none" w:sz="0" w:space="0" w:color="auto"/>
        <w:right w:val="none" w:sz="0" w:space="0" w:color="auto"/>
      </w:divBdr>
    </w:div>
    <w:div w:id="398943490">
      <w:bodyDiv w:val="1"/>
      <w:marLeft w:val="0"/>
      <w:marRight w:val="0"/>
      <w:marTop w:val="0"/>
      <w:marBottom w:val="0"/>
      <w:divBdr>
        <w:top w:val="none" w:sz="0" w:space="0" w:color="auto"/>
        <w:left w:val="none" w:sz="0" w:space="0" w:color="auto"/>
        <w:bottom w:val="none" w:sz="0" w:space="0" w:color="auto"/>
        <w:right w:val="none" w:sz="0" w:space="0" w:color="auto"/>
      </w:divBdr>
    </w:div>
    <w:div w:id="409666157">
      <w:bodyDiv w:val="1"/>
      <w:marLeft w:val="0"/>
      <w:marRight w:val="0"/>
      <w:marTop w:val="0"/>
      <w:marBottom w:val="0"/>
      <w:divBdr>
        <w:top w:val="none" w:sz="0" w:space="0" w:color="auto"/>
        <w:left w:val="none" w:sz="0" w:space="0" w:color="auto"/>
        <w:bottom w:val="none" w:sz="0" w:space="0" w:color="auto"/>
        <w:right w:val="none" w:sz="0" w:space="0" w:color="auto"/>
      </w:divBdr>
    </w:div>
    <w:div w:id="414016168">
      <w:bodyDiv w:val="1"/>
      <w:marLeft w:val="0"/>
      <w:marRight w:val="0"/>
      <w:marTop w:val="0"/>
      <w:marBottom w:val="0"/>
      <w:divBdr>
        <w:top w:val="none" w:sz="0" w:space="0" w:color="auto"/>
        <w:left w:val="none" w:sz="0" w:space="0" w:color="auto"/>
        <w:bottom w:val="none" w:sz="0" w:space="0" w:color="auto"/>
        <w:right w:val="none" w:sz="0" w:space="0" w:color="auto"/>
      </w:divBdr>
    </w:div>
    <w:div w:id="41544375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461971117">
      <w:bodyDiv w:val="1"/>
      <w:marLeft w:val="0"/>
      <w:marRight w:val="0"/>
      <w:marTop w:val="0"/>
      <w:marBottom w:val="0"/>
      <w:divBdr>
        <w:top w:val="none" w:sz="0" w:space="0" w:color="auto"/>
        <w:left w:val="none" w:sz="0" w:space="0" w:color="auto"/>
        <w:bottom w:val="none" w:sz="0" w:space="0" w:color="auto"/>
        <w:right w:val="none" w:sz="0" w:space="0" w:color="auto"/>
      </w:divBdr>
    </w:div>
    <w:div w:id="472061367">
      <w:bodyDiv w:val="1"/>
      <w:marLeft w:val="0"/>
      <w:marRight w:val="0"/>
      <w:marTop w:val="0"/>
      <w:marBottom w:val="0"/>
      <w:divBdr>
        <w:top w:val="none" w:sz="0" w:space="0" w:color="auto"/>
        <w:left w:val="none" w:sz="0" w:space="0" w:color="auto"/>
        <w:bottom w:val="none" w:sz="0" w:space="0" w:color="auto"/>
        <w:right w:val="none" w:sz="0" w:space="0" w:color="auto"/>
      </w:divBdr>
    </w:div>
    <w:div w:id="540092072">
      <w:bodyDiv w:val="1"/>
      <w:marLeft w:val="0"/>
      <w:marRight w:val="0"/>
      <w:marTop w:val="0"/>
      <w:marBottom w:val="0"/>
      <w:divBdr>
        <w:top w:val="none" w:sz="0" w:space="0" w:color="auto"/>
        <w:left w:val="none" w:sz="0" w:space="0" w:color="auto"/>
        <w:bottom w:val="none" w:sz="0" w:space="0" w:color="auto"/>
        <w:right w:val="none" w:sz="0" w:space="0" w:color="auto"/>
      </w:divBdr>
    </w:div>
    <w:div w:id="541209098">
      <w:bodyDiv w:val="1"/>
      <w:marLeft w:val="0"/>
      <w:marRight w:val="0"/>
      <w:marTop w:val="0"/>
      <w:marBottom w:val="0"/>
      <w:divBdr>
        <w:top w:val="none" w:sz="0" w:space="0" w:color="auto"/>
        <w:left w:val="none" w:sz="0" w:space="0" w:color="auto"/>
        <w:bottom w:val="none" w:sz="0" w:space="0" w:color="auto"/>
        <w:right w:val="none" w:sz="0" w:space="0" w:color="auto"/>
      </w:divBdr>
    </w:div>
    <w:div w:id="554660700">
      <w:bodyDiv w:val="1"/>
      <w:marLeft w:val="0"/>
      <w:marRight w:val="0"/>
      <w:marTop w:val="0"/>
      <w:marBottom w:val="0"/>
      <w:divBdr>
        <w:top w:val="none" w:sz="0" w:space="0" w:color="auto"/>
        <w:left w:val="none" w:sz="0" w:space="0" w:color="auto"/>
        <w:bottom w:val="none" w:sz="0" w:space="0" w:color="auto"/>
        <w:right w:val="none" w:sz="0" w:space="0" w:color="auto"/>
      </w:divBdr>
    </w:div>
    <w:div w:id="576399696">
      <w:bodyDiv w:val="1"/>
      <w:marLeft w:val="0"/>
      <w:marRight w:val="0"/>
      <w:marTop w:val="0"/>
      <w:marBottom w:val="0"/>
      <w:divBdr>
        <w:top w:val="none" w:sz="0" w:space="0" w:color="auto"/>
        <w:left w:val="none" w:sz="0" w:space="0" w:color="auto"/>
        <w:bottom w:val="none" w:sz="0" w:space="0" w:color="auto"/>
        <w:right w:val="none" w:sz="0" w:space="0" w:color="auto"/>
      </w:divBdr>
    </w:div>
    <w:div w:id="688601925">
      <w:bodyDiv w:val="1"/>
      <w:marLeft w:val="0"/>
      <w:marRight w:val="0"/>
      <w:marTop w:val="0"/>
      <w:marBottom w:val="0"/>
      <w:divBdr>
        <w:top w:val="none" w:sz="0" w:space="0" w:color="auto"/>
        <w:left w:val="none" w:sz="0" w:space="0" w:color="auto"/>
        <w:bottom w:val="none" w:sz="0" w:space="0" w:color="auto"/>
        <w:right w:val="none" w:sz="0" w:space="0" w:color="auto"/>
      </w:divBdr>
    </w:div>
    <w:div w:id="708533594">
      <w:bodyDiv w:val="1"/>
      <w:marLeft w:val="0"/>
      <w:marRight w:val="0"/>
      <w:marTop w:val="0"/>
      <w:marBottom w:val="0"/>
      <w:divBdr>
        <w:top w:val="none" w:sz="0" w:space="0" w:color="auto"/>
        <w:left w:val="none" w:sz="0" w:space="0" w:color="auto"/>
        <w:bottom w:val="none" w:sz="0" w:space="0" w:color="auto"/>
        <w:right w:val="none" w:sz="0" w:space="0" w:color="auto"/>
      </w:divBdr>
    </w:div>
    <w:div w:id="745150877">
      <w:bodyDiv w:val="1"/>
      <w:marLeft w:val="0"/>
      <w:marRight w:val="0"/>
      <w:marTop w:val="0"/>
      <w:marBottom w:val="0"/>
      <w:divBdr>
        <w:top w:val="none" w:sz="0" w:space="0" w:color="auto"/>
        <w:left w:val="none" w:sz="0" w:space="0" w:color="auto"/>
        <w:bottom w:val="none" w:sz="0" w:space="0" w:color="auto"/>
        <w:right w:val="none" w:sz="0" w:space="0" w:color="auto"/>
      </w:divBdr>
    </w:div>
    <w:div w:id="766577372">
      <w:bodyDiv w:val="1"/>
      <w:marLeft w:val="0"/>
      <w:marRight w:val="0"/>
      <w:marTop w:val="0"/>
      <w:marBottom w:val="0"/>
      <w:divBdr>
        <w:top w:val="none" w:sz="0" w:space="0" w:color="auto"/>
        <w:left w:val="none" w:sz="0" w:space="0" w:color="auto"/>
        <w:bottom w:val="none" w:sz="0" w:space="0" w:color="auto"/>
        <w:right w:val="none" w:sz="0" w:space="0" w:color="auto"/>
      </w:divBdr>
    </w:div>
    <w:div w:id="862477526">
      <w:bodyDiv w:val="1"/>
      <w:marLeft w:val="0"/>
      <w:marRight w:val="0"/>
      <w:marTop w:val="0"/>
      <w:marBottom w:val="0"/>
      <w:divBdr>
        <w:top w:val="none" w:sz="0" w:space="0" w:color="auto"/>
        <w:left w:val="none" w:sz="0" w:space="0" w:color="auto"/>
        <w:bottom w:val="none" w:sz="0" w:space="0" w:color="auto"/>
        <w:right w:val="none" w:sz="0" w:space="0" w:color="auto"/>
      </w:divBdr>
    </w:div>
    <w:div w:id="908002742">
      <w:bodyDiv w:val="1"/>
      <w:marLeft w:val="0"/>
      <w:marRight w:val="0"/>
      <w:marTop w:val="0"/>
      <w:marBottom w:val="0"/>
      <w:divBdr>
        <w:top w:val="none" w:sz="0" w:space="0" w:color="auto"/>
        <w:left w:val="none" w:sz="0" w:space="0" w:color="auto"/>
        <w:bottom w:val="none" w:sz="0" w:space="0" w:color="auto"/>
        <w:right w:val="none" w:sz="0" w:space="0" w:color="auto"/>
      </w:divBdr>
    </w:div>
    <w:div w:id="911768934">
      <w:bodyDiv w:val="1"/>
      <w:marLeft w:val="0"/>
      <w:marRight w:val="0"/>
      <w:marTop w:val="0"/>
      <w:marBottom w:val="0"/>
      <w:divBdr>
        <w:top w:val="none" w:sz="0" w:space="0" w:color="auto"/>
        <w:left w:val="none" w:sz="0" w:space="0" w:color="auto"/>
        <w:bottom w:val="none" w:sz="0" w:space="0" w:color="auto"/>
        <w:right w:val="none" w:sz="0" w:space="0" w:color="auto"/>
      </w:divBdr>
    </w:div>
    <w:div w:id="921185404">
      <w:bodyDiv w:val="1"/>
      <w:marLeft w:val="0"/>
      <w:marRight w:val="0"/>
      <w:marTop w:val="0"/>
      <w:marBottom w:val="0"/>
      <w:divBdr>
        <w:top w:val="none" w:sz="0" w:space="0" w:color="auto"/>
        <w:left w:val="none" w:sz="0" w:space="0" w:color="auto"/>
        <w:bottom w:val="none" w:sz="0" w:space="0" w:color="auto"/>
        <w:right w:val="none" w:sz="0" w:space="0" w:color="auto"/>
      </w:divBdr>
    </w:div>
    <w:div w:id="964317019">
      <w:bodyDiv w:val="1"/>
      <w:marLeft w:val="0"/>
      <w:marRight w:val="0"/>
      <w:marTop w:val="0"/>
      <w:marBottom w:val="0"/>
      <w:divBdr>
        <w:top w:val="none" w:sz="0" w:space="0" w:color="auto"/>
        <w:left w:val="none" w:sz="0" w:space="0" w:color="auto"/>
        <w:bottom w:val="none" w:sz="0" w:space="0" w:color="auto"/>
        <w:right w:val="none" w:sz="0" w:space="0" w:color="auto"/>
      </w:divBdr>
    </w:div>
    <w:div w:id="1016274776">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7191286">
      <w:bodyDiv w:val="1"/>
      <w:marLeft w:val="0"/>
      <w:marRight w:val="0"/>
      <w:marTop w:val="0"/>
      <w:marBottom w:val="0"/>
      <w:divBdr>
        <w:top w:val="none" w:sz="0" w:space="0" w:color="auto"/>
        <w:left w:val="none" w:sz="0" w:space="0" w:color="auto"/>
        <w:bottom w:val="none" w:sz="0" w:space="0" w:color="auto"/>
        <w:right w:val="none" w:sz="0" w:space="0" w:color="auto"/>
      </w:divBdr>
      <w:divsChild>
        <w:div w:id="1152526494">
          <w:marLeft w:val="0"/>
          <w:marRight w:val="0"/>
          <w:marTop w:val="0"/>
          <w:marBottom w:val="0"/>
          <w:divBdr>
            <w:top w:val="none" w:sz="0" w:space="0" w:color="auto"/>
            <w:left w:val="none" w:sz="0" w:space="0" w:color="auto"/>
            <w:bottom w:val="none" w:sz="0" w:space="0" w:color="auto"/>
            <w:right w:val="none" w:sz="0" w:space="0" w:color="auto"/>
          </w:divBdr>
          <w:divsChild>
            <w:div w:id="425153334">
              <w:marLeft w:val="0"/>
              <w:marRight w:val="0"/>
              <w:marTop w:val="0"/>
              <w:marBottom w:val="0"/>
              <w:divBdr>
                <w:top w:val="none" w:sz="0" w:space="0" w:color="auto"/>
                <w:left w:val="none" w:sz="0" w:space="0" w:color="auto"/>
                <w:bottom w:val="none" w:sz="0" w:space="0" w:color="auto"/>
                <w:right w:val="none" w:sz="0" w:space="0" w:color="auto"/>
              </w:divBdr>
            </w:div>
            <w:div w:id="134277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426">
      <w:bodyDiv w:val="1"/>
      <w:marLeft w:val="0"/>
      <w:marRight w:val="0"/>
      <w:marTop w:val="0"/>
      <w:marBottom w:val="0"/>
      <w:divBdr>
        <w:top w:val="none" w:sz="0" w:space="0" w:color="auto"/>
        <w:left w:val="none" w:sz="0" w:space="0" w:color="auto"/>
        <w:bottom w:val="none" w:sz="0" w:space="0" w:color="auto"/>
        <w:right w:val="none" w:sz="0" w:space="0" w:color="auto"/>
      </w:divBdr>
      <w:divsChild>
        <w:div w:id="95179990">
          <w:marLeft w:val="0"/>
          <w:marRight w:val="0"/>
          <w:marTop w:val="0"/>
          <w:marBottom w:val="0"/>
          <w:divBdr>
            <w:top w:val="none" w:sz="0" w:space="0" w:color="auto"/>
            <w:left w:val="none" w:sz="0" w:space="0" w:color="auto"/>
            <w:bottom w:val="none" w:sz="0" w:space="0" w:color="auto"/>
            <w:right w:val="none" w:sz="0" w:space="0" w:color="auto"/>
          </w:divBdr>
          <w:divsChild>
            <w:div w:id="10147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06">
      <w:bodyDiv w:val="1"/>
      <w:marLeft w:val="0"/>
      <w:marRight w:val="0"/>
      <w:marTop w:val="0"/>
      <w:marBottom w:val="0"/>
      <w:divBdr>
        <w:top w:val="none" w:sz="0" w:space="0" w:color="auto"/>
        <w:left w:val="none" w:sz="0" w:space="0" w:color="auto"/>
        <w:bottom w:val="none" w:sz="0" w:space="0" w:color="auto"/>
        <w:right w:val="none" w:sz="0" w:space="0" w:color="auto"/>
      </w:divBdr>
    </w:div>
    <w:div w:id="1195578971">
      <w:bodyDiv w:val="1"/>
      <w:marLeft w:val="0"/>
      <w:marRight w:val="0"/>
      <w:marTop w:val="0"/>
      <w:marBottom w:val="0"/>
      <w:divBdr>
        <w:top w:val="none" w:sz="0" w:space="0" w:color="auto"/>
        <w:left w:val="none" w:sz="0" w:space="0" w:color="auto"/>
        <w:bottom w:val="none" w:sz="0" w:space="0" w:color="auto"/>
        <w:right w:val="none" w:sz="0" w:space="0" w:color="auto"/>
      </w:divBdr>
    </w:div>
    <w:div w:id="1243374263">
      <w:bodyDiv w:val="1"/>
      <w:marLeft w:val="0"/>
      <w:marRight w:val="0"/>
      <w:marTop w:val="0"/>
      <w:marBottom w:val="0"/>
      <w:divBdr>
        <w:top w:val="none" w:sz="0" w:space="0" w:color="auto"/>
        <w:left w:val="none" w:sz="0" w:space="0" w:color="auto"/>
        <w:bottom w:val="none" w:sz="0" w:space="0" w:color="auto"/>
        <w:right w:val="none" w:sz="0" w:space="0" w:color="auto"/>
      </w:divBdr>
    </w:div>
    <w:div w:id="1282151920">
      <w:bodyDiv w:val="1"/>
      <w:marLeft w:val="0"/>
      <w:marRight w:val="0"/>
      <w:marTop w:val="0"/>
      <w:marBottom w:val="0"/>
      <w:divBdr>
        <w:top w:val="none" w:sz="0" w:space="0" w:color="auto"/>
        <w:left w:val="none" w:sz="0" w:space="0" w:color="auto"/>
        <w:bottom w:val="none" w:sz="0" w:space="0" w:color="auto"/>
        <w:right w:val="none" w:sz="0" w:space="0" w:color="auto"/>
      </w:divBdr>
      <w:divsChild>
        <w:div w:id="1683320024">
          <w:marLeft w:val="0"/>
          <w:marRight w:val="0"/>
          <w:marTop w:val="0"/>
          <w:marBottom w:val="0"/>
          <w:divBdr>
            <w:top w:val="none" w:sz="0" w:space="0" w:color="auto"/>
            <w:left w:val="none" w:sz="0" w:space="0" w:color="auto"/>
            <w:bottom w:val="none" w:sz="0" w:space="0" w:color="auto"/>
            <w:right w:val="none" w:sz="0" w:space="0" w:color="auto"/>
          </w:divBdr>
          <w:divsChild>
            <w:div w:id="16017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90084">
      <w:bodyDiv w:val="1"/>
      <w:marLeft w:val="0"/>
      <w:marRight w:val="0"/>
      <w:marTop w:val="0"/>
      <w:marBottom w:val="0"/>
      <w:divBdr>
        <w:top w:val="none" w:sz="0" w:space="0" w:color="auto"/>
        <w:left w:val="none" w:sz="0" w:space="0" w:color="auto"/>
        <w:bottom w:val="none" w:sz="0" w:space="0" w:color="auto"/>
        <w:right w:val="none" w:sz="0" w:space="0" w:color="auto"/>
      </w:divBdr>
    </w:div>
    <w:div w:id="1347171162">
      <w:bodyDiv w:val="1"/>
      <w:marLeft w:val="0"/>
      <w:marRight w:val="0"/>
      <w:marTop w:val="0"/>
      <w:marBottom w:val="0"/>
      <w:divBdr>
        <w:top w:val="none" w:sz="0" w:space="0" w:color="auto"/>
        <w:left w:val="none" w:sz="0" w:space="0" w:color="auto"/>
        <w:bottom w:val="none" w:sz="0" w:space="0" w:color="auto"/>
        <w:right w:val="none" w:sz="0" w:space="0" w:color="auto"/>
      </w:divBdr>
    </w:div>
    <w:div w:id="1398430465">
      <w:bodyDiv w:val="1"/>
      <w:marLeft w:val="0"/>
      <w:marRight w:val="0"/>
      <w:marTop w:val="0"/>
      <w:marBottom w:val="0"/>
      <w:divBdr>
        <w:top w:val="none" w:sz="0" w:space="0" w:color="auto"/>
        <w:left w:val="none" w:sz="0" w:space="0" w:color="auto"/>
        <w:bottom w:val="none" w:sz="0" w:space="0" w:color="auto"/>
        <w:right w:val="none" w:sz="0" w:space="0" w:color="auto"/>
      </w:divBdr>
      <w:divsChild>
        <w:div w:id="1801800898">
          <w:marLeft w:val="0"/>
          <w:marRight w:val="0"/>
          <w:marTop w:val="0"/>
          <w:marBottom w:val="0"/>
          <w:divBdr>
            <w:top w:val="none" w:sz="0" w:space="0" w:color="auto"/>
            <w:left w:val="none" w:sz="0" w:space="0" w:color="auto"/>
            <w:bottom w:val="none" w:sz="0" w:space="0" w:color="auto"/>
            <w:right w:val="none" w:sz="0" w:space="0" w:color="auto"/>
          </w:divBdr>
          <w:divsChild>
            <w:div w:id="1222254990">
              <w:marLeft w:val="0"/>
              <w:marRight w:val="0"/>
              <w:marTop w:val="0"/>
              <w:marBottom w:val="0"/>
              <w:divBdr>
                <w:top w:val="none" w:sz="0" w:space="0" w:color="auto"/>
                <w:left w:val="none" w:sz="0" w:space="0" w:color="auto"/>
                <w:bottom w:val="none" w:sz="0" w:space="0" w:color="auto"/>
                <w:right w:val="none" w:sz="0" w:space="0" w:color="auto"/>
              </w:divBdr>
            </w:div>
            <w:div w:id="13780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36716">
      <w:bodyDiv w:val="1"/>
      <w:marLeft w:val="0"/>
      <w:marRight w:val="0"/>
      <w:marTop w:val="0"/>
      <w:marBottom w:val="0"/>
      <w:divBdr>
        <w:top w:val="none" w:sz="0" w:space="0" w:color="auto"/>
        <w:left w:val="none" w:sz="0" w:space="0" w:color="auto"/>
        <w:bottom w:val="none" w:sz="0" w:space="0" w:color="auto"/>
        <w:right w:val="none" w:sz="0" w:space="0" w:color="auto"/>
      </w:divBdr>
    </w:div>
    <w:div w:id="1452700598">
      <w:bodyDiv w:val="1"/>
      <w:marLeft w:val="0"/>
      <w:marRight w:val="0"/>
      <w:marTop w:val="0"/>
      <w:marBottom w:val="0"/>
      <w:divBdr>
        <w:top w:val="none" w:sz="0" w:space="0" w:color="auto"/>
        <w:left w:val="none" w:sz="0" w:space="0" w:color="auto"/>
        <w:bottom w:val="none" w:sz="0" w:space="0" w:color="auto"/>
        <w:right w:val="none" w:sz="0" w:space="0" w:color="auto"/>
      </w:divBdr>
    </w:div>
    <w:div w:id="1485657426">
      <w:bodyDiv w:val="1"/>
      <w:marLeft w:val="0"/>
      <w:marRight w:val="0"/>
      <w:marTop w:val="0"/>
      <w:marBottom w:val="0"/>
      <w:divBdr>
        <w:top w:val="none" w:sz="0" w:space="0" w:color="auto"/>
        <w:left w:val="none" w:sz="0" w:space="0" w:color="auto"/>
        <w:bottom w:val="none" w:sz="0" w:space="0" w:color="auto"/>
        <w:right w:val="none" w:sz="0" w:space="0" w:color="auto"/>
      </w:divBdr>
    </w:div>
    <w:div w:id="1526215497">
      <w:bodyDiv w:val="1"/>
      <w:marLeft w:val="0"/>
      <w:marRight w:val="0"/>
      <w:marTop w:val="0"/>
      <w:marBottom w:val="0"/>
      <w:divBdr>
        <w:top w:val="none" w:sz="0" w:space="0" w:color="auto"/>
        <w:left w:val="none" w:sz="0" w:space="0" w:color="auto"/>
        <w:bottom w:val="none" w:sz="0" w:space="0" w:color="auto"/>
        <w:right w:val="none" w:sz="0" w:space="0" w:color="auto"/>
      </w:divBdr>
    </w:div>
    <w:div w:id="1538077900">
      <w:bodyDiv w:val="1"/>
      <w:marLeft w:val="0"/>
      <w:marRight w:val="0"/>
      <w:marTop w:val="0"/>
      <w:marBottom w:val="0"/>
      <w:divBdr>
        <w:top w:val="none" w:sz="0" w:space="0" w:color="auto"/>
        <w:left w:val="none" w:sz="0" w:space="0" w:color="auto"/>
        <w:bottom w:val="none" w:sz="0" w:space="0" w:color="auto"/>
        <w:right w:val="none" w:sz="0" w:space="0" w:color="auto"/>
      </w:divBdr>
    </w:div>
    <w:div w:id="1562446317">
      <w:bodyDiv w:val="1"/>
      <w:marLeft w:val="0"/>
      <w:marRight w:val="0"/>
      <w:marTop w:val="0"/>
      <w:marBottom w:val="0"/>
      <w:divBdr>
        <w:top w:val="none" w:sz="0" w:space="0" w:color="auto"/>
        <w:left w:val="none" w:sz="0" w:space="0" w:color="auto"/>
        <w:bottom w:val="none" w:sz="0" w:space="0" w:color="auto"/>
        <w:right w:val="none" w:sz="0" w:space="0" w:color="auto"/>
      </w:divBdr>
      <w:divsChild>
        <w:div w:id="684749411">
          <w:marLeft w:val="0"/>
          <w:marRight w:val="0"/>
          <w:marTop w:val="0"/>
          <w:marBottom w:val="0"/>
          <w:divBdr>
            <w:top w:val="none" w:sz="0" w:space="0" w:color="auto"/>
            <w:left w:val="none" w:sz="0" w:space="0" w:color="auto"/>
            <w:bottom w:val="none" w:sz="0" w:space="0" w:color="auto"/>
            <w:right w:val="none" w:sz="0" w:space="0" w:color="auto"/>
          </w:divBdr>
          <w:divsChild>
            <w:div w:id="5763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5319">
      <w:bodyDiv w:val="1"/>
      <w:marLeft w:val="0"/>
      <w:marRight w:val="0"/>
      <w:marTop w:val="0"/>
      <w:marBottom w:val="0"/>
      <w:divBdr>
        <w:top w:val="none" w:sz="0" w:space="0" w:color="auto"/>
        <w:left w:val="none" w:sz="0" w:space="0" w:color="auto"/>
        <w:bottom w:val="none" w:sz="0" w:space="0" w:color="auto"/>
        <w:right w:val="none" w:sz="0" w:space="0" w:color="auto"/>
      </w:divBdr>
    </w:div>
    <w:div w:id="1615358014">
      <w:bodyDiv w:val="1"/>
      <w:marLeft w:val="0"/>
      <w:marRight w:val="0"/>
      <w:marTop w:val="0"/>
      <w:marBottom w:val="0"/>
      <w:divBdr>
        <w:top w:val="none" w:sz="0" w:space="0" w:color="auto"/>
        <w:left w:val="none" w:sz="0" w:space="0" w:color="auto"/>
        <w:bottom w:val="none" w:sz="0" w:space="0" w:color="auto"/>
        <w:right w:val="none" w:sz="0" w:space="0" w:color="auto"/>
      </w:divBdr>
      <w:divsChild>
        <w:div w:id="1163474483">
          <w:marLeft w:val="0"/>
          <w:marRight w:val="0"/>
          <w:marTop w:val="0"/>
          <w:marBottom w:val="0"/>
          <w:divBdr>
            <w:top w:val="none" w:sz="0" w:space="0" w:color="auto"/>
            <w:left w:val="none" w:sz="0" w:space="0" w:color="auto"/>
            <w:bottom w:val="none" w:sz="0" w:space="0" w:color="auto"/>
            <w:right w:val="none" w:sz="0" w:space="0" w:color="auto"/>
          </w:divBdr>
          <w:divsChild>
            <w:div w:id="2674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1618">
      <w:bodyDiv w:val="1"/>
      <w:marLeft w:val="0"/>
      <w:marRight w:val="0"/>
      <w:marTop w:val="0"/>
      <w:marBottom w:val="0"/>
      <w:divBdr>
        <w:top w:val="none" w:sz="0" w:space="0" w:color="auto"/>
        <w:left w:val="none" w:sz="0" w:space="0" w:color="auto"/>
        <w:bottom w:val="none" w:sz="0" w:space="0" w:color="auto"/>
        <w:right w:val="none" w:sz="0" w:space="0" w:color="auto"/>
      </w:divBdr>
    </w:div>
    <w:div w:id="1678843775">
      <w:bodyDiv w:val="1"/>
      <w:marLeft w:val="0"/>
      <w:marRight w:val="0"/>
      <w:marTop w:val="0"/>
      <w:marBottom w:val="0"/>
      <w:divBdr>
        <w:top w:val="none" w:sz="0" w:space="0" w:color="auto"/>
        <w:left w:val="none" w:sz="0" w:space="0" w:color="auto"/>
        <w:bottom w:val="none" w:sz="0" w:space="0" w:color="auto"/>
        <w:right w:val="none" w:sz="0" w:space="0" w:color="auto"/>
      </w:divBdr>
    </w:div>
    <w:div w:id="1679190806">
      <w:bodyDiv w:val="1"/>
      <w:marLeft w:val="0"/>
      <w:marRight w:val="0"/>
      <w:marTop w:val="0"/>
      <w:marBottom w:val="0"/>
      <w:divBdr>
        <w:top w:val="none" w:sz="0" w:space="0" w:color="auto"/>
        <w:left w:val="none" w:sz="0" w:space="0" w:color="auto"/>
        <w:bottom w:val="none" w:sz="0" w:space="0" w:color="auto"/>
        <w:right w:val="none" w:sz="0" w:space="0" w:color="auto"/>
      </w:divBdr>
    </w:div>
    <w:div w:id="1684555940">
      <w:bodyDiv w:val="1"/>
      <w:marLeft w:val="0"/>
      <w:marRight w:val="0"/>
      <w:marTop w:val="0"/>
      <w:marBottom w:val="0"/>
      <w:divBdr>
        <w:top w:val="none" w:sz="0" w:space="0" w:color="auto"/>
        <w:left w:val="none" w:sz="0" w:space="0" w:color="auto"/>
        <w:bottom w:val="none" w:sz="0" w:space="0" w:color="auto"/>
        <w:right w:val="none" w:sz="0" w:space="0" w:color="auto"/>
      </w:divBdr>
    </w:div>
    <w:div w:id="1711878143">
      <w:bodyDiv w:val="1"/>
      <w:marLeft w:val="0"/>
      <w:marRight w:val="0"/>
      <w:marTop w:val="0"/>
      <w:marBottom w:val="0"/>
      <w:divBdr>
        <w:top w:val="none" w:sz="0" w:space="0" w:color="auto"/>
        <w:left w:val="none" w:sz="0" w:space="0" w:color="auto"/>
        <w:bottom w:val="none" w:sz="0" w:space="0" w:color="auto"/>
        <w:right w:val="none" w:sz="0" w:space="0" w:color="auto"/>
      </w:divBdr>
      <w:divsChild>
        <w:div w:id="916088258">
          <w:marLeft w:val="0"/>
          <w:marRight w:val="0"/>
          <w:marTop w:val="0"/>
          <w:marBottom w:val="0"/>
          <w:divBdr>
            <w:top w:val="none" w:sz="0" w:space="0" w:color="auto"/>
            <w:left w:val="none" w:sz="0" w:space="0" w:color="auto"/>
            <w:bottom w:val="none" w:sz="0" w:space="0" w:color="auto"/>
            <w:right w:val="none" w:sz="0" w:space="0" w:color="auto"/>
          </w:divBdr>
          <w:divsChild>
            <w:div w:id="29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0895">
      <w:bodyDiv w:val="1"/>
      <w:marLeft w:val="0"/>
      <w:marRight w:val="0"/>
      <w:marTop w:val="0"/>
      <w:marBottom w:val="0"/>
      <w:divBdr>
        <w:top w:val="none" w:sz="0" w:space="0" w:color="auto"/>
        <w:left w:val="none" w:sz="0" w:space="0" w:color="auto"/>
        <w:bottom w:val="none" w:sz="0" w:space="0" w:color="auto"/>
        <w:right w:val="none" w:sz="0" w:space="0" w:color="auto"/>
      </w:divBdr>
    </w:div>
    <w:div w:id="1765106328">
      <w:bodyDiv w:val="1"/>
      <w:marLeft w:val="0"/>
      <w:marRight w:val="0"/>
      <w:marTop w:val="0"/>
      <w:marBottom w:val="0"/>
      <w:divBdr>
        <w:top w:val="none" w:sz="0" w:space="0" w:color="auto"/>
        <w:left w:val="none" w:sz="0" w:space="0" w:color="auto"/>
        <w:bottom w:val="none" w:sz="0" w:space="0" w:color="auto"/>
        <w:right w:val="none" w:sz="0" w:space="0" w:color="auto"/>
      </w:divBdr>
    </w:div>
    <w:div w:id="1784497988">
      <w:bodyDiv w:val="1"/>
      <w:marLeft w:val="0"/>
      <w:marRight w:val="0"/>
      <w:marTop w:val="0"/>
      <w:marBottom w:val="0"/>
      <w:divBdr>
        <w:top w:val="none" w:sz="0" w:space="0" w:color="auto"/>
        <w:left w:val="none" w:sz="0" w:space="0" w:color="auto"/>
        <w:bottom w:val="none" w:sz="0" w:space="0" w:color="auto"/>
        <w:right w:val="none" w:sz="0" w:space="0" w:color="auto"/>
      </w:divBdr>
    </w:div>
    <w:div w:id="1812595533">
      <w:bodyDiv w:val="1"/>
      <w:marLeft w:val="0"/>
      <w:marRight w:val="0"/>
      <w:marTop w:val="0"/>
      <w:marBottom w:val="0"/>
      <w:divBdr>
        <w:top w:val="none" w:sz="0" w:space="0" w:color="auto"/>
        <w:left w:val="none" w:sz="0" w:space="0" w:color="auto"/>
        <w:bottom w:val="none" w:sz="0" w:space="0" w:color="auto"/>
        <w:right w:val="none" w:sz="0" w:space="0" w:color="auto"/>
      </w:divBdr>
    </w:div>
    <w:div w:id="1842157243">
      <w:bodyDiv w:val="1"/>
      <w:marLeft w:val="0"/>
      <w:marRight w:val="0"/>
      <w:marTop w:val="0"/>
      <w:marBottom w:val="0"/>
      <w:divBdr>
        <w:top w:val="none" w:sz="0" w:space="0" w:color="auto"/>
        <w:left w:val="none" w:sz="0" w:space="0" w:color="auto"/>
        <w:bottom w:val="none" w:sz="0" w:space="0" w:color="auto"/>
        <w:right w:val="none" w:sz="0" w:space="0" w:color="auto"/>
      </w:divBdr>
    </w:div>
    <w:div w:id="1941639924">
      <w:bodyDiv w:val="1"/>
      <w:marLeft w:val="0"/>
      <w:marRight w:val="0"/>
      <w:marTop w:val="0"/>
      <w:marBottom w:val="0"/>
      <w:divBdr>
        <w:top w:val="none" w:sz="0" w:space="0" w:color="auto"/>
        <w:left w:val="none" w:sz="0" w:space="0" w:color="auto"/>
        <w:bottom w:val="none" w:sz="0" w:space="0" w:color="auto"/>
        <w:right w:val="none" w:sz="0" w:space="0" w:color="auto"/>
      </w:divBdr>
    </w:div>
    <w:div w:id="2029982136">
      <w:bodyDiv w:val="1"/>
      <w:marLeft w:val="0"/>
      <w:marRight w:val="0"/>
      <w:marTop w:val="0"/>
      <w:marBottom w:val="0"/>
      <w:divBdr>
        <w:top w:val="none" w:sz="0" w:space="0" w:color="auto"/>
        <w:left w:val="none" w:sz="0" w:space="0" w:color="auto"/>
        <w:bottom w:val="none" w:sz="0" w:space="0" w:color="auto"/>
        <w:right w:val="none" w:sz="0" w:space="0" w:color="auto"/>
      </w:divBdr>
    </w:div>
    <w:div w:id="2120491946">
      <w:bodyDiv w:val="1"/>
      <w:marLeft w:val="0"/>
      <w:marRight w:val="0"/>
      <w:marTop w:val="0"/>
      <w:marBottom w:val="0"/>
      <w:divBdr>
        <w:top w:val="none" w:sz="0" w:space="0" w:color="auto"/>
        <w:left w:val="none" w:sz="0" w:space="0" w:color="auto"/>
        <w:bottom w:val="none" w:sz="0" w:space="0" w:color="auto"/>
        <w:right w:val="none" w:sz="0" w:space="0" w:color="auto"/>
      </w:divBdr>
      <w:divsChild>
        <w:div w:id="343678000">
          <w:marLeft w:val="0"/>
          <w:marRight w:val="0"/>
          <w:marTop w:val="0"/>
          <w:marBottom w:val="0"/>
          <w:divBdr>
            <w:top w:val="none" w:sz="0" w:space="0" w:color="auto"/>
            <w:left w:val="none" w:sz="0" w:space="0" w:color="auto"/>
            <w:bottom w:val="none" w:sz="0" w:space="0" w:color="auto"/>
            <w:right w:val="none" w:sz="0" w:space="0" w:color="auto"/>
          </w:divBdr>
          <w:divsChild>
            <w:div w:id="602880860">
              <w:marLeft w:val="0"/>
              <w:marRight w:val="0"/>
              <w:marTop w:val="0"/>
              <w:marBottom w:val="0"/>
              <w:divBdr>
                <w:top w:val="none" w:sz="0" w:space="0" w:color="auto"/>
                <w:left w:val="none" w:sz="0" w:space="0" w:color="auto"/>
                <w:bottom w:val="none" w:sz="0" w:space="0" w:color="auto"/>
                <w:right w:val="none" w:sz="0" w:space="0" w:color="auto"/>
              </w:divBdr>
            </w:div>
            <w:div w:id="14353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fwr.org/UPM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wr.org/UPM3/"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1994/2842/contents/mad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83632159-A431-464D-97FA-23F0E503C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07AEB60E-9E87-4E21-8612-30C2A1D2F723}">
  <ds:schemaRefs>
    <ds:schemaRef ds:uri="http://purl.org/dc/dcmitype/"/>
    <ds:schemaRef ds:uri="http://schemas.microsoft.com/office/infopath/2007/PartnerControls"/>
    <ds:schemaRef ds:uri="http://schemas.microsoft.com/office/2006/documentManagement/types"/>
    <ds:schemaRef ds:uri="http://www.w3.org/XML/1998/namespace"/>
    <ds:schemaRef ds:uri="7dd4d6b0-2bd1-40f7-94aa-8d4785e79023"/>
    <ds:schemaRef ds:uri="http://purl.org/dc/elements/1.1/"/>
    <ds:schemaRef ds:uri="http://schemas.microsoft.com/office/2006/metadata/properties"/>
    <ds:schemaRef ds:uri="ce5b52f7-9556-48ad-bf4f-1238de82834a"/>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30</Pages>
  <Words>7283</Words>
  <Characters>41519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48705</CharactersWithSpaces>
  <SharedDoc>false</SharedDoc>
  <HLinks>
    <vt:vector size="300" baseType="variant">
      <vt:variant>
        <vt:i4>589883</vt:i4>
      </vt:variant>
      <vt:variant>
        <vt:i4>273</vt:i4>
      </vt:variant>
      <vt:variant>
        <vt:i4>0</vt:i4>
      </vt:variant>
      <vt:variant>
        <vt:i4>5</vt:i4>
      </vt:variant>
      <vt:variant>
        <vt:lpwstr/>
      </vt:variant>
      <vt:variant>
        <vt:lpwstr>_4.1._CSO_discharges</vt:lpwstr>
      </vt:variant>
      <vt:variant>
        <vt:i4>589883</vt:i4>
      </vt:variant>
      <vt:variant>
        <vt:i4>270</vt:i4>
      </vt:variant>
      <vt:variant>
        <vt:i4>0</vt:i4>
      </vt:variant>
      <vt:variant>
        <vt:i4>5</vt:i4>
      </vt:variant>
      <vt:variant>
        <vt:lpwstr/>
      </vt:variant>
      <vt:variant>
        <vt:lpwstr>_4.1._CSO_discharges</vt:lpwstr>
      </vt:variant>
      <vt:variant>
        <vt:i4>262149</vt:i4>
      </vt:variant>
      <vt:variant>
        <vt:i4>267</vt:i4>
      </vt:variant>
      <vt:variant>
        <vt:i4>0</vt:i4>
      </vt:variant>
      <vt:variant>
        <vt:i4>5</vt:i4>
      </vt:variant>
      <vt:variant>
        <vt:lpwstr>https://www.sepa.org.uk/media/150984/wat_sg_28.pdf</vt:lpwstr>
      </vt:variant>
      <vt:variant>
        <vt:lpwstr/>
      </vt:variant>
      <vt:variant>
        <vt:i4>4128787</vt:i4>
      </vt:variant>
      <vt:variant>
        <vt:i4>264</vt:i4>
      </vt:variant>
      <vt:variant>
        <vt:i4>0</vt:i4>
      </vt:variant>
      <vt:variant>
        <vt:i4>5</vt:i4>
      </vt:variant>
      <vt:variant>
        <vt:lpwstr/>
      </vt:variant>
      <vt:variant>
        <vt:lpwstr>_5._Designing_Storm</vt:lpwstr>
      </vt:variant>
      <vt:variant>
        <vt:i4>23</vt:i4>
      </vt:variant>
      <vt:variant>
        <vt:i4>261</vt:i4>
      </vt:variant>
      <vt:variant>
        <vt:i4>0</vt:i4>
      </vt:variant>
      <vt:variant>
        <vt:i4>5</vt:i4>
      </vt:variant>
      <vt:variant>
        <vt:lpwstr>http://www.fwr.org/UPM3/</vt:lpwstr>
      </vt:variant>
      <vt:variant>
        <vt:lpwstr/>
      </vt:variant>
      <vt:variant>
        <vt:i4>3276825</vt:i4>
      </vt:variant>
      <vt:variant>
        <vt:i4>258</vt:i4>
      </vt:variant>
      <vt:variant>
        <vt:i4>0</vt:i4>
      </vt:variant>
      <vt:variant>
        <vt:i4>5</vt:i4>
      </vt:variant>
      <vt:variant>
        <vt:lpwstr/>
      </vt:variant>
      <vt:variant>
        <vt:lpwstr>_6._Pumping_station</vt:lpwstr>
      </vt:variant>
      <vt:variant>
        <vt:i4>23</vt:i4>
      </vt:variant>
      <vt:variant>
        <vt:i4>255</vt:i4>
      </vt:variant>
      <vt:variant>
        <vt:i4>0</vt:i4>
      </vt:variant>
      <vt:variant>
        <vt:i4>5</vt:i4>
      </vt:variant>
      <vt:variant>
        <vt:lpwstr>http://www.fwr.org/UPM3/</vt:lpwstr>
      </vt:variant>
      <vt:variant>
        <vt:lpwstr/>
      </vt:variant>
      <vt:variant>
        <vt:i4>6684717</vt:i4>
      </vt:variant>
      <vt:variant>
        <vt:i4>252</vt:i4>
      </vt:variant>
      <vt:variant>
        <vt:i4>0</vt:i4>
      </vt:variant>
      <vt:variant>
        <vt:i4>5</vt:i4>
      </vt:variant>
      <vt:variant>
        <vt:lpwstr>http://www.legislation.gov.uk/uksi/1994/2842/contents/made</vt:lpwstr>
      </vt:variant>
      <vt:variant>
        <vt:lpwstr/>
      </vt:variant>
      <vt:variant>
        <vt:i4>3539032</vt:i4>
      </vt:variant>
      <vt:variant>
        <vt:i4>249</vt:i4>
      </vt:variant>
      <vt:variant>
        <vt:i4>0</vt:i4>
      </vt:variant>
      <vt:variant>
        <vt:i4>5</vt:i4>
      </vt:variant>
      <vt:variant>
        <vt:lpwstr>mailto:equalities@sepa.org.uk</vt:lpwstr>
      </vt:variant>
      <vt:variant>
        <vt:lpwstr/>
      </vt:variant>
      <vt:variant>
        <vt:i4>1769530</vt:i4>
      </vt:variant>
      <vt:variant>
        <vt:i4>242</vt:i4>
      </vt:variant>
      <vt:variant>
        <vt:i4>0</vt:i4>
      </vt:variant>
      <vt:variant>
        <vt:i4>5</vt:i4>
      </vt:variant>
      <vt:variant>
        <vt:lpwstr/>
      </vt:variant>
      <vt:variant>
        <vt:lpwstr>_Toc193292159</vt:lpwstr>
      </vt:variant>
      <vt:variant>
        <vt:i4>1769530</vt:i4>
      </vt:variant>
      <vt:variant>
        <vt:i4>236</vt:i4>
      </vt:variant>
      <vt:variant>
        <vt:i4>0</vt:i4>
      </vt:variant>
      <vt:variant>
        <vt:i4>5</vt:i4>
      </vt:variant>
      <vt:variant>
        <vt:lpwstr/>
      </vt:variant>
      <vt:variant>
        <vt:lpwstr>_Toc193292158</vt:lpwstr>
      </vt:variant>
      <vt:variant>
        <vt:i4>1769530</vt:i4>
      </vt:variant>
      <vt:variant>
        <vt:i4>230</vt:i4>
      </vt:variant>
      <vt:variant>
        <vt:i4>0</vt:i4>
      </vt:variant>
      <vt:variant>
        <vt:i4>5</vt:i4>
      </vt:variant>
      <vt:variant>
        <vt:lpwstr/>
      </vt:variant>
      <vt:variant>
        <vt:lpwstr>_Toc193292157</vt:lpwstr>
      </vt:variant>
      <vt:variant>
        <vt:i4>1769530</vt:i4>
      </vt:variant>
      <vt:variant>
        <vt:i4>224</vt:i4>
      </vt:variant>
      <vt:variant>
        <vt:i4>0</vt:i4>
      </vt:variant>
      <vt:variant>
        <vt:i4>5</vt:i4>
      </vt:variant>
      <vt:variant>
        <vt:lpwstr/>
      </vt:variant>
      <vt:variant>
        <vt:lpwstr>_Toc193292156</vt:lpwstr>
      </vt:variant>
      <vt:variant>
        <vt:i4>1769530</vt:i4>
      </vt:variant>
      <vt:variant>
        <vt:i4>218</vt:i4>
      </vt:variant>
      <vt:variant>
        <vt:i4>0</vt:i4>
      </vt:variant>
      <vt:variant>
        <vt:i4>5</vt:i4>
      </vt:variant>
      <vt:variant>
        <vt:lpwstr/>
      </vt:variant>
      <vt:variant>
        <vt:lpwstr>_Toc193292155</vt:lpwstr>
      </vt:variant>
      <vt:variant>
        <vt:i4>1769530</vt:i4>
      </vt:variant>
      <vt:variant>
        <vt:i4>212</vt:i4>
      </vt:variant>
      <vt:variant>
        <vt:i4>0</vt:i4>
      </vt:variant>
      <vt:variant>
        <vt:i4>5</vt:i4>
      </vt:variant>
      <vt:variant>
        <vt:lpwstr/>
      </vt:variant>
      <vt:variant>
        <vt:lpwstr>_Toc193292154</vt:lpwstr>
      </vt:variant>
      <vt:variant>
        <vt:i4>1769530</vt:i4>
      </vt:variant>
      <vt:variant>
        <vt:i4>206</vt:i4>
      </vt:variant>
      <vt:variant>
        <vt:i4>0</vt:i4>
      </vt:variant>
      <vt:variant>
        <vt:i4>5</vt:i4>
      </vt:variant>
      <vt:variant>
        <vt:lpwstr/>
      </vt:variant>
      <vt:variant>
        <vt:lpwstr>_Toc193292153</vt:lpwstr>
      </vt:variant>
      <vt:variant>
        <vt:i4>1769530</vt:i4>
      </vt:variant>
      <vt:variant>
        <vt:i4>200</vt:i4>
      </vt:variant>
      <vt:variant>
        <vt:i4>0</vt:i4>
      </vt:variant>
      <vt:variant>
        <vt:i4>5</vt:i4>
      </vt:variant>
      <vt:variant>
        <vt:lpwstr/>
      </vt:variant>
      <vt:variant>
        <vt:lpwstr>_Toc193292152</vt:lpwstr>
      </vt:variant>
      <vt:variant>
        <vt:i4>1769530</vt:i4>
      </vt:variant>
      <vt:variant>
        <vt:i4>194</vt:i4>
      </vt:variant>
      <vt:variant>
        <vt:i4>0</vt:i4>
      </vt:variant>
      <vt:variant>
        <vt:i4>5</vt:i4>
      </vt:variant>
      <vt:variant>
        <vt:lpwstr/>
      </vt:variant>
      <vt:variant>
        <vt:lpwstr>_Toc193292151</vt:lpwstr>
      </vt:variant>
      <vt:variant>
        <vt:i4>1769530</vt:i4>
      </vt:variant>
      <vt:variant>
        <vt:i4>188</vt:i4>
      </vt:variant>
      <vt:variant>
        <vt:i4>0</vt:i4>
      </vt:variant>
      <vt:variant>
        <vt:i4>5</vt:i4>
      </vt:variant>
      <vt:variant>
        <vt:lpwstr/>
      </vt:variant>
      <vt:variant>
        <vt:lpwstr>_Toc193292150</vt:lpwstr>
      </vt:variant>
      <vt:variant>
        <vt:i4>1703994</vt:i4>
      </vt:variant>
      <vt:variant>
        <vt:i4>182</vt:i4>
      </vt:variant>
      <vt:variant>
        <vt:i4>0</vt:i4>
      </vt:variant>
      <vt:variant>
        <vt:i4>5</vt:i4>
      </vt:variant>
      <vt:variant>
        <vt:lpwstr/>
      </vt:variant>
      <vt:variant>
        <vt:lpwstr>_Toc193292149</vt:lpwstr>
      </vt:variant>
      <vt:variant>
        <vt:i4>1703994</vt:i4>
      </vt:variant>
      <vt:variant>
        <vt:i4>176</vt:i4>
      </vt:variant>
      <vt:variant>
        <vt:i4>0</vt:i4>
      </vt:variant>
      <vt:variant>
        <vt:i4>5</vt:i4>
      </vt:variant>
      <vt:variant>
        <vt:lpwstr/>
      </vt:variant>
      <vt:variant>
        <vt:lpwstr>_Toc193292148</vt:lpwstr>
      </vt:variant>
      <vt:variant>
        <vt:i4>1703994</vt:i4>
      </vt:variant>
      <vt:variant>
        <vt:i4>170</vt:i4>
      </vt:variant>
      <vt:variant>
        <vt:i4>0</vt:i4>
      </vt:variant>
      <vt:variant>
        <vt:i4>5</vt:i4>
      </vt:variant>
      <vt:variant>
        <vt:lpwstr/>
      </vt:variant>
      <vt:variant>
        <vt:lpwstr>_Toc193292147</vt:lpwstr>
      </vt:variant>
      <vt:variant>
        <vt:i4>1703994</vt:i4>
      </vt:variant>
      <vt:variant>
        <vt:i4>164</vt:i4>
      </vt:variant>
      <vt:variant>
        <vt:i4>0</vt:i4>
      </vt:variant>
      <vt:variant>
        <vt:i4>5</vt:i4>
      </vt:variant>
      <vt:variant>
        <vt:lpwstr/>
      </vt:variant>
      <vt:variant>
        <vt:lpwstr>_Toc193292146</vt:lpwstr>
      </vt:variant>
      <vt:variant>
        <vt:i4>1703994</vt:i4>
      </vt:variant>
      <vt:variant>
        <vt:i4>158</vt:i4>
      </vt:variant>
      <vt:variant>
        <vt:i4>0</vt:i4>
      </vt:variant>
      <vt:variant>
        <vt:i4>5</vt:i4>
      </vt:variant>
      <vt:variant>
        <vt:lpwstr/>
      </vt:variant>
      <vt:variant>
        <vt:lpwstr>_Toc193292145</vt:lpwstr>
      </vt:variant>
      <vt:variant>
        <vt:i4>1703994</vt:i4>
      </vt:variant>
      <vt:variant>
        <vt:i4>152</vt:i4>
      </vt:variant>
      <vt:variant>
        <vt:i4>0</vt:i4>
      </vt:variant>
      <vt:variant>
        <vt:i4>5</vt:i4>
      </vt:variant>
      <vt:variant>
        <vt:lpwstr/>
      </vt:variant>
      <vt:variant>
        <vt:lpwstr>_Toc193292144</vt:lpwstr>
      </vt:variant>
      <vt:variant>
        <vt:i4>1703994</vt:i4>
      </vt:variant>
      <vt:variant>
        <vt:i4>146</vt:i4>
      </vt:variant>
      <vt:variant>
        <vt:i4>0</vt:i4>
      </vt:variant>
      <vt:variant>
        <vt:i4>5</vt:i4>
      </vt:variant>
      <vt:variant>
        <vt:lpwstr/>
      </vt:variant>
      <vt:variant>
        <vt:lpwstr>_Toc193292143</vt:lpwstr>
      </vt:variant>
      <vt:variant>
        <vt:i4>1703994</vt:i4>
      </vt:variant>
      <vt:variant>
        <vt:i4>140</vt:i4>
      </vt:variant>
      <vt:variant>
        <vt:i4>0</vt:i4>
      </vt:variant>
      <vt:variant>
        <vt:i4>5</vt:i4>
      </vt:variant>
      <vt:variant>
        <vt:lpwstr/>
      </vt:variant>
      <vt:variant>
        <vt:lpwstr>_Toc193292142</vt:lpwstr>
      </vt:variant>
      <vt:variant>
        <vt:i4>1703994</vt:i4>
      </vt:variant>
      <vt:variant>
        <vt:i4>134</vt:i4>
      </vt:variant>
      <vt:variant>
        <vt:i4>0</vt:i4>
      </vt:variant>
      <vt:variant>
        <vt:i4>5</vt:i4>
      </vt:variant>
      <vt:variant>
        <vt:lpwstr/>
      </vt:variant>
      <vt:variant>
        <vt:lpwstr>_Toc193292141</vt:lpwstr>
      </vt:variant>
      <vt:variant>
        <vt:i4>1703994</vt:i4>
      </vt:variant>
      <vt:variant>
        <vt:i4>128</vt:i4>
      </vt:variant>
      <vt:variant>
        <vt:i4>0</vt:i4>
      </vt:variant>
      <vt:variant>
        <vt:i4>5</vt:i4>
      </vt:variant>
      <vt:variant>
        <vt:lpwstr/>
      </vt:variant>
      <vt:variant>
        <vt:lpwstr>_Toc193292140</vt:lpwstr>
      </vt:variant>
      <vt:variant>
        <vt:i4>1900602</vt:i4>
      </vt:variant>
      <vt:variant>
        <vt:i4>122</vt:i4>
      </vt:variant>
      <vt:variant>
        <vt:i4>0</vt:i4>
      </vt:variant>
      <vt:variant>
        <vt:i4>5</vt:i4>
      </vt:variant>
      <vt:variant>
        <vt:lpwstr/>
      </vt:variant>
      <vt:variant>
        <vt:lpwstr>_Toc193292139</vt:lpwstr>
      </vt:variant>
      <vt:variant>
        <vt:i4>1900602</vt:i4>
      </vt:variant>
      <vt:variant>
        <vt:i4>116</vt:i4>
      </vt:variant>
      <vt:variant>
        <vt:i4>0</vt:i4>
      </vt:variant>
      <vt:variant>
        <vt:i4>5</vt:i4>
      </vt:variant>
      <vt:variant>
        <vt:lpwstr/>
      </vt:variant>
      <vt:variant>
        <vt:lpwstr>_Toc193292138</vt:lpwstr>
      </vt:variant>
      <vt:variant>
        <vt:i4>1900602</vt:i4>
      </vt:variant>
      <vt:variant>
        <vt:i4>110</vt:i4>
      </vt:variant>
      <vt:variant>
        <vt:i4>0</vt:i4>
      </vt:variant>
      <vt:variant>
        <vt:i4>5</vt:i4>
      </vt:variant>
      <vt:variant>
        <vt:lpwstr/>
      </vt:variant>
      <vt:variant>
        <vt:lpwstr>_Toc193292137</vt:lpwstr>
      </vt:variant>
      <vt:variant>
        <vt:i4>1900602</vt:i4>
      </vt:variant>
      <vt:variant>
        <vt:i4>104</vt:i4>
      </vt:variant>
      <vt:variant>
        <vt:i4>0</vt:i4>
      </vt:variant>
      <vt:variant>
        <vt:i4>5</vt:i4>
      </vt:variant>
      <vt:variant>
        <vt:lpwstr/>
      </vt:variant>
      <vt:variant>
        <vt:lpwstr>_Toc193292136</vt:lpwstr>
      </vt:variant>
      <vt:variant>
        <vt:i4>1900602</vt:i4>
      </vt:variant>
      <vt:variant>
        <vt:i4>98</vt:i4>
      </vt:variant>
      <vt:variant>
        <vt:i4>0</vt:i4>
      </vt:variant>
      <vt:variant>
        <vt:i4>5</vt:i4>
      </vt:variant>
      <vt:variant>
        <vt:lpwstr/>
      </vt:variant>
      <vt:variant>
        <vt:lpwstr>_Toc193292135</vt:lpwstr>
      </vt:variant>
      <vt:variant>
        <vt:i4>1900602</vt:i4>
      </vt:variant>
      <vt:variant>
        <vt:i4>92</vt:i4>
      </vt:variant>
      <vt:variant>
        <vt:i4>0</vt:i4>
      </vt:variant>
      <vt:variant>
        <vt:i4>5</vt:i4>
      </vt:variant>
      <vt:variant>
        <vt:lpwstr/>
      </vt:variant>
      <vt:variant>
        <vt:lpwstr>_Toc193292134</vt:lpwstr>
      </vt:variant>
      <vt:variant>
        <vt:i4>1900602</vt:i4>
      </vt:variant>
      <vt:variant>
        <vt:i4>86</vt:i4>
      </vt:variant>
      <vt:variant>
        <vt:i4>0</vt:i4>
      </vt:variant>
      <vt:variant>
        <vt:i4>5</vt:i4>
      </vt:variant>
      <vt:variant>
        <vt:lpwstr/>
      </vt:variant>
      <vt:variant>
        <vt:lpwstr>_Toc193292133</vt:lpwstr>
      </vt:variant>
      <vt:variant>
        <vt:i4>1900602</vt:i4>
      </vt:variant>
      <vt:variant>
        <vt:i4>80</vt:i4>
      </vt:variant>
      <vt:variant>
        <vt:i4>0</vt:i4>
      </vt:variant>
      <vt:variant>
        <vt:i4>5</vt:i4>
      </vt:variant>
      <vt:variant>
        <vt:lpwstr/>
      </vt:variant>
      <vt:variant>
        <vt:lpwstr>_Toc193292132</vt:lpwstr>
      </vt:variant>
      <vt:variant>
        <vt:i4>1900602</vt:i4>
      </vt:variant>
      <vt:variant>
        <vt:i4>74</vt:i4>
      </vt:variant>
      <vt:variant>
        <vt:i4>0</vt:i4>
      </vt:variant>
      <vt:variant>
        <vt:i4>5</vt:i4>
      </vt:variant>
      <vt:variant>
        <vt:lpwstr/>
      </vt:variant>
      <vt:variant>
        <vt:lpwstr>_Toc193292131</vt:lpwstr>
      </vt:variant>
      <vt:variant>
        <vt:i4>1900602</vt:i4>
      </vt:variant>
      <vt:variant>
        <vt:i4>68</vt:i4>
      </vt:variant>
      <vt:variant>
        <vt:i4>0</vt:i4>
      </vt:variant>
      <vt:variant>
        <vt:i4>5</vt:i4>
      </vt:variant>
      <vt:variant>
        <vt:lpwstr/>
      </vt:variant>
      <vt:variant>
        <vt:lpwstr>_Toc193292130</vt:lpwstr>
      </vt:variant>
      <vt:variant>
        <vt:i4>1835066</vt:i4>
      </vt:variant>
      <vt:variant>
        <vt:i4>62</vt:i4>
      </vt:variant>
      <vt:variant>
        <vt:i4>0</vt:i4>
      </vt:variant>
      <vt:variant>
        <vt:i4>5</vt:i4>
      </vt:variant>
      <vt:variant>
        <vt:lpwstr/>
      </vt:variant>
      <vt:variant>
        <vt:lpwstr>_Toc193292129</vt:lpwstr>
      </vt:variant>
      <vt:variant>
        <vt:i4>1835066</vt:i4>
      </vt:variant>
      <vt:variant>
        <vt:i4>56</vt:i4>
      </vt:variant>
      <vt:variant>
        <vt:i4>0</vt:i4>
      </vt:variant>
      <vt:variant>
        <vt:i4>5</vt:i4>
      </vt:variant>
      <vt:variant>
        <vt:lpwstr/>
      </vt:variant>
      <vt:variant>
        <vt:lpwstr>_Toc193292128</vt:lpwstr>
      </vt:variant>
      <vt:variant>
        <vt:i4>1835066</vt:i4>
      </vt:variant>
      <vt:variant>
        <vt:i4>50</vt:i4>
      </vt:variant>
      <vt:variant>
        <vt:i4>0</vt:i4>
      </vt:variant>
      <vt:variant>
        <vt:i4>5</vt:i4>
      </vt:variant>
      <vt:variant>
        <vt:lpwstr/>
      </vt:variant>
      <vt:variant>
        <vt:lpwstr>_Toc193292127</vt:lpwstr>
      </vt:variant>
      <vt:variant>
        <vt:i4>1835066</vt:i4>
      </vt:variant>
      <vt:variant>
        <vt:i4>44</vt:i4>
      </vt:variant>
      <vt:variant>
        <vt:i4>0</vt:i4>
      </vt:variant>
      <vt:variant>
        <vt:i4>5</vt:i4>
      </vt:variant>
      <vt:variant>
        <vt:lpwstr/>
      </vt:variant>
      <vt:variant>
        <vt:lpwstr>_Toc193292126</vt:lpwstr>
      </vt:variant>
      <vt:variant>
        <vt:i4>1835066</vt:i4>
      </vt:variant>
      <vt:variant>
        <vt:i4>38</vt:i4>
      </vt:variant>
      <vt:variant>
        <vt:i4>0</vt:i4>
      </vt:variant>
      <vt:variant>
        <vt:i4>5</vt:i4>
      </vt:variant>
      <vt:variant>
        <vt:lpwstr/>
      </vt:variant>
      <vt:variant>
        <vt:lpwstr>_Toc193292125</vt:lpwstr>
      </vt:variant>
      <vt:variant>
        <vt:i4>1835066</vt:i4>
      </vt:variant>
      <vt:variant>
        <vt:i4>32</vt:i4>
      </vt:variant>
      <vt:variant>
        <vt:i4>0</vt:i4>
      </vt:variant>
      <vt:variant>
        <vt:i4>5</vt:i4>
      </vt:variant>
      <vt:variant>
        <vt:lpwstr/>
      </vt:variant>
      <vt:variant>
        <vt:lpwstr>_Toc193292124</vt:lpwstr>
      </vt:variant>
      <vt:variant>
        <vt:i4>1835066</vt:i4>
      </vt:variant>
      <vt:variant>
        <vt:i4>26</vt:i4>
      </vt:variant>
      <vt:variant>
        <vt:i4>0</vt:i4>
      </vt:variant>
      <vt:variant>
        <vt:i4>5</vt:i4>
      </vt:variant>
      <vt:variant>
        <vt:lpwstr/>
      </vt:variant>
      <vt:variant>
        <vt:lpwstr>_Toc193292123</vt:lpwstr>
      </vt:variant>
      <vt:variant>
        <vt:i4>1835066</vt:i4>
      </vt:variant>
      <vt:variant>
        <vt:i4>20</vt:i4>
      </vt:variant>
      <vt:variant>
        <vt:i4>0</vt:i4>
      </vt:variant>
      <vt:variant>
        <vt:i4>5</vt:i4>
      </vt:variant>
      <vt:variant>
        <vt:lpwstr/>
      </vt:variant>
      <vt:variant>
        <vt:lpwstr>_Toc193292122</vt:lpwstr>
      </vt:variant>
      <vt:variant>
        <vt:i4>1835066</vt:i4>
      </vt:variant>
      <vt:variant>
        <vt:i4>14</vt:i4>
      </vt:variant>
      <vt:variant>
        <vt:i4>0</vt:i4>
      </vt:variant>
      <vt:variant>
        <vt:i4>5</vt:i4>
      </vt:variant>
      <vt:variant>
        <vt:lpwstr/>
      </vt:variant>
      <vt:variant>
        <vt:lpwstr>_Toc193292121</vt:lpwstr>
      </vt:variant>
      <vt:variant>
        <vt:i4>1835066</vt:i4>
      </vt:variant>
      <vt:variant>
        <vt:i4>8</vt:i4>
      </vt:variant>
      <vt:variant>
        <vt:i4>0</vt:i4>
      </vt:variant>
      <vt:variant>
        <vt:i4>5</vt:i4>
      </vt:variant>
      <vt:variant>
        <vt:lpwstr/>
      </vt:variant>
      <vt:variant>
        <vt:lpwstr>_Toc193292120</vt:lpwstr>
      </vt:variant>
      <vt:variant>
        <vt:i4>2031674</vt:i4>
      </vt:variant>
      <vt:variant>
        <vt:i4>2</vt:i4>
      </vt:variant>
      <vt:variant>
        <vt:i4>0</vt:i4>
      </vt:variant>
      <vt:variant>
        <vt:i4>5</vt:i4>
      </vt:variant>
      <vt:variant>
        <vt:lpwstr/>
      </vt:variant>
      <vt:variant>
        <vt:lpwstr>_Toc193292119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2025-06-05T14:09:00Z</dcterms:created>
  <dcterms:modified xsi:type="dcterms:W3CDTF">2025-06-05T14:09:00Z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