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bCs/>
          <w:color w:val="016574" w:themeColor="accent2"/>
          <w:sz w:val="40"/>
          <w:szCs w:val="40"/>
        </w:rPr>
        <w:id w:val="-191923907"/>
        <w:docPartObj>
          <w:docPartGallery w:val="Cover Pages"/>
          <w:docPartUnique/>
        </w:docPartObj>
      </w:sdtPr>
      <w:sdtEndPr>
        <w:rPr>
          <w:rFonts w:asciiTheme="minorHAnsi" w:eastAsiaTheme="minorEastAsia" w:hAnsiTheme="minorHAnsi" w:cstheme="minorBidi"/>
          <w:b w:val="0"/>
          <w:bCs w:val="0"/>
          <w:color w:val="016574" w:themeColor="accent6"/>
          <w:sz w:val="24"/>
          <w:szCs w:val="24"/>
        </w:rPr>
      </w:sdtEndPr>
      <w:sdtContent>
        <w:p w14:paraId="36C4D771" w14:textId="69C68B83" w:rsidR="00ED3EE7" w:rsidRDefault="00CF7EFB" w:rsidP="00F60DFD">
          <w:r>
            <w:rPr>
              <w:noProof/>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889CA1E" w14:textId="105F7350" w:rsidR="00ED3EE7" w:rsidRPr="00E245AC" w:rsidRDefault="00A77B1A" w:rsidP="00F60DFD">
          <w:pPr>
            <w:pStyle w:val="Heading1"/>
          </w:pPr>
          <w:r>
            <w:t xml:space="preserve">Agency </w:t>
          </w:r>
          <w:r w:rsidR="00EE3674">
            <w:t>Board</w:t>
          </w:r>
          <w:r>
            <w:t xml:space="preserve"> meeting</w:t>
          </w:r>
        </w:p>
        <w:p w14:paraId="4E9A46E5" w14:textId="34DC66D9" w:rsidR="00BD5B7E" w:rsidRDefault="00BD6C47" w:rsidP="00BD5B7E">
          <w:pPr>
            <w:pStyle w:val="Heading2"/>
          </w:pPr>
          <w:r w:rsidRPr="00393D56">
            <w:t>2</w:t>
          </w:r>
          <w:r w:rsidR="00356FDA">
            <w:t>5</w:t>
          </w:r>
          <w:r w:rsidRPr="00393D56">
            <w:t xml:space="preserve"> </w:t>
          </w:r>
          <w:r w:rsidR="00356FDA">
            <w:t>February</w:t>
          </w:r>
          <w:r w:rsidR="00076CB4" w:rsidRPr="00393D56">
            <w:t xml:space="preserve"> 202</w:t>
          </w:r>
          <w:r w:rsidR="00356FDA">
            <w:t>5</w:t>
          </w:r>
        </w:p>
        <w:p w14:paraId="53D58480"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08B06304" wp14:editId="71D334B7">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8FE55"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4149094D" w14:textId="7CE3FC83" w:rsidR="00ED3EE7" w:rsidRPr="00236552" w:rsidRDefault="00490E02" w:rsidP="00ED3EE7">
          <w:pPr>
            <w:pStyle w:val="Heading1"/>
          </w:pPr>
          <w:r>
            <w:t xml:space="preserve">Quarter </w:t>
          </w:r>
          <w:r w:rsidR="00356FDA">
            <w:t>3</w:t>
          </w:r>
          <w:r>
            <w:t xml:space="preserve"> </w:t>
          </w:r>
          <w:r w:rsidR="009F01E2">
            <w:t>f</w:t>
          </w:r>
          <w:r>
            <w:t xml:space="preserve">inancial </w:t>
          </w:r>
          <w:r w:rsidR="00957E2A">
            <w:t xml:space="preserve">monitoring report for period ending </w:t>
          </w:r>
          <w:r w:rsidR="007A63F1">
            <w:t>3</w:t>
          </w:r>
          <w:r w:rsidR="00356FDA">
            <w:t>1</w:t>
          </w:r>
          <w:r w:rsidR="00356FDA" w:rsidRPr="00356FDA">
            <w:rPr>
              <w:vertAlign w:val="superscript"/>
            </w:rPr>
            <w:t>st</w:t>
          </w:r>
          <w:r w:rsidR="00356FDA">
            <w:t xml:space="preserve"> Dec</w:t>
          </w:r>
          <w:r w:rsidR="00DB58A8">
            <w:t>ember</w:t>
          </w:r>
          <w:r w:rsidR="00957E2A">
            <w:t xml:space="preserve"> 2024</w:t>
          </w:r>
        </w:p>
        <w:p w14:paraId="29F6B0E8" w14:textId="36BFE3F1" w:rsidR="00ED3EE7" w:rsidRDefault="00BD5B7E" w:rsidP="00BD5B7E">
          <w:pPr>
            <w:pStyle w:val="Heading3"/>
            <w:rPr>
              <w:color w:val="016574" w:themeColor="accent1"/>
            </w:rPr>
          </w:pPr>
          <w:r>
            <w:t>Purpose</w:t>
          </w:r>
          <w:r w:rsidR="000A4F02">
            <w:t>:</w:t>
          </w:r>
          <w:r w:rsidR="004D6DB1">
            <w:t xml:space="preserve"> </w:t>
          </w:r>
        </w:p>
        <w:p w14:paraId="5CDA7A88" w14:textId="1206BD51" w:rsidR="007E7F64" w:rsidRDefault="00001C38" w:rsidP="007E7F64">
          <w:pPr>
            <w:rPr>
              <w:rStyle w:val="normaltextrun"/>
            </w:rPr>
          </w:pPr>
          <w:r>
            <w:rPr>
              <w:rStyle w:val="normaltextrun"/>
            </w:rPr>
            <w:t xml:space="preserve">This report is to provide an update to the </w:t>
          </w:r>
          <w:r w:rsidR="002838FA">
            <w:rPr>
              <w:rStyle w:val="normaltextrun"/>
            </w:rPr>
            <w:t>Board</w:t>
          </w:r>
          <w:r>
            <w:rPr>
              <w:rStyle w:val="normaltextrun"/>
            </w:rPr>
            <w:t xml:space="preserve"> on the following areas:</w:t>
          </w:r>
        </w:p>
        <w:p w14:paraId="472249CB" w14:textId="6AC56A88" w:rsidR="00B62000" w:rsidRDefault="002F3CAF" w:rsidP="59A7B0A0">
          <w:pPr>
            <w:pStyle w:val="ListParagraph"/>
            <w:numPr>
              <w:ilvl w:val="0"/>
              <w:numId w:val="2"/>
            </w:numPr>
            <w:ind w:left="714" w:hanging="357"/>
          </w:pPr>
          <w:r>
            <w:t>A</w:t>
          </w:r>
          <w:r w:rsidR="007740F4">
            <w:t xml:space="preserve">ctual results </w:t>
          </w:r>
          <w:r w:rsidR="00B62000">
            <w:t xml:space="preserve">for </w:t>
          </w:r>
          <w:r w:rsidR="00BA3B1B">
            <w:t>q</w:t>
          </w:r>
          <w:r w:rsidR="00175C35">
            <w:t xml:space="preserve">uarter </w:t>
          </w:r>
          <w:r w:rsidR="00356FDA">
            <w:t>3</w:t>
          </w:r>
          <w:r w:rsidR="002B2AFF">
            <w:t xml:space="preserve"> </w:t>
          </w:r>
          <w:r w:rsidR="00586804">
            <w:t>(Q</w:t>
          </w:r>
          <w:r w:rsidR="00356FDA">
            <w:t>3</w:t>
          </w:r>
          <w:r w:rsidR="00586804">
            <w:t xml:space="preserve">) </w:t>
          </w:r>
          <w:r w:rsidR="00B62000">
            <w:t>(1</w:t>
          </w:r>
          <w:r w:rsidR="00266CD2">
            <w:t xml:space="preserve"> </w:t>
          </w:r>
          <w:r w:rsidR="00B62000">
            <w:t>April 202</w:t>
          </w:r>
          <w:r w:rsidR="1BD4FC1D">
            <w:t>4</w:t>
          </w:r>
          <w:r w:rsidR="00B62000">
            <w:t xml:space="preserve"> to 3</w:t>
          </w:r>
          <w:r w:rsidR="00356FDA">
            <w:t>1</w:t>
          </w:r>
          <w:r w:rsidR="00B62000">
            <w:t xml:space="preserve"> </w:t>
          </w:r>
          <w:r w:rsidR="00356FDA">
            <w:t>Dec</w:t>
          </w:r>
          <w:r w:rsidR="00DB58A8">
            <w:t>ember</w:t>
          </w:r>
          <w:r w:rsidR="00776A7D">
            <w:t xml:space="preserve"> 2024</w:t>
          </w:r>
          <w:r w:rsidR="00B62000">
            <w:t xml:space="preserve">) show that </w:t>
          </w:r>
          <w:bookmarkStart w:id="0" w:name="_Int_JABeNUns"/>
          <w:r w:rsidR="00B62000">
            <w:t>SEPA</w:t>
          </w:r>
          <w:bookmarkEnd w:id="0"/>
          <w:r w:rsidR="007A63F1">
            <w:t xml:space="preserve"> is forecasting to deliver </w:t>
          </w:r>
          <w:r w:rsidR="008F30BD">
            <w:t>a balanced outturn and break-even position to the year end.</w:t>
          </w:r>
        </w:p>
        <w:p w14:paraId="72F002AC" w14:textId="243A6BA0" w:rsidR="0039297A" w:rsidRDefault="00011125" w:rsidP="00595E65">
          <w:pPr>
            <w:pStyle w:val="ListParagraph"/>
            <w:numPr>
              <w:ilvl w:val="0"/>
              <w:numId w:val="2"/>
            </w:numPr>
            <w:ind w:left="714" w:hanging="357"/>
            <w:contextualSpacing w:val="0"/>
            <w:rPr>
              <w:rStyle w:val="normaltextrun"/>
            </w:rPr>
          </w:pPr>
          <w:r>
            <w:rPr>
              <w:rStyle w:val="normaltextrun"/>
            </w:rPr>
            <w:t xml:space="preserve">A capital summary showing forecast </w:t>
          </w:r>
          <w:r w:rsidR="00113311">
            <w:rPr>
              <w:rStyle w:val="normaltextrun"/>
            </w:rPr>
            <w:t xml:space="preserve">spend </w:t>
          </w:r>
          <w:r w:rsidR="00CD0A6D">
            <w:rPr>
              <w:rStyle w:val="normaltextrun"/>
            </w:rPr>
            <w:t xml:space="preserve">in line with a </w:t>
          </w:r>
          <w:r w:rsidR="00C77E2F">
            <w:rPr>
              <w:rStyle w:val="normaltextrun"/>
            </w:rPr>
            <w:t>budget of £</w:t>
          </w:r>
          <w:r w:rsidR="00DB58A8">
            <w:rPr>
              <w:rStyle w:val="normaltextrun"/>
            </w:rPr>
            <w:t>5</w:t>
          </w:r>
          <w:r w:rsidR="00C77E2F">
            <w:rPr>
              <w:rStyle w:val="normaltextrun"/>
            </w:rPr>
            <w:t>.4m</w:t>
          </w:r>
          <w:r w:rsidR="00F66A4E">
            <w:rPr>
              <w:rStyle w:val="normaltextrun"/>
            </w:rPr>
            <w:t>.</w:t>
          </w:r>
        </w:p>
        <w:p w14:paraId="5C43225A" w14:textId="45BE6B23" w:rsidR="00BD5B7E" w:rsidRPr="00CE0A75" w:rsidRDefault="00BD5B7E" w:rsidP="00CE0A75">
          <w:pPr>
            <w:pStyle w:val="Heading3"/>
          </w:pPr>
          <w:r w:rsidRPr="00CE0A75">
            <w:t>Recommendations</w:t>
          </w:r>
          <w:r w:rsidR="000A4F02" w:rsidRPr="00CE0A75">
            <w:t>:</w:t>
          </w:r>
          <w:r w:rsidR="00476F79" w:rsidRPr="00CE0A75">
            <w:t xml:space="preserve"> </w:t>
          </w:r>
        </w:p>
        <w:p w14:paraId="540182E1" w14:textId="029B824E" w:rsidR="00D3372D" w:rsidRPr="004159A1" w:rsidRDefault="00B83071" w:rsidP="00CB2B55">
          <w:r>
            <w:rPr>
              <w:rStyle w:val="normaltextrun"/>
            </w:rPr>
            <w:t xml:space="preserve">The </w:t>
          </w:r>
          <w:r w:rsidR="00BC4F07">
            <w:rPr>
              <w:rStyle w:val="normaltextrun"/>
            </w:rPr>
            <w:t>Board</w:t>
          </w:r>
          <w:r w:rsidR="006B4414">
            <w:rPr>
              <w:rStyle w:val="normaltextrun"/>
            </w:rPr>
            <w:t xml:space="preserve"> </w:t>
          </w:r>
          <w:r>
            <w:rPr>
              <w:rStyle w:val="normaltextrun"/>
            </w:rPr>
            <w:t>are asked to</w:t>
          </w:r>
          <w:r w:rsidR="00CB2B55">
            <w:rPr>
              <w:rStyle w:val="normaltextrun"/>
            </w:rPr>
            <w:t xml:space="preserve"> n</w:t>
          </w:r>
          <w:r w:rsidRPr="004159A1">
            <w:t xml:space="preserve">ote </w:t>
          </w:r>
          <w:r w:rsidR="00426AAC" w:rsidRPr="004159A1">
            <w:t xml:space="preserve">SEPA’s </w:t>
          </w:r>
          <w:r w:rsidRPr="004159A1">
            <w:t xml:space="preserve">financial performance for the period ending </w:t>
          </w:r>
          <w:r w:rsidR="002F4A43" w:rsidRPr="004159A1">
            <w:t>3</w:t>
          </w:r>
          <w:r w:rsidR="00356FDA">
            <w:t>1</w:t>
          </w:r>
          <w:r w:rsidR="002F4A43" w:rsidRPr="004159A1">
            <w:t xml:space="preserve"> </w:t>
          </w:r>
          <w:r w:rsidR="00356FDA">
            <w:t>Dec</w:t>
          </w:r>
          <w:r w:rsidR="00DB58A8">
            <w:t>ember</w:t>
          </w:r>
          <w:r w:rsidR="002F4A43" w:rsidRPr="004159A1">
            <w:t xml:space="preserve"> 2024 </w:t>
          </w:r>
        </w:p>
        <w:p w14:paraId="053DC6D1" w14:textId="3FC65725" w:rsidR="00C00721" w:rsidRDefault="002D2F6E" w:rsidP="00BD5B7E">
          <w:pPr>
            <w:pStyle w:val="BodyText1"/>
            <w:rPr>
              <w:rStyle w:val="Heading3Char"/>
            </w:rPr>
          </w:pPr>
          <w:r w:rsidRPr="00BB6C63">
            <w:rPr>
              <w:rStyle w:val="Heading3Char"/>
            </w:rPr>
            <w:t>Author</w:t>
          </w:r>
          <w:r w:rsidR="00A65780">
            <w:rPr>
              <w:rStyle w:val="Heading3Char"/>
            </w:rPr>
            <w:t>(s)</w:t>
          </w:r>
          <w:r w:rsidR="00C00721">
            <w:rPr>
              <w:rStyle w:val="Heading3Char"/>
            </w:rPr>
            <w:t>:</w:t>
          </w:r>
          <w:r w:rsidR="00C9085D">
            <w:rPr>
              <w:rStyle w:val="Heading3Char"/>
            </w:rPr>
            <w:t xml:space="preserve"> </w:t>
          </w:r>
          <w:r w:rsidR="00C9085D" w:rsidRPr="00C9085D">
            <w:t>Ian Bryce, Deputy Head of Finance</w:t>
          </w:r>
          <w:r w:rsidR="008D10D0">
            <w:t>, Rosaleen Burke</w:t>
          </w:r>
          <w:r w:rsidR="00240F31">
            <w:t>,</w:t>
          </w:r>
          <w:r w:rsidR="008D10D0">
            <w:t xml:space="preserve"> Head of Finance</w:t>
          </w:r>
        </w:p>
        <w:p w14:paraId="31664044" w14:textId="02429441" w:rsidR="009B4E90" w:rsidRDefault="00F60DFD" w:rsidP="0097313C">
          <w:pPr>
            <w:pStyle w:val="BodyText1"/>
          </w:pPr>
          <w:r w:rsidRPr="00BB6C63">
            <w:rPr>
              <w:rStyle w:val="Heading3Char"/>
            </w:rPr>
            <w:t>Corporate Leadership Team Sponsor</w:t>
          </w:r>
          <w:r w:rsidRPr="00BB6C63">
            <w:rPr>
              <w:rStyle w:val="normaltextrun"/>
              <w:rFonts w:cs="Arial"/>
              <w:b/>
              <w:bCs/>
              <w:color w:val="000000"/>
              <w:shd w:val="clear" w:color="auto" w:fill="FFFFFF"/>
            </w:rPr>
            <w:t xml:space="preserve">: </w:t>
          </w:r>
          <w:r w:rsidR="00C9085D">
            <w:t>Angela Milloy, Chief Officer, Finance, Modernisation, and Digital.</w:t>
          </w:r>
        </w:p>
        <w:p w14:paraId="4A3EC272" w14:textId="085FA574" w:rsidR="000D2F7B" w:rsidRPr="00C15E41" w:rsidRDefault="00F60DFD" w:rsidP="0097313C">
          <w:pPr>
            <w:pStyle w:val="BodyText1"/>
            <w:rPr>
              <w:rStyle w:val="normaltextrun"/>
            </w:rPr>
            <w:sectPr w:rsidR="000D2F7B" w:rsidRPr="00C15E41" w:rsidSect="00FF14D5">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720" w:right="720" w:bottom="720" w:left="720" w:header="794" w:footer="567" w:gutter="0"/>
              <w:cols w:space="708"/>
              <w:docGrid w:linePitch="360"/>
            </w:sectPr>
          </w:pPr>
          <w:r w:rsidRPr="00BB6C63">
            <w:rPr>
              <w:rStyle w:val="Heading3Char"/>
            </w:rPr>
            <w:t>Date:</w:t>
          </w:r>
          <w:r w:rsidRPr="00BB6C63">
            <w:rPr>
              <w:rStyle w:val="normaltextrun"/>
              <w:rFonts w:cs="Arial"/>
              <w:color w:val="000000"/>
              <w:shd w:val="clear" w:color="auto" w:fill="FFFFFF"/>
            </w:rPr>
            <w:t xml:space="preserve"> </w:t>
          </w:r>
          <w:r w:rsidR="00356FDA">
            <w:rPr>
              <w:rStyle w:val="normaltextrun"/>
              <w:rFonts w:cs="Arial"/>
              <w:color w:val="000000"/>
              <w:shd w:val="clear" w:color="auto" w:fill="FFFFFF"/>
            </w:rPr>
            <w:t>January 2025</w:t>
          </w:r>
        </w:p>
        <w:p w14:paraId="2F6118DA" w14:textId="0019ED7F" w:rsidR="00D1226C" w:rsidRPr="001E4173" w:rsidRDefault="00CD7997" w:rsidP="003231A1">
          <w:pPr>
            <w:pStyle w:val="Heading4"/>
            <w:ind w:left="-426"/>
            <w:rPr>
              <w:rStyle w:val="normaltextrun"/>
            </w:rPr>
          </w:pPr>
          <w:r w:rsidRPr="001E4173">
            <w:rPr>
              <w:rStyle w:val="normaltextrun"/>
            </w:rPr>
            <w:lastRenderedPageBreak/>
            <w:t>Table 1</w:t>
          </w:r>
          <w:r w:rsidR="00B05DD9">
            <w:rPr>
              <w:rStyle w:val="normaltextrun"/>
            </w:rPr>
            <w:t>:</w:t>
          </w:r>
          <w:r w:rsidRPr="001E4173">
            <w:rPr>
              <w:rStyle w:val="normaltextrun"/>
            </w:rPr>
            <w:t xml:space="preserve"> </w:t>
          </w:r>
          <w:r w:rsidR="00083E80">
            <w:rPr>
              <w:rStyle w:val="normaltextrun"/>
            </w:rPr>
            <w:t>Scottish Environment Protection Agency – income and expenditure account 2024-2025</w:t>
          </w:r>
        </w:p>
        <w:tbl>
          <w:tblPr>
            <w:tblW w:w="10773" w:type="dxa"/>
            <w:tblInd w:w="-294" w:type="dxa"/>
            <w:tblLayout w:type="fixed"/>
            <w:tblCellMar>
              <w:top w:w="15" w:type="dxa"/>
              <w:bottom w:w="15" w:type="dxa"/>
            </w:tblCellMar>
            <w:tblLook w:val="04A0" w:firstRow="1" w:lastRow="0" w:firstColumn="1" w:lastColumn="0" w:noHBand="0" w:noVBand="1"/>
          </w:tblPr>
          <w:tblGrid>
            <w:gridCol w:w="2977"/>
            <w:gridCol w:w="1417"/>
            <w:gridCol w:w="1242"/>
            <w:gridCol w:w="1310"/>
            <w:gridCol w:w="1275"/>
            <w:gridCol w:w="1288"/>
            <w:gridCol w:w="1264"/>
          </w:tblGrid>
          <w:tr w:rsidR="003231A1" w:rsidRPr="00EE48D5" w14:paraId="102ADE96" w14:textId="77777777" w:rsidTr="00A72CBA">
            <w:trPr>
              <w:cantSplit/>
              <w:trHeight w:val="585"/>
              <w:tblHeader/>
            </w:trPr>
            <w:tc>
              <w:tcPr>
                <w:tcW w:w="2977" w:type="dxa"/>
                <w:tcBorders>
                  <w:top w:val="single" w:sz="4" w:space="0" w:color="auto"/>
                  <w:left w:val="single" w:sz="4" w:space="0" w:color="auto"/>
                  <w:bottom w:val="single" w:sz="4" w:space="0" w:color="auto"/>
                  <w:right w:val="single" w:sz="4" w:space="0" w:color="FFFFFF" w:themeColor="background1"/>
                </w:tcBorders>
                <w:shd w:val="clear" w:color="000000" w:fill="016574"/>
                <w:hideMark/>
              </w:tcPr>
              <w:p w14:paraId="7600D23D" w14:textId="77777777" w:rsidR="003231A1" w:rsidRPr="00EE48D5" w:rsidRDefault="003231A1" w:rsidP="00565E92">
                <w:pPr>
                  <w:spacing w:after="0"/>
                  <w:rPr>
                    <w:b/>
                    <w:bCs/>
                    <w:color w:val="FFFFFF" w:themeColor="background1"/>
                  </w:rPr>
                </w:pPr>
                <w:r w:rsidRPr="00EE48D5">
                  <w:rPr>
                    <w:b/>
                    <w:bCs/>
                    <w:color w:val="FFFFFF" w:themeColor="background1"/>
                  </w:rPr>
                  <w:t>Description</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vAlign w:val="center"/>
                <w:hideMark/>
              </w:tcPr>
              <w:p w14:paraId="271C265A" w14:textId="59D04B4A" w:rsidR="003231A1" w:rsidRPr="00EE48D5" w:rsidRDefault="003231A1" w:rsidP="00565E92">
                <w:pPr>
                  <w:spacing w:after="0"/>
                  <w:jc w:val="right"/>
                  <w:rPr>
                    <w:b/>
                    <w:bCs/>
                    <w:color w:val="FFFFFF" w:themeColor="background1"/>
                  </w:rPr>
                </w:pPr>
                <w:r>
                  <w:rPr>
                    <w:b/>
                    <w:bCs/>
                    <w:color w:val="FFFFFF" w:themeColor="background1"/>
                  </w:rPr>
                  <w:t>Year to date a</w:t>
                </w:r>
                <w:r w:rsidRPr="00EE48D5">
                  <w:rPr>
                    <w:b/>
                    <w:bCs/>
                    <w:color w:val="FFFFFF" w:themeColor="background1"/>
                  </w:rPr>
                  <w:t>ctual £'000</w:t>
                </w:r>
              </w:p>
            </w:tc>
            <w:tc>
              <w:tcPr>
                <w:tcW w:w="1242"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vAlign w:val="center"/>
                <w:hideMark/>
              </w:tcPr>
              <w:p w14:paraId="7DF80057" w14:textId="36F2FF40" w:rsidR="003231A1" w:rsidRPr="00EE48D5" w:rsidRDefault="003231A1" w:rsidP="00565E92">
                <w:pPr>
                  <w:spacing w:after="0"/>
                  <w:jc w:val="right"/>
                  <w:rPr>
                    <w:b/>
                    <w:bCs/>
                    <w:color w:val="FFFFFF" w:themeColor="background1"/>
                  </w:rPr>
                </w:pPr>
                <w:r>
                  <w:rPr>
                    <w:b/>
                    <w:bCs/>
                    <w:color w:val="FFFFFF" w:themeColor="background1"/>
                  </w:rPr>
                  <w:t>Year to date b</w:t>
                </w:r>
                <w:r w:rsidRPr="00EE48D5">
                  <w:rPr>
                    <w:b/>
                    <w:bCs/>
                    <w:color w:val="FFFFFF" w:themeColor="background1"/>
                  </w:rPr>
                  <w:t>udget £'000</w:t>
                </w:r>
              </w:p>
            </w:tc>
            <w:tc>
              <w:tcPr>
                <w:tcW w:w="1310"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vAlign w:val="center"/>
                <w:hideMark/>
              </w:tcPr>
              <w:p w14:paraId="2E320BE8" w14:textId="2D0C84C5" w:rsidR="003231A1" w:rsidRPr="00EE48D5" w:rsidRDefault="003231A1" w:rsidP="00565E92">
                <w:pPr>
                  <w:spacing w:after="0"/>
                  <w:jc w:val="right"/>
                  <w:rPr>
                    <w:b/>
                    <w:bCs/>
                    <w:color w:val="FFFFFF" w:themeColor="background1"/>
                  </w:rPr>
                </w:pPr>
                <w:r>
                  <w:rPr>
                    <w:b/>
                    <w:bCs/>
                    <w:color w:val="FFFFFF" w:themeColor="background1"/>
                  </w:rPr>
                  <w:t>Year to date variance</w:t>
                </w:r>
                <w:r w:rsidRPr="00EE48D5">
                  <w:rPr>
                    <w:b/>
                    <w:bCs/>
                    <w:color w:val="FFFFFF" w:themeColor="background1"/>
                  </w:rPr>
                  <w:t xml:space="preserve"> </w:t>
                </w:r>
                <w:r w:rsidRPr="00EE48D5">
                  <w:rPr>
                    <w:b/>
                    <w:bCs/>
                    <w:color w:val="FFFFFF" w:themeColor="background1"/>
                  </w:rPr>
                  <w:br/>
                  <w:t>£'000</w:t>
                </w:r>
              </w:p>
            </w:tc>
            <w:tc>
              <w:tcPr>
                <w:tcW w:w="1275"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hideMark/>
              </w:tcPr>
              <w:p w14:paraId="78838835" w14:textId="60FA297F" w:rsidR="003231A1" w:rsidRPr="00EE48D5" w:rsidRDefault="003231A1" w:rsidP="00565E92">
                <w:pPr>
                  <w:spacing w:after="0"/>
                  <w:jc w:val="right"/>
                  <w:rPr>
                    <w:b/>
                    <w:bCs/>
                    <w:color w:val="FFFFFF" w:themeColor="background1"/>
                  </w:rPr>
                </w:pPr>
                <w:r>
                  <w:rPr>
                    <w:b/>
                    <w:bCs/>
                    <w:color w:val="FFFFFF" w:themeColor="background1"/>
                  </w:rPr>
                  <w:t>Full year forecast</w:t>
                </w:r>
                <w:r w:rsidRPr="00EE48D5">
                  <w:rPr>
                    <w:b/>
                    <w:bCs/>
                    <w:color w:val="FFFFFF" w:themeColor="background1"/>
                  </w:rPr>
                  <w:t xml:space="preserve"> </w:t>
                </w:r>
                <w:r w:rsidR="00DF5953">
                  <w:rPr>
                    <w:b/>
                    <w:bCs/>
                    <w:color w:val="FFFFFF" w:themeColor="background1"/>
                  </w:rPr>
                  <w:t xml:space="preserve">      </w:t>
                </w:r>
                <w:r w:rsidR="002A2AF9">
                  <w:rPr>
                    <w:b/>
                    <w:bCs/>
                    <w:color w:val="FFFFFF" w:themeColor="background1"/>
                  </w:rPr>
                  <w:t xml:space="preserve">  </w:t>
                </w:r>
                <w:r w:rsidRPr="00EE48D5">
                  <w:rPr>
                    <w:b/>
                    <w:bCs/>
                    <w:color w:val="FFFFFF" w:themeColor="background1"/>
                  </w:rPr>
                  <w:t>£'000</w:t>
                </w:r>
              </w:p>
            </w:tc>
            <w:tc>
              <w:tcPr>
                <w:tcW w:w="1288"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hideMark/>
              </w:tcPr>
              <w:p w14:paraId="690D5436" w14:textId="4CF551CF" w:rsidR="003231A1" w:rsidRPr="00EE48D5" w:rsidRDefault="003231A1" w:rsidP="00565E92">
                <w:pPr>
                  <w:spacing w:after="0"/>
                  <w:jc w:val="right"/>
                  <w:rPr>
                    <w:b/>
                    <w:bCs/>
                    <w:color w:val="FFFFFF" w:themeColor="background1"/>
                  </w:rPr>
                </w:pPr>
                <w:r>
                  <w:rPr>
                    <w:b/>
                    <w:bCs/>
                    <w:color w:val="FFFFFF" w:themeColor="background1"/>
                  </w:rPr>
                  <w:t xml:space="preserve">Full year budget </w:t>
                </w:r>
                <w:r w:rsidRPr="00EE48D5">
                  <w:rPr>
                    <w:b/>
                    <w:bCs/>
                    <w:color w:val="FFFFFF" w:themeColor="background1"/>
                  </w:rPr>
                  <w:t>£'000</w:t>
                </w:r>
              </w:p>
            </w:tc>
            <w:tc>
              <w:tcPr>
                <w:tcW w:w="1264" w:type="dxa"/>
                <w:tcBorders>
                  <w:top w:val="single" w:sz="4" w:space="0" w:color="auto"/>
                  <w:left w:val="single" w:sz="4" w:space="0" w:color="FFFFFF" w:themeColor="background1"/>
                  <w:bottom w:val="single" w:sz="4" w:space="0" w:color="auto"/>
                  <w:right w:val="single" w:sz="4" w:space="0" w:color="auto"/>
                </w:tcBorders>
                <w:shd w:val="clear" w:color="000000" w:fill="016574"/>
                <w:hideMark/>
              </w:tcPr>
              <w:p w14:paraId="3F64784E" w14:textId="2649D3E2" w:rsidR="003231A1" w:rsidRPr="00EE48D5" w:rsidRDefault="003231A1" w:rsidP="00565E92">
                <w:pPr>
                  <w:spacing w:after="0"/>
                  <w:jc w:val="right"/>
                  <w:rPr>
                    <w:b/>
                    <w:bCs/>
                  </w:rPr>
                </w:pPr>
                <w:r w:rsidRPr="0000234C">
                  <w:rPr>
                    <w:b/>
                    <w:bCs/>
                    <w:color w:val="FFFFFF" w:themeColor="background1"/>
                  </w:rPr>
                  <w:t xml:space="preserve">Full year variance £’000 </w:t>
                </w:r>
              </w:p>
            </w:tc>
          </w:tr>
          <w:tr w:rsidR="003231A1" w:rsidRPr="00EE48D5" w14:paraId="3E984DC5" w14:textId="77777777" w:rsidTr="00FC50CF">
            <w:trPr>
              <w:trHeight w:val="315"/>
            </w:trPr>
            <w:tc>
              <w:tcPr>
                <w:tcW w:w="2977" w:type="dxa"/>
                <w:tcBorders>
                  <w:top w:val="single" w:sz="4" w:space="0" w:color="auto"/>
                  <w:left w:val="single" w:sz="8" w:space="0" w:color="757171"/>
                  <w:bottom w:val="nil"/>
                  <w:right w:val="single" w:sz="8" w:space="0" w:color="757171"/>
                </w:tcBorders>
                <w:noWrap/>
                <w:vAlign w:val="bottom"/>
                <w:hideMark/>
              </w:tcPr>
              <w:p w14:paraId="7B1F37BB" w14:textId="77777777" w:rsidR="003231A1" w:rsidRPr="00EE48D5" w:rsidRDefault="003231A1" w:rsidP="00565E92">
                <w:pPr>
                  <w:spacing w:after="0"/>
                </w:pPr>
                <w:r w:rsidRPr="00EE48D5">
                  <w:t xml:space="preserve">Grant in Aid </w:t>
                </w:r>
              </w:p>
            </w:tc>
            <w:tc>
              <w:tcPr>
                <w:tcW w:w="1417" w:type="dxa"/>
                <w:tcBorders>
                  <w:top w:val="single" w:sz="4" w:space="0" w:color="auto"/>
                  <w:left w:val="single" w:sz="8" w:space="0" w:color="757171"/>
                  <w:bottom w:val="nil"/>
                  <w:right w:val="nil"/>
                </w:tcBorders>
                <w:noWrap/>
                <w:hideMark/>
              </w:tcPr>
              <w:p w14:paraId="4E25E277" w14:textId="77777777" w:rsidR="003231A1" w:rsidRPr="00EE48D5" w:rsidRDefault="003231A1" w:rsidP="00565E92">
                <w:pPr>
                  <w:spacing w:after="0"/>
                  <w:jc w:val="right"/>
                </w:pPr>
                <w:r w:rsidRPr="00EE48D5">
                  <w:t>23,800</w:t>
                </w:r>
              </w:p>
            </w:tc>
            <w:tc>
              <w:tcPr>
                <w:tcW w:w="1242" w:type="dxa"/>
                <w:tcBorders>
                  <w:top w:val="single" w:sz="4" w:space="0" w:color="auto"/>
                  <w:left w:val="single" w:sz="8" w:space="0" w:color="757171"/>
                  <w:bottom w:val="nil"/>
                  <w:right w:val="single" w:sz="8" w:space="0" w:color="757171"/>
                </w:tcBorders>
                <w:noWrap/>
                <w:hideMark/>
              </w:tcPr>
              <w:p w14:paraId="1E6DDC41" w14:textId="77777777" w:rsidR="003231A1" w:rsidRPr="00EE48D5" w:rsidRDefault="003231A1" w:rsidP="00565E92">
                <w:pPr>
                  <w:spacing w:after="0"/>
                  <w:jc w:val="right"/>
                </w:pPr>
                <w:r w:rsidRPr="00EE48D5">
                  <w:t>23,800</w:t>
                </w:r>
              </w:p>
            </w:tc>
            <w:tc>
              <w:tcPr>
                <w:tcW w:w="1310" w:type="dxa"/>
                <w:tcBorders>
                  <w:top w:val="single" w:sz="4" w:space="0" w:color="auto"/>
                  <w:left w:val="nil"/>
                  <w:bottom w:val="nil"/>
                  <w:right w:val="single" w:sz="8" w:space="0" w:color="757171"/>
                </w:tcBorders>
                <w:noWrap/>
                <w:hideMark/>
              </w:tcPr>
              <w:p w14:paraId="77A7681A" w14:textId="77777777" w:rsidR="003231A1" w:rsidRPr="00EE48D5" w:rsidRDefault="003231A1" w:rsidP="00565E92">
                <w:pPr>
                  <w:spacing w:after="0"/>
                  <w:jc w:val="right"/>
                </w:pPr>
                <w:r w:rsidRPr="00EE48D5">
                  <w:t>0</w:t>
                </w:r>
              </w:p>
            </w:tc>
            <w:tc>
              <w:tcPr>
                <w:tcW w:w="1275" w:type="dxa"/>
                <w:tcBorders>
                  <w:top w:val="single" w:sz="4" w:space="0" w:color="auto"/>
                  <w:left w:val="single" w:sz="8" w:space="0" w:color="757171"/>
                  <w:bottom w:val="nil"/>
                  <w:right w:val="nil"/>
                </w:tcBorders>
                <w:noWrap/>
                <w:hideMark/>
              </w:tcPr>
              <w:p w14:paraId="118E6CF0" w14:textId="77777777" w:rsidR="003231A1" w:rsidRPr="00EE48D5" w:rsidRDefault="003231A1" w:rsidP="00565E92">
                <w:pPr>
                  <w:spacing w:after="0"/>
                  <w:jc w:val="right"/>
                </w:pPr>
                <w:r w:rsidRPr="00EE48D5">
                  <w:t>47,711</w:t>
                </w:r>
              </w:p>
            </w:tc>
            <w:tc>
              <w:tcPr>
                <w:tcW w:w="1288" w:type="dxa"/>
                <w:tcBorders>
                  <w:top w:val="single" w:sz="4" w:space="0" w:color="auto"/>
                  <w:left w:val="single" w:sz="8" w:space="0" w:color="757171"/>
                  <w:bottom w:val="nil"/>
                  <w:right w:val="single" w:sz="8" w:space="0" w:color="757171"/>
                </w:tcBorders>
                <w:noWrap/>
                <w:hideMark/>
              </w:tcPr>
              <w:p w14:paraId="1FF5F2CE" w14:textId="77777777" w:rsidR="003231A1" w:rsidRPr="00EE48D5" w:rsidRDefault="003231A1" w:rsidP="00565E92">
                <w:pPr>
                  <w:spacing w:after="0"/>
                  <w:jc w:val="right"/>
                </w:pPr>
                <w:r w:rsidRPr="00EE48D5">
                  <w:t>47,711</w:t>
                </w:r>
              </w:p>
            </w:tc>
            <w:tc>
              <w:tcPr>
                <w:tcW w:w="1264" w:type="dxa"/>
                <w:tcBorders>
                  <w:top w:val="single" w:sz="4" w:space="0" w:color="auto"/>
                  <w:left w:val="nil"/>
                  <w:bottom w:val="nil"/>
                  <w:right w:val="single" w:sz="8" w:space="0" w:color="757171"/>
                </w:tcBorders>
                <w:noWrap/>
                <w:hideMark/>
              </w:tcPr>
              <w:p w14:paraId="3970847B" w14:textId="77777777" w:rsidR="003231A1" w:rsidRPr="00EE48D5" w:rsidRDefault="003231A1" w:rsidP="00565E92">
                <w:pPr>
                  <w:spacing w:after="0"/>
                  <w:jc w:val="right"/>
                </w:pPr>
                <w:r w:rsidRPr="00EE48D5">
                  <w:t>0</w:t>
                </w:r>
              </w:p>
            </w:tc>
          </w:tr>
          <w:tr w:rsidR="003231A1" w:rsidRPr="00EE48D5" w14:paraId="67C5DABE" w14:textId="77777777" w:rsidTr="00874C36">
            <w:trPr>
              <w:trHeight w:val="300"/>
            </w:trPr>
            <w:tc>
              <w:tcPr>
                <w:tcW w:w="2977" w:type="dxa"/>
                <w:tcBorders>
                  <w:top w:val="nil"/>
                  <w:left w:val="single" w:sz="8" w:space="0" w:color="757171"/>
                  <w:bottom w:val="nil"/>
                  <w:right w:val="single" w:sz="8" w:space="0" w:color="757171"/>
                </w:tcBorders>
                <w:noWrap/>
                <w:vAlign w:val="bottom"/>
                <w:hideMark/>
              </w:tcPr>
              <w:p w14:paraId="73EC4F43" w14:textId="77777777" w:rsidR="003231A1" w:rsidRPr="00EE48D5" w:rsidRDefault="003231A1" w:rsidP="00565E92">
                <w:pPr>
                  <w:spacing w:after="0"/>
                </w:pPr>
                <w:r w:rsidRPr="00EE48D5">
                  <w:t>Charging Schemes</w:t>
                </w:r>
              </w:p>
            </w:tc>
            <w:tc>
              <w:tcPr>
                <w:tcW w:w="1417" w:type="dxa"/>
                <w:tcBorders>
                  <w:top w:val="nil"/>
                  <w:left w:val="single" w:sz="8" w:space="0" w:color="757171"/>
                  <w:bottom w:val="nil"/>
                  <w:right w:val="nil"/>
                </w:tcBorders>
                <w:noWrap/>
                <w:hideMark/>
              </w:tcPr>
              <w:p w14:paraId="47B447DE" w14:textId="77777777" w:rsidR="003231A1" w:rsidRPr="00EE48D5" w:rsidRDefault="003231A1" w:rsidP="00565E92">
                <w:pPr>
                  <w:spacing w:after="0"/>
                  <w:jc w:val="right"/>
                </w:pPr>
                <w:r w:rsidRPr="00EE48D5">
                  <w:t>49,491</w:t>
                </w:r>
              </w:p>
            </w:tc>
            <w:tc>
              <w:tcPr>
                <w:tcW w:w="1242" w:type="dxa"/>
                <w:tcBorders>
                  <w:top w:val="nil"/>
                  <w:left w:val="single" w:sz="8" w:space="0" w:color="757171"/>
                  <w:bottom w:val="nil"/>
                  <w:right w:val="single" w:sz="8" w:space="0" w:color="757171"/>
                </w:tcBorders>
                <w:noWrap/>
                <w:hideMark/>
              </w:tcPr>
              <w:p w14:paraId="6A35FCE4" w14:textId="77777777" w:rsidR="003231A1" w:rsidRPr="00EE48D5" w:rsidRDefault="003231A1" w:rsidP="00565E92">
                <w:pPr>
                  <w:spacing w:after="0"/>
                  <w:jc w:val="right"/>
                </w:pPr>
                <w:r w:rsidRPr="00EE48D5">
                  <w:t>49,800</w:t>
                </w:r>
              </w:p>
            </w:tc>
            <w:tc>
              <w:tcPr>
                <w:tcW w:w="1310" w:type="dxa"/>
                <w:tcBorders>
                  <w:top w:val="nil"/>
                  <w:left w:val="nil"/>
                  <w:bottom w:val="nil"/>
                  <w:right w:val="single" w:sz="8" w:space="0" w:color="757171"/>
                </w:tcBorders>
                <w:noWrap/>
                <w:hideMark/>
              </w:tcPr>
              <w:p w14:paraId="3433B096" w14:textId="77777777" w:rsidR="003231A1" w:rsidRPr="00EE48D5" w:rsidRDefault="003231A1" w:rsidP="00565E92">
                <w:pPr>
                  <w:spacing w:after="0"/>
                  <w:jc w:val="right"/>
                </w:pPr>
                <w:r w:rsidRPr="00EE48D5">
                  <w:t>(309)</w:t>
                </w:r>
              </w:p>
            </w:tc>
            <w:tc>
              <w:tcPr>
                <w:tcW w:w="1275" w:type="dxa"/>
                <w:tcBorders>
                  <w:top w:val="nil"/>
                  <w:left w:val="single" w:sz="8" w:space="0" w:color="757171"/>
                  <w:bottom w:val="nil"/>
                  <w:right w:val="nil"/>
                </w:tcBorders>
                <w:noWrap/>
                <w:hideMark/>
              </w:tcPr>
              <w:p w14:paraId="2BE0978F" w14:textId="77777777" w:rsidR="003231A1" w:rsidRPr="00EE48D5" w:rsidRDefault="003231A1" w:rsidP="00565E92">
                <w:pPr>
                  <w:spacing w:after="0"/>
                  <w:jc w:val="right"/>
                </w:pPr>
                <w:r w:rsidRPr="00EE48D5">
                  <w:t>52,662</w:t>
                </w:r>
              </w:p>
            </w:tc>
            <w:tc>
              <w:tcPr>
                <w:tcW w:w="1288" w:type="dxa"/>
                <w:tcBorders>
                  <w:top w:val="nil"/>
                  <w:left w:val="single" w:sz="8" w:space="0" w:color="757171"/>
                  <w:bottom w:val="nil"/>
                  <w:right w:val="single" w:sz="8" w:space="0" w:color="757171"/>
                </w:tcBorders>
                <w:noWrap/>
                <w:hideMark/>
              </w:tcPr>
              <w:p w14:paraId="62231D51" w14:textId="77777777" w:rsidR="003231A1" w:rsidRPr="00EE48D5" w:rsidRDefault="003231A1" w:rsidP="00565E92">
                <w:pPr>
                  <w:spacing w:after="0"/>
                  <w:jc w:val="right"/>
                </w:pPr>
                <w:r w:rsidRPr="00EE48D5">
                  <w:t>52,879</w:t>
                </w:r>
              </w:p>
            </w:tc>
            <w:tc>
              <w:tcPr>
                <w:tcW w:w="1264" w:type="dxa"/>
                <w:tcBorders>
                  <w:top w:val="nil"/>
                  <w:left w:val="nil"/>
                  <w:bottom w:val="nil"/>
                  <w:right w:val="single" w:sz="8" w:space="0" w:color="757171"/>
                </w:tcBorders>
                <w:noWrap/>
                <w:hideMark/>
              </w:tcPr>
              <w:p w14:paraId="78289A7E" w14:textId="77777777" w:rsidR="003231A1" w:rsidRPr="00EE48D5" w:rsidRDefault="003231A1" w:rsidP="00565E92">
                <w:pPr>
                  <w:spacing w:after="0"/>
                  <w:jc w:val="right"/>
                </w:pPr>
                <w:r w:rsidRPr="00EE48D5">
                  <w:t>(217)</w:t>
                </w:r>
              </w:p>
            </w:tc>
          </w:tr>
          <w:tr w:rsidR="003231A1" w:rsidRPr="00EE48D5" w14:paraId="7CE90487" w14:textId="77777777" w:rsidTr="00874C36">
            <w:trPr>
              <w:trHeight w:val="315"/>
            </w:trPr>
            <w:tc>
              <w:tcPr>
                <w:tcW w:w="2977" w:type="dxa"/>
                <w:tcBorders>
                  <w:top w:val="nil"/>
                  <w:left w:val="single" w:sz="8" w:space="0" w:color="757171"/>
                  <w:bottom w:val="nil"/>
                  <w:right w:val="single" w:sz="8" w:space="0" w:color="757171"/>
                </w:tcBorders>
                <w:noWrap/>
                <w:vAlign w:val="bottom"/>
                <w:hideMark/>
              </w:tcPr>
              <w:p w14:paraId="2C6591AD" w14:textId="77777777" w:rsidR="003231A1" w:rsidRPr="00EE48D5" w:rsidRDefault="003231A1" w:rsidP="00565E92">
                <w:pPr>
                  <w:spacing w:after="0"/>
                </w:pPr>
                <w:r w:rsidRPr="00EE48D5">
                  <w:t>Other Income</w:t>
                </w:r>
              </w:p>
            </w:tc>
            <w:tc>
              <w:tcPr>
                <w:tcW w:w="1417" w:type="dxa"/>
                <w:tcBorders>
                  <w:top w:val="nil"/>
                  <w:left w:val="single" w:sz="8" w:space="0" w:color="757171"/>
                  <w:bottom w:val="nil"/>
                  <w:right w:val="nil"/>
                </w:tcBorders>
                <w:noWrap/>
                <w:hideMark/>
              </w:tcPr>
              <w:p w14:paraId="3F8CC2B2" w14:textId="77777777" w:rsidR="003231A1" w:rsidRPr="00EE48D5" w:rsidRDefault="003231A1" w:rsidP="00565E92">
                <w:pPr>
                  <w:spacing w:after="0"/>
                  <w:jc w:val="right"/>
                </w:pPr>
                <w:r w:rsidRPr="00EE48D5">
                  <w:t>1,207</w:t>
                </w:r>
              </w:p>
            </w:tc>
            <w:tc>
              <w:tcPr>
                <w:tcW w:w="1242" w:type="dxa"/>
                <w:tcBorders>
                  <w:top w:val="nil"/>
                  <w:left w:val="single" w:sz="8" w:space="0" w:color="757171"/>
                  <w:bottom w:val="nil"/>
                  <w:right w:val="single" w:sz="8" w:space="0" w:color="757171"/>
                </w:tcBorders>
                <w:noWrap/>
                <w:hideMark/>
              </w:tcPr>
              <w:p w14:paraId="16160E98" w14:textId="77777777" w:rsidR="003231A1" w:rsidRPr="00EE48D5" w:rsidRDefault="003231A1" w:rsidP="00565E92">
                <w:pPr>
                  <w:spacing w:after="0"/>
                  <w:jc w:val="right"/>
                </w:pPr>
                <w:r w:rsidRPr="00EE48D5">
                  <w:t>1,507</w:t>
                </w:r>
              </w:p>
            </w:tc>
            <w:tc>
              <w:tcPr>
                <w:tcW w:w="1310" w:type="dxa"/>
                <w:tcBorders>
                  <w:top w:val="nil"/>
                  <w:left w:val="nil"/>
                  <w:bottom w:val="nil"/>
                  <w:right w:val="single" w:sz="8" w:space="0" w:color="757171"/>
                </w:tcBorders>
                <w:noWrap/>
                <w:hideMark/>
              </w:tcPr>
              <w:p w14:paraId="673A8E38" w14:textId="77777777" w:rsidR="003231A1" w:rsidRPr="00EE48D5" w:rsidRDefault="003231A1" w:rsidP="00565E92">
                <w:pPr>
                  <w:spacing w:after="0"/>
                  <w:jc w:val="right"/>
                </w:pPr>
                <w:r w:rsidRPr="00EE48D5">
                  <w:t>(300)</w:t>
                </w:r>
              </w:p>
            </w:tc>
            <w:tc>
              <w:tcPr>
                <w:tcW w:w="1275" w:type="dxa"/>
                <w:tcBorders>
                  <w:top w:val="nil"/>
                  <w:left w:val="single" w:sz="8" w:space="0" w:color="757171"/>
                  <w:bottom w:val="nil"/>
                  <w:right w:val="nil"/>
                </w:tcBorders>
                <w:noWrap/>
                <w:hideMark/>
              </w:tcPr>
              <w:p w14:paraId="575DEC3D" w14:textId="77777777" w:rsidR="003231A1" w:rsidRPr="00EE48D5" w:rsidRDefault="003231A1" w:rsidP="00565E92">
                <w:pPr>
                  <w:spacing w:after="0"/>
                  <w:jc w:val="right"/>
                </w:pPr>
                <w:r w:rsidRPr="00EE48D5">
                  <w:t>2,711</w:t>
                </w:r>
              </w:p>
            </w:tc>
            <w:tc>
              <w:tcPr>
                <w:tcW w:w="1288" w:type="dxa"/>
                <w:tcBorders>
                  <w:top w:val="nil"/>
                  <w:left w:val="single" w:sz="8" w:space="0" w:color="757171"/>
                  <w:bottom w:val="nil"/>
                  <w:right w:val="single" w:sz="8" w:space="0" w:color="757171"/>
                </w:tcBorders>
                <w:noWrap/>
                <w:hideMark/>
              </w:tcPr>
              <w:p w14:paraId="493CC863" w14:textId="77777777" w:rsidR="003231A1" w:rsidRPr="00EE48D5" w:rsidRDefault="003231A1" w:rsidP="00565E92">
                <w:pPr>
                  <w:spacing w:after="0"/>
                  <w:jc w:val="right"/>
                </w:pPr>
                <w:r w:rsidRPr="00EE48D5">
                  <w:t>2,778</w:t>
                </w:r>
              </w:p>
            </w:tc>
            <w:tc>
              <w:tcPr>
                <w:tcW w:w="1264" w:type="dxa"/>
                <w:tcBorders>
                  <w:top w:val="nil"/>
                  <w:left w:val="nil"/>
                  <w:bottom w:val="nil"/>
                  <w:right w:val="single" w:sz="8" w:space="0" w:color="757171"/>
                </w:tcBorders>
                <w:noWrap/>
                <w:hideMark/>
              </w:tcPr>
              <w:p w14:paraId="3BE04AD8" w14:textId="77777777" w:rsidR="003231A1" w:rsidRPr="00EE48D5" w:rsidRDefault="003231A1" w:rsidP="00565E92">
                <w:pPr>
                  <w:spacing w:after="0"/>
                  <w:jc w:val="right"/>
                </w:pPr>
                <w:r w:rsidRPr="00EE48D5">
                  <w:t>(67)</w:t>
                </w:r>
              </w:p>
            </w:tc>
          </w:tr>
          <w:tr w:rsidR="003231A1" w:rsidRPr="003231A1" w14:paraId="266B8307" w14:textId="77777777" w:rsidTr="00A6443A">
            <w:trPr>
              <w:trHeight w:val="315"/>
            </w:trPr>
            <w:tc>
              <w:tcPr>
                <w:tcW w:w="2977" w:type="dxa"/>
                <w:tcBorders>
                  <w:top w:val="single" w:sz="8" w:space="0" w:color="757171"/>
                  <w:left w:val="single" w:sz="8" w:space="0" w:color="757171"/>
                  <w:bottom w:val="single" w:sz="8" w:space="0" w:color="757171"/>
                  <w:right w:val="single" w:sz="4" w:space="0" w:color="FFFFFF" w:themeColor="background1"/>
                </w:tcBorders>
                <w:shd w:val="clear" w:color="000000" w:fill="016574"/>
                <w:noWrap/>
                <w:vAlign w:val="bottom"/>
                <w:hideMark/>
              </w:tcPr>
              <w:p w14:paraId="125FAF8C" w14:textId="77777777" w:rsidR="003231A1" w:rsidRPr="00EE48D5" w:rsidRDefault="003231A1" w:rsidP="00565E92">
                <w:pPr>
                  <w:spacing w:after="0"/>
                  <w:rPr>
                    <w:b/>
                    <w:bCs/>
                    <w:color w:val="FFFFFF" w:themeColor="background1"/>
                  </w:rPr>
                </w:pPr>
                <w:r w:rsidRPr="00EE48D5">
                  <w:rPr>
                    <w:b/>
                    <w:bCs/>
                    <w:color w:val="FFFFFF" w:themeColor="background1"/>
                  </w:rPr>
                  <w:t>Total Income</w:t>
                </w:r>
              </w:p>
            </w:tc>
            <w:tc>
              <w:tcPr>
                <w:tcW w:w="1417"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1B742FC6" w14:textId="77777777" w:rsidR="003231A1" w:rsidRPr="00EE48D5" w:rsidRDefault="003231A1" w:rsidP="00565E92">
                <w:pPr>
                  <w:spacing w:after="0"/>
                  <w:jc w:val="right"/>
                  <w:rPr>
                    <w:b/>
                    <w:bCs/>
                    <w:color w:val="FFFFFF" w:themeColor="background1"/>
                  </w:rPr>
                </w:pPr>
                <w:r w:rsidRPr="00EE48D5">
                  <w:rPr>
                    <w:b/>
                    <w:bCs/>
                    <w:color w:val="FFFFFF" w:themeColor="background1"/>
                  </w:rPr>
                  <w:t>74,498</w:t>
                </w:r>
              </w:p>
            </w:tc>
            <w:tc>
              <w:tcPr>
                <w:tcW w:w="1242"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53598AAE" w14:textId="77777777" w:rsidR="003231A1" w:rsidRPr="00EE48D5" w:rsidRDefault="003231A1" w:rsidP="00565E92">
                <w:pPr>
                  <w:spacing w:after="0"/>
                  <w:jc w:val="right"/>
                  <w:rPr>
                    <w:b/>
                    <w:bCs/>
                    <w:color w:val="FFFFFF" w:themeColor="background1"/>
                  </w:rPr>
                </w:pPr>
                <w:r w:rsidRPr="00EE48D5">
                  <w:rPr>
                    <w:b/>
                    <w:bCs/>
                    <w:color w:val="FFFFFF" w:themeColor="background1"/>
                  </w:rPr>
                  <w:t>75,107</w:t>
                </w:r>
              </w:p>
            </w:tc>
            <w:tc>
              <w:tcPr>
                <w:tcW w:w="1310"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2D2A278E" w14:textId="77777777" w:rsidR="003231A1" w:rsidRPr="00EE48D5" w:rsidRDefault="003231A1" w:rsidP="00565E92">
                <w:pPr>
                  <w:spacing w:after="0"/>
                  <w:jc w:val="right"/>
                  <w:rPr>
                    <w:b/>
                    <w:bCs/>
                    <w:color w:val="FFFFFF" w:themeColor="background1"/>
                  </w:rPr>
                </w:pPr>
                <w:r w:rsidRPr="00EE48D5">
                  <w:rPr>
                    <w:b/>
                    <w:bCs/>
                    <w:color w:val="FFFFFF" w:themeColor="background1"/>
                  </w:rPr>
                  <w:t>(609)</w:t>
                </w:r>
              </w:p>
            </w:tc>
            <w:tc>
              <w:tcPr>
                <w:tcW w:w="1275"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309B3954" w14:textId="77777777" w:rsidR="003231A1" w:rsidRPr="00EE48D5" w:rsidRDefault="003231A1" w:rsidP="00565E92">
                <w:pPr>
                  <w:spacing w:after="0"/>
                  <w:jc w:val="right"/>
                  <w:rPr>
                    <w:b/>
                    <w:bCs/>
                    <w:color w:val="FFFFFF" w:themeColor="background1"/>
                  </w:rPr>
                </w:pPr>
                <w:r w:rsidRPr="00EE48D5">
                  <w:rPr>
                    <w:b/>
                    <w:bCs/>
                    <w:color w:val="FFFFFF" w:themeColor="background1"/>
                  </w:rPr>
                  <w:t>103,084</w:t>
                </w:r>
              </w:p>
            </w:tc>
            <w:tc>
              <w:tcPr>
                <w:tcW w:w="1288"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4DF32128" w14:textId="77777777" w:rsidR="003231A1" w:rsidRPr="00EE48D5" w:rsidRDefault="003231A1" w:rsidP="00565E92">
                <w:pPr>
                  <w:spacing w:after="0"/>
                  <w:jc w:val="right"/>
                  <w:rPr>
                    <w:b/>
                    <w:bCs/>
                    <w:color w:val="FFFFFF" w:themeColor="background1"/>
                  </w:rPr>
                </w:pPr>
                <w:r w:rsidRPr="00EE48D5">
                  <w:rPr>
                    <w:b/>
                    <w:bCs/>
                    <w:color w:val="FFFFFF" w:themeColor="background1"/>
                  </w:rPr>
                  <w:t>103,368</w:t>
                </w:r>
              </w:p>
            </w:tc>
            <w:tc>
              <w:tcPr>
                <w:tcW w:w="1264"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034BECFA" w14:textId="77777777" w:rsidR="003231A1" w:rsidRPr="00EE48D5" w:rsidRDefault="003231A1" w:rsidP="00565E92">
                <w:pPr>
                  <w:spacing w:after="0"/>
                  <w:jc w:val="right"/>
                  <w:rPr>
                    <w:b/>
                    <w:bCs/>
                    <w:color w:val="FFFFFF" w:themeColor="background1"/>
                  </w:rPr>
                </w:pPr>
                <w:r w:rsidRPr="00EE48D5">
                  <w:rPr>
                    <w:b/>
                    <w:bCs/>
                    <w:color w:val="FFFFFF" w:themeColor="background1"/>
                  </w:rPr>
                  <w:t>(284)</w:t>
                </w:r>
              </w:p>
            </w:tc>
          </w:tr>
          <w:tr w:rsidR="003231A1" w:rsidRPr="00EE48D5" w14:paraId="273DC444" w14:textId="77777777" w:rsidTr="00874C36">
            <w:trPr>
              <w:trHeight w:val="315"/>
            </w:trPr>
            <w:tc>
              <w:tcPr>
                <w:tcW w:w="2977" w:type="dxa"/>
                <w:tcBorders>
                  <w:top w:val="single" w:sz="8" w:space="0" w:color="757171"/>
                  <w:left w:val="single" w:sz="8" w:space="0" w:color="757171"/>
                  <w:bottom w:val="nil"/>
                  <w:right w:val="single" w:sz="8" w:space="0" w:color="757171"/>
                </w:tcBorders>
                <w:noWrap/>
                <w:vAlign w:val="bottom"/>
                <w:hideMark/>
              </w:tcPr>
              <w:p w14:paraId="473E58EC" w14:textId="77777777" w:rsidR="003231A1" w:rsidRPr="00EE48D5" w:rsidRDefault="003231A1" w:rsidP="00565E92">
                <w:pPr>
                  <w:spacing w:after="0"/>
                </w:pPr>
                <w:r w:rsidRPr="00EE48D5">
                  <w:t>Staff Costs</w:t>
                </w:r>
              </w:p>
            </w:tc>
            <w:tc>
              <w:tcPr>
                <w:tcW w:w="1417" w:type="dxa"/>
                <w:tcBorders>
                  <w:top w:val="single" w:sz="8" w:space="0" w:color="757171"/>
                  <w:left w:val="single" w:sz="8" w:space="0" w:color="757171"/>
                  <w:bottom w:val="nil"/>
                  <w:right w:val="nil"/>
                </w:tcBorders>
                <w:noWrap/>
                <w:hideMark/>
              </w:tcPr>
              <w:p w14:paraId="40DBE1AC" w14:textId="77777777" w:rsidR="003231A1" w:rsidRPr="00EE48D5" w:rsidRDefault="003231A1" w:rsidP="00565E92">
                <w:pPr>
                  <w:spacing w:after="0"/>
                  <w:jc w:val="right"/>
                </w:pPr>
                <w:r w:rsidRPr="00EE48D5">
                  <w:t>51,468</w:t>
                </w:r>
              </w:p>
            </w:tc>
            <w:tc>
              <w:tcPr>
                <w:tcW w:w="1242" w:type="dxa"/>
                <w:tcBorders>
                  <w:top w:val="single" w:sz="8" w:space="0" w:color="757171"/>
                  <w:left w:val="single" w:sz="8" w:space="0" w:color="757171"/>
                  <w:bottom w:val="nil"/>
                  <w:right w:val="single" w:sz="8" w:space="0" w:color="757171"/>
                </w:tcBorders>
                <w:noWrap/>
                <w:hideMark/>
              </w:tcPr>
              <w:p w14:paraId="4E6D5A8D" w14:textId="77777777" w:rsidR="003231A1" w:rsidRPr="00EE48D5" w:rsidRDefault="003231A1" w:rsidP="00565E92">
                <w:pPr>
                  <w:spacing w:after="0"/>
                  <w:jc w:val="right"/>
                </w:pPr>
                <w:r w:rsidRPr="00EE48D5">
                  <w:t>53,480</w:t>
                </w:r>
              </w:p>
            </w:tc>
            <w:tc>
              <w:tcPr>
                <w:tcW w:w="1310" w:type="dxa"/>
                <w:tcBorders>
                  <w:top w:val="single" w:sz="8" w:space="0" w:color="757171"/>
                  <w:left w:val="nil"/>
                  <w:bottom w:val="nil"/>
                  <w:right w:val="single" w:sz="8" w:space="0" w:color="757171"/>
                </w:tcBorders>
                <w:noWrap/>
                <w:hideMark/>
              </w:tcPr>
              <w:p w14:paraId="5437AF9C" w14:textId="77777777" w:rsidR="003231A1" w:rsidRPr="00EE48D5" w:rsidRDefault="003231A1" w:rsidP="00565E92">
                <w:pPr>
                  <w:spacing w:after="0"/>
                  <w:jc w:val="right"/>
                </w:pPr>
                <w:r w:rsidRPr="00EE48D5">
                  <w:t>2,012</w:t>
                </w:r>
              </w:p>
            </w:tc>
            <w:tc>
              <w:tcPr>
                <w:tcW w:w="1275" w:type="dxa"/>
                <w:tcBorders>
                  <w:top w:val="single" w:sz="8" w:space="0" w:color="757171"/>
                  <w:left w:val="single" w:sz="8" w:space="0" w:color="757171"/>
                  <w:bottom w:val="nil"/>
                  <w:right w:val="nil"/>
                </w:tcBorders>
                <w:noWrap/>
                <w:hideMark/>
              </w:tcPr>
              <w:p w14:paraId="249A4EB9" w14:textId="77777777" w:rsidR="003231A1" w:rsidRPr="00EE48D5" w:rsidRDefault="003231A1" w:rsidP="00565E92">
                <w:pPr>
                  <w:spacing w:after="0"/>
                  <w:jc w:val="right"/>
                </w:pPr>
                <w:r w:rsidRPr="00EE48D5">
                  <w:t>69,935</w:t>
                </w:r>
              </w:p>
            </w:tc>
            <w:tc>
              <w:tcPr>
                <w:tcW w:w="1288" w:type="dxa"/>
                <w:tcBorders>
                  <w:top w:val="single" w:sz="8" w:space="0" w:color="757171"/>
                  <w:left w:val="single" w:sz="8" w:space="0" w:color="757171"/>
                  <w:bottom w:val="nil"/>
                  <w:right w:val="single" w:sz="8" w:space="0" w:color="757171"/>
                </w:tcBorders>
                <w:noWrap/>
                <w:hideMark/>
              </w:tcPr>
              <w:p w14:paraId="4ECAC3E2" w14:textId="77777777" w:rsidR="003231A1" w:rsidRPr="00EE48D5" w:rsidRDefault="003231A1" w:rsidP="00565E92">
                <w:pPr>
                  <w:spacing w:after="0"/>
                  <w:jc w:val="right"/>
                </w:pPr>
                <w:r w:rsidRPr="00EE48D5">
                  <w:t>71,225</w:t>
                </w:r>
              </w:p>
            </w:tc>
            <w:tc>
              <w:tcPr>
                <w:tcW w:w="1264" w:type="dxa"/>
                <w:tcBorders>
                  <w:top w:val="single" w:sz="8" w:space="0" w:color="757171"/>
                  <w:left w:val="nil"/>
                  <w:bottom w:val="nil"/>
                  <w:right w:val="single" w:sz="8" w:space="0" w:color="757171"/>
                </w:tcBorders>
                <w:noWrap/>
                <w:hideMark/>
              </w:tcPr>
              <w:p w14:paraId="53C9832D" w14:textId="77777777" w:rsidR="003231A1" w:rsidRPr="00EE48D5" w:rsidRDefault="003231A1" w:rsidP="00565E92">
                <w:pPr>
                  <w:spacing w:after="0"/>
                  <w:jc w:val="right"/>
                </w:pPr>
                <w:r w:rsidRPr="00EE48D5">
                  <w:t>1,290</w:t>
                </w:r>
              </w:p>
            </w:tc>
          </w:tr>
          <w:tr w:rsidR="003231A1" w:rsidRPr="00EE48D5" w14:paraId="6CB19882" w14:textId="77777777" w:rsidTr="00874C36">
            <w:trPr>
              <w:trHeight w:val="300"/>
            </w:trPr>
            <w:tc>
              <w:tcPr>
                <w:tcW w:w="2977" w:type="dxa"/>
                <w:tcBorders>
                  <w:top w:val="nil"/>
                  <w:left w:val="single" w:sz="8" w:space="0" w:color="757171"/>
                  <w:bottom w:val="nil"/>
                  <w:right w:val="single" w:sz="8" w:space="0" w:color="757171"/>
                </w:tcBorders>
                <w:noWrap/>
                <w:vAlign w:val="bottom"/>
                <w:hideMark/>
              </w:tcPr>
              <w:p w14:paraId="079F1E7A" w14:textId="77777777" w:rsidR="003231A1" w:rsidRPr="00EE48D5" w:rsidRDefault="003231A1" w:rsidP="00565E92">
                <w:pPr>
                  <w:spacing w:after="0"/>
                </w:pPr>
                <w:r w:rsidRPr="00EE48D5">
                  <w:t>Other Staff Costs</w:t>
                </w:r>
              </w:p>
            </w:tc>
            <w:tc>
              <w:tcPr>
                <w:tcW w:w="1417" w:type="dxa"/>
                <w:tcBorders>
                  <w:top w:val="nil"/>
                  <w:left w:val="single" w:sz="8" w:space="0" w:color="757171"/>
                  <w:bottom w:val="nil"/>
                  <w:right w:val="nil"/>
                </w:tcBorders>
                <w:noWrap/>
                <w:hideMark/>
              </w:tcPr>
              <w:p w14:paraId="66053DCE" w14:textId="77777777" w:rsidR="003231A1" w:rsidRPr="00EE48D5" w:rsidRDefault="003231A1" w:rsidP="00565E92">
                <w:pPr>
                  <w:spacing w:after="0"/>
                  <w:jc w:val="right"/>
                </w:pPr>
                <w:r w:rsidRPr="00EE48D5">
                  <w:t>637</w:t>
                </w:r>
              </w:p>
            </w:tc>
            <w:tc>
              <w:tcPr>
                <w:tcW w:w="1242" w:type="dxa"/>
                <w:tcBorders>
                  <w:top w:val="nil"/>
                  <w:left w:val="single" w:sz="8" w:space="0" w:color="757171"/>
                  <w:bottom w:val="nil"/>
                  <w:right w:val="single" w:sz="8" w:space="0" w:color="757171"/>
                </w:tcBorders>
                <w:noWrap/>
                <w:hideMark/>
              </w:tcPr>
              <w:p w14:paraId="7220F59A" w14:textId="77777777" w:rsidR="003231A1" w:rsidRPr="00EE48D5" w:rsidRDefault="003231A1" w:rsidP="00565E92">
                <w:pPr>
                  <w:spacing w:after="0"/>
                  <w:jc w:val="right"/>
                </w:pPr>
                <w:r w:rsidRPr="00EE48D5">
                  <w:t>337</w:t>
                </w:r>
              </w:p>
            </w:tc>
            <w:tc>
              <w:tcPr>
                <w:tcW w:w="1310" w:type="dxa"/>
                <w:tcBorders>
                  <w:top w:val="nil"/>
                  <w:left w:val="nil"/>
                  <w:bottom w:val="nil"/>
                  <w:right w:val="single" w:sz="8" w:space="0" w:color="757171"/>
                </w:tcBorders>
                <w:noWrap/>
                <w:hideMark/>
              </w:tcPr>
              <w:p w14:paraId="757B191E" w14:textId="77777777" w:rsidR="003231A1" w:rsidRPr="00EE48D5" w:rsidRDefault="003231A1" w:rsidP="00565E92">
                <w:pPr>
                  <w:spacing w:after="0"/>
                  <w:jc w:val="right"/>
                </w:pPr>
                <w:r w:rsidRPr="00EE48D5">
                  <w:t>(300)</w:t>
                </w:r>
              </w:p>
            </w:tc>
            <w:tc>
              <w:tcPr>
                <w:tcW w:w="1275" w:type="dxa"/>
                <w:tcBorders>
                  <w:top w:val="nil"/>
                  <w:left w:val="single" w:sz="8" w:space="0" w:color="757171"/>
                  <w:bottom w:val="nil"/>
                  <w:right w:val="nil"/>
                </w:tcBorders>
                <w:noWrap/>
                <w:hideMark/>
              </w:tcPr>
              <w:p w14:paraId="4C0321FD" w14:textId="77777777" w:rsidR="003231A1" w:rsidRPr="00EE48D5" w:rsidRDefault="003231A1" w:rsidP="00565E92">
                <w:pPr>
                  <w:spacing w:after="0"/>
                  <w:jc w:val="right"/>
                </w:pPr>
                <w:r w:rsidRPr="00EE48D5">
                  <w:t>1,021</w:t>
                </w:r>
              </w:p>
            </w:tc>
            <w:tc>
              <w:tcPr>
                <w:tcW w:w="1288" w:type="dxa"/>
                <w:tcBorders>
                  <w:top w:val="nil"/>
                  <w:left w:val="single" w:sz="8" w:space="0" w:color="757171"/>
                  <w:bottom w:val="nil"/>
                  <w:right w:val="single" w:sz="8" w:space="0" w:color="757171"/>
                </w:tcBorders>
                <w:noWrap/>
                <w:hideMark/>
              </w:tcPr>
              <w:p w14:paraId="2F3BCFF6" w14:textId="77777777" w:rsidR="003231A1" w:rsidRPr="00EE48D5" w:rsidRDefault="003231A1" w:rsidP="00565E92">
                <w:pPr>
                  <w:spacing w:after="0"/>
                  <w:jc w:val="right"/>
                </w:pPr>
                <w:r w:rsidRPr="00EE48D5">
                  <w:t>637</w:t>
                </w:r>
              </w:p>
            </w:tc>
            <w:tc>
              <w:tcPr>
                <w:tcW w:w="1264" w:type="dxa"/>
                <w:tcBorders>
                  <w:top w:val="nil"/>
                  <w:left w:val="nil"/>
                  <w:bottom w:val="nil"/>
                  <w:right w:val="single" w:sz="8" w:space="0" w:color="757171"/>
                </w:tcBorders>
                <w:noWrap/>
                <w:hideMark/>
              </w:tcPr>
              <w:p w14:paraId="24A5DD2C" w14:textId="77777777" w:rsidR="003231A1" w:rsidRPr="00EE48D5" w:rsidRDefault="003231A1" w:rsidP="00565E92">
                <w:pPr>
                  <w:spacing w:after="0"/>
                  <w:jc w:val="right"/>
                </w:pPr>
                <w:r w:rsidRPr="00EE48D5">
                  <w:t>(384)</w:t>
                </w:r>
              </w:p>
            </w:tc>
          </w:tr>
          <w:tr w:rsidR="003231A1" w:rsidRPr="00EE48D5" w14:paraId="70C65290" w14:textId="77777777" w:rsidTr="00874C36">
            <w:trPr>
              <w:trHeight w:val="300"/>
            </w:trPr>
            <w:tc>
              <w:tcPr>
                <w:tcW w:w="2977" w:type="dxa"/>
                <w:tcBorders>
                  <w:top w:val="nil"/>
                  <w:left w:val="single" w:sz="8" w:space="0" w:color="757171"/>
                  <w:bottom w:val="nil"/>
                  <w:right w:val="single" w:sz="8" w:space="0" w:color="757171"/>
                </w:tcBorders>
                <w:noWrap/>
                <w:vAlign w:val="bottom"/>
                <w:hideMark/>
              </w:tcPr>
              <w:p w14:paraId="7434B35A" w14:textId="77777777" w:rsidR="003231A1" w:rsidRPr="00EE48D5" w:rsidRDefault="003231A1" w:rsidP="00565E92">
                <w:pPr>
                  <w:spacing w:after="0"/>
                </w:pPr>
                <w:r w:rsidRPr="00EE48D5">
                  <w:t>Transport Costs</w:t>
                </w:r>
              </w:p>
            </w:tc>
            <w:tc>
              <w:tcPr>
                <w:tcW w:w="1417" w:type="dxa"/>
                <w:tcBorders>
                  <w:top w:val="nil"/>
                  <w:left w:val="single" w:sz="8" w:space="0" w:color="757171"/>
                  <w:bottom w:val="nil"/>
                  <w:right w:val="nil"/>
                </w:tcBorders>
                <w:noWrap/>
                <w:hideMark/>
              </w:tcPr>
              <w:p w14:paraId="127EFA2B" w14:textId="77777777" w:rsidR="003231A1" w:rsidRPr="00EE48D5" w:rsidRDefault="003231A1" w:rsidP="00565E92">
                <w:pPr>
                  <w:spacing w:after="0"/>
                  <w:jc w:val="right"/>
                </w:pPr>
                <w:r w:rsidRPr="00EE48D5">
                  <w:t>649</w:t>
                </w:r>
              </w:p>
            </w:tc>
            <w:tc>
              <w:tcPr>
                <w:tcW w:w="1242" w:type="dxa"/>
                <w:tcBorders>
                  <w:top w:val="nil"/>
                  <w:left w:val="single" w:sz="8" w:space="0" w:color="757171"/>
                  <w:bottom w:val="nil"/>
                  <w:right w:val="single" w:sz="8" w:space="0" w:color="757171"/>
                </w:tcBorders>
                <w:noWrap/>
                <w:hideMark/>
              </w:tcPr>
              <w:p w14:paraId="2C501033" w14:textId="77777777" w:rsidR="003231A1" w:rsidRPr="00EE48D5" w:rsidRDefault="003231A1" w:rsidP="00565E92">
                <w:pPr>
                  <w:spacing w:after="0"/>
                  <w:jc w:val="right"/>
                </w:pPr>
                <w:r w:rsidRPr="00EE48D5">
                  <w:t>694</w:t>
                </w:r>
              </w:p>
            </w:tc>
            <w:tc>
              <w:tcPr>
                <w:tcW w:w="1310" w:type="dxa"/>
                <w:tcBorders>
                  <w:top w:val="nil"/>
                  <w:left w:val="nil"/>
                  <w:bottom w:val="nil"/>
                  <w:right w:val="single" w:sz="8" w:space="0" w:color="757171"/>
                </w:tcBorders>
                <w:noWrap/>
                <w:hideMark/>
              </w:tcPr>
              <w:p w14:paraId="168A406F" w14:textId="77777777" w:rsidR="003231A1" w:rsidRPr="00EE48D5" w:rsidRDefault="003231A1" w:rsidP="00565E92">
                <w:pPr>
                  <w:spacing w:after="0"/>
                  <w:jc w:val="right"/>
                </w:pPr>
                <w:r w:rsidRPr="00EE48D5">
                  <w:t>45</w:t>
                </w:r>
              </w:p>
            </w:tc>
            <w:tc>
              <w:tcPr>
                <w:tcW w:w="1275" w:type="dxa"/>
                <w:tcBorders>
                  <w:top w:val="nil"/>
                  <w:left w:val="single" w:sz="8" w:space="0" w:color="757171"/>
                  <w:bottom w:val="nil"/>
                  <w:right w:val="nil"/>
                </w:tcBorders>
                <w:noWrap/>
                <w:hideMark/>
              </w:tcPr>
              <w:p w14:paraId="53408B04" w14:textId="77777777" w:rsidR="003231A1" w:rsidRPr="00EE48D5" w:rsidRDefault="003231A1" w:rsidP="00565E92">
                <w:pPr>
                  <w:spacing w:after="0"/>
                  <w:jc w:val="right"/>
                </w:pPr>
                <w:r w:rsidRPr="00EE48D5">
                  <w:t>917</w:t>
                </w:r>
              </w:p>
            </w:tc>
            <w:tc>
              <w:tcPr>
                <w:tcW w:w="1288" w:type="dxa"/>
                <w:tcBorders>
                  <w:top w:val="nil"/>
                  <w:left w:val="single" w:sz="8" w:space="0" w:color="757171"/>
                  <w:bottom w:val="nil"/>
                  <w:right w:val="single" w:sz="8" w:space="0" w:color="757171"/>
                </w:tcBorders>
                <w:noWrap/>
                <w:hideMark/>
              </w:tcPr>
              <w:p w14:paraId="6E21EDB8" w14:textId="77777777" w:rsidR="003231A1" w:rsidRPr="00EE48D5" w:rsidRDefault="003231A1" w:rsidP="00565E92">
                <w:pPr>
                  <w:spacing w:after="0"/>
                  <w:jc w:val="right"/>
                </w:pPr>
                <w:r w:rsidRPr="00EE48D5">
                  <w:t>977</w:t>
                </w:r>
              </w:p>
            </w:tc>
            <w:tc>
              <w:tcPr>
                <w:tcW w:w="1264" w:type="dxa"/>
                <w:tcBorders>
                  <w:top w:val="nil"/>
                  <w:left w:val="nil"/>
                  <w:bottom w:val="nil"/>
                  <w:right w:val="single" w:sz="8" w:space="0" w:color="757171"/>
                </w:tcBorders>
                <w:noWrap/>
                <w:hideMark/>
              </w:tcPr>
              <w:p w14:paraId="26A9A0CF" w14:textId="77777777" w:rsidR="003231A1" w:rsidRPr="00EE48D5" w:rsidRDefault="003231A1" w:rsidP="00565E92">
                <w:pPr>
                  <w:spacing w:after="0"/>
                  <w:jc w:val="right"/>
                </w:pPr>
                <w:r w:rsidRPr="00EE48D5">
                  <w:t>60</w:t>
                </w:r>
              </w:p>
            </w:tc>
          </w:tr>
          <w:tr w:rsidR="003231A1" w:rsidRPr="00EE48D5" w14:paraId="6F7D67D8" w14:textId="77777777" w:rsidTr="00874C36">
            <w:trPr>
              <w:trHeight w:val="300"/>
            </w:trPr>
            <w:tc>
              <w:tcPr>
                <w:tcW w:w="2977" w:type="dxa"/>
                <w:tcBorders>
                  <w:top w:val="nil"/>
                  <w:left w:val="single" w:sz="8" w:space="0" w:color="757171"/>
                  <w:bottom w:val="nil"/>
                  <w:right w:val="single" w:sz="8" w:space="0" w:color="757171"/>
                </w:tcBorders>
                <w:noWrap/>
                <w:vAlign w:val="bottom"/>
                <w:hideMark/>
              </w:tcPr>
              <w:p w14:paraId="035A6350" w14:textId="77777777" w:rsidR="003231A1" w:rsidRPr="00EE48D5" w:rsidRDefault="003231A1" w:rsidP="00565E92">
                <w:pPr>
                  <w:spacing w:after="0"/>
                </w:pPr>
                <w:r w:rsidRPr="00EE48D5">
                  <w:t>Supplies &amp; Services</w:t>
                </w:r>
              </w:p>
            </w:tc>
            <w:tc>
              <w:tcPr>
                <w:tcW w:w="1417" w:type="dxa"/>
                <w:tcBorders>
                  <w:top w:val="nil"/>
                  <w:left w:val="single" w:sz="8" w:space="0" w:color="757171"/>
                  <w:bottom w:val="nil"/>
                  <w:right w:val="nil"/>
                </w:tcBorders>
                <w:noWrap/>
                <w:hideMark/>
              </w:tcPr>
              <w:p w14:paraId="59A98F63" w14:textId="77777777" w:rsidR="003231A1" w:rsidRPr="00EE48D5" w:rsidRDefault="003231A1" w:rsidP="00565E92">
                <w:pPr>
                  <w:spacing w:after="0"/>
                  <w:jc w:val="right"/>
                </w:pPr>
                <w:r w:rsidRPr="00EE48D5">
                  <w:t>10,542</w:t>
                </w:r>
              </w:p>
            </w:tc>
            <w:tc>
              <w:tcPr>
                <w:tcW w:w="1242" w:type="dxa"/>
                <w:tcBorders>
                  <w:top w:val="nil"/>
                  <w:left w:val="single" w:sz="8" w:space="0" w:color="757171"/>
                  <w:bottom w:val="nil"/>
                  <w:right w:val="single" w:sz="8" w:space="0" w:color="757171"/>
                </w:tcBorders>
                <w:noWrap/>
                <w:hideMark/>
              </w:tcPr>
              <w:p w14:paraId="58EEAB0B" w14:textId="77777777" w:rsidR="003231A1" w:rsidRPr="00EE48D5" w:rsidRDefault="003231A1" w:rsidP="00565E92">
                <w:pPr>
                  <w:spacing w:after="0"/>
                  <w:jc w:val="right"/>
                </w:pPr>
                <w:r w:rsidRPr="00EE48D5">
                  <w:t>10,149</w:t>
                </w:r>
              </w:p>
            </w:tc>
            <w:tc>
              <w:tcPr>
                <w:tcW w:w="1310" w:type="dxa"/>
                <w:tcBorders>
                  <w:top w:val="nil"/>
                  <w:left w:val="nil"/>
                  <w:bottom w:val="nil"/>
                  <w:right w:val="single" w:sz="8" w:space="0" w:color="757171"/>
                </w:tcBorders>
                <w:noWrap/>
                <w:hideMark/>
              </w:tcPr>
              <w:p w14:paraId="5724BC48" w14:textId="77777777" w:rsidR="003231A1" w:rsidRPr="00EE48D5" w:rsidRDefault="003231A1" w:rsidP="00565E92">
                <w:pPr>
                  <w:spacing w:after="0"/>
                  <w:jc w:val="right"/>
                </w:pPr>
                <w:r w:rsidRPr="00EE48D5">
                  <w:t>(393)</w:t>
                </w:r>
              </w:p>
            </w:tc>
            <w:tc>
              <w:tcPr>
                <w:tcW w:w="1275" w:type="dxa"/>
                <w:tcBorders>
                  <w:top w:val="nil"/>
                  <w:left w:val="single" w:sz="8" w:space="0" w:color="757171"/>
                  <w:bottom w:val="nil"/>
                  <w:right w:val="nil"/>
                </w:tcBorders>
                <w:noWrap/>
                <w:hideMark/>
              </w:tcPr>
              <w:p w14:paraId="449BCFEE" w14:textId="77777777" w:rsidR="003231A1" w:rsidRPr="00EE48D5" w:rsidRDefault="003231A1" w:rsidP="00565E92">
                <w:pPr>
                  <w:spacing w:after="0"/>
                  <w:jc w:val="right"/>
                </w:pPr>
                <w:r w:rsidRPr="00EE48D5">
                  <w:t>20,251</w:t>
                </w:r>
              </w:p>
            </w:tc>
            <w:tc>
              <w:tcPr>
                <w:tcW w:w="1288" w:type="dxa"/>
                <w:tcBorders>
                  <w:top w:val="nil"/>
                  <w:left w:val="single" w:sz="8" w:space="0" w:color="757171"/>
                  <w:bottom w:val="nil"/>
                  <w:right w:val="single" w:sz="8" w:space="0" w:color="757171"/>
                </w:tcBorders>
                <w:noWrap/>
                <w:hideMark/>
              </w:tcPr>
              <w:p w14:paraId="2884A578" w14:textId="77777777" w:rsidR="003231A1" w:rsidRPr="00EE48D5" w:rsidRDefault="003231A1" w:rsidP="00565E92">
                <w:pPr>
                  <w:spacing w:after="0"/>
                  <w:jc w:val="right"/>
                </w:pPr>
                <w:r w:rsidRPr="00EE48D5">
                  <w:t>19,703</w:t>
                </w:r>
              </w:p>
            </w:tc>
            <w:tc>
              <w:tcPr>
                <w:tcW w:w="1264" w:type="dxa"/>
                <w:tcBorders>
                  <w:top w:val="nil"/>
                  <w:left w:val="nil"/>
                  <w:bottom w:val="nil"/>
                  <w:right w:val="single" w:sz="8" w:space="0" w:color="757171"/>
                </w:tcBorders>
                <w:noWrap/>
                <w:hideMark/>
              </w:tcPr>
              <w:p w14:paraId="03CCB56E" w14:textId="77777777" w:rsidR="003231A1" w:rsidRPr="00EE48D5" w:rsidRDefault="003231A1" w:rsidP="00565E92">
                <w:pPr>
                  <w:spacing w:after="0"/>
                  <w:jc w:val="right"/>
                </w:pPr>
                <w:r w:rsidRPr="00EE48D5">
                  <w:t>(548)</w:t>
                </w:r>
              </w:p>
            </w:tc>
          </w:tr>
          <w:tr w:rsidR="003231A1" w:rsidRPr="00EE48D5" w14:paraId="59129739" w14:textId="77777777" w:rsidTr="00874C36">
            <w:trPr>
              <w:trHeight w:val="300"/>
            </w:trPr>
            <w:tc>
              <w:tcPr>
                <w:tcW w:w="2977" w:type="dxa"/>
                <w:tcBorders>
                  <w:top w:val="nil"/>
                  <w:left w:val="single" w:sz="8" w:space="0" w:color="757171"/>
                  <w:bottom w:val="nil"/>
                  <w:right w:val="single" w:sz="8" w:space="0" w:color="757171"/>
                </w:tcBorders>
                <w:noWrap/>
                <w:vAlign w:val="bottom"/>
                <w:hideMark/>
              </w:tcPr>
              <w:p w14:paraId="3905B5BE" w14:textId="77777777" w:rsidR="003231A1" w:rsidRPr="00EE48D5" w:rsidRDefault="003231A1" w:rsidP="00565E92">
                <w:pPr>
                  <w:spacing w:after="0"/>
                </w:pPr>
                <w:r w:rsidRPr="00EE48D5">
                  <w:t>Property Costs</w:t>
                </w:r>
              </w:p>
            </w:tc>
            <w:tc>
              <w:tcPr>
                <w:tcW w:w="1417" w:type="dxa"/>
                <w:tcBorders>
                  <w:top w:val="nil"/>
                  <w:left w:val="single" w:sz="8" w:space="0" w:color="757171"/>
                  <w:bottom w:val="nil"/>
                  <w:right w:val="nil"/>
                </w:tcBorders>
                <w:noWrap/>
                <w:hideMark/>
              </w:tcPr>
              <w:p w14:paraId="1F70B9E1" w14:textId="77777777" w:rsidR="003231A1" w:rsidRPr="00EE48D5" w:rsidRDefault="003231A1" w:rsidP="00565E92">
                <w:pPr>
                  <w:spacing w:after="0"/>
                  <w:jc w:val="right"/>
                </w:pPr>
                <w:r w:rsidRPr="00EE48D5">
                  <w:t>3,278</w:t>
                </w:r>
              </w:p>
            </w:tc>
            <w:tc>
              <w:tcPr>
                <w:tcW w:w="1242" w:type="dxa"/>
                <w:tcBorders>
                  <w:top w:val="nil"/>
                  <w:left w:val="single" w:sz="8" w:space="0" w:color="757171"/>
                  <w:bottom w:val="nil"/>
                  <w:right w:val="single" w:sz="8" w:space="0" w:color="757171"/>
                </w:tcBorders>
                <w:noWrap/>
                <w:hideMark/>
              </w:tcPr>
              <w:p w14:paraId="42979FEA" w14:textId="77777777" w:rsidR="003231A1" w:rsidRPr="00EE48D5" w:rsidRDefault="003231A1" w:rsidP="00565E92">
                <w:pPr>
                  <w:spacing w:after="0"/>
                  <w:jc w:val="right"/>
                </w:pPr>
                <w:r w:rsidRPr="00EE48D5">
                  <w:t>3,381</w:t>
                </w:r>
              </w:p>
            </w:tc>
            <w:tc>
              <w:tcPr>
                <w:tcW w:w="1310" w:type="dxa"/>
                <w:tcBorders>
                  <w:top w:val="nil"/>
                  <w:left w:val="nil"/>
                  <w:bottom w:val="nil"/>
                  <w:right w:val="single" w:sz="8" w:space="0" w:color="757171"/>
                </w:tcBorders>
                <w:noWrap/>
                <w:hideMark/>
              </w:tcPr>
              <w:p w14:paraId="4DDEB02B" w14:textId="77777777" w:rsidR="003231A1" w:rsidRPr="00EE48D5" w:rsidRDefault="003231A1" w:rsidP="00565E92">
                <w:pPr>
                  <w:spacing w:after="0"/>
                  <w:jc w:val="right"/>
                </w:pPr>
                <w:r w:rsidRPr="00EE48D5">
                  <w:t>103</w:t>
                </w:r>
              </w:p>
            </w:tc>
            <w:tc>
              <w:tcPr>
                <w:tcW w:w="1275" w:type="dxa"/>
                <w:tcBorders>
                  <w:top w:val="nil"/>
                  <w:left w:val="single" w:sz="8" w:space="0" w:color="757171"/>
                  <w:bottom w:val="nil"/>
                  <w:right w:val="nil"/>
                </w:tcBorders>
                <w:noWrap/>
                <w:hideMark/>
              </w:tcPr>
              <w:p w14:paraId="2C7213DD" w14:textId="77777777" w:rsidR="003231A1" w:rsidRPr="00EE48D5" w:rsidRDefault="003231A1" w:rsidP="00565E92">
                <w:pPr>
                  <w:spacing w:after="0"/>
                  <w:jc w:val="right"/>
                </w:pPr>
                <w:r w:rsidRPr="00EE48D5">
                  <w:t>4,680</w:t>
                </w:r>
              </w:p>
            </w:tc>
            <w:tc>
              <w:tcPr>
                <w:tcW w:w="1288" w:type="dxa"/>
                <w:tcBorders>
                  <w:top w:val="nil"/>
                  <w:left w:val="single" w:sz="8" w:space="0" w:color="757171"/>
                  <w:bottom w:val="nil"/>
                  <w:right w:val="single" w:sz="8" w:space="0" w:color="757171"/>
                </w:tcBorders>
                <w:noWrap/>
                <w:hideMark/>
              </w:tcPr>
              <w:p w14:paraId="2F70DF20" w14:textId="77777777" w:rsidR="003231A1" w:rsidRPr="00EE48D5" w:rsidRDefault="003231A1" w:rsidP="00565E92">
                <w:pPr>
                  <w:spacing w:after="0"/>
                  <w:jc w:val="right"/>
                </w:pPr>
                <w:r w:rsidRPr="00EE48D5">
                  <w:t>4,546</w:t>
                </w:r>
              </w:p>
            </w:tc>
            <w:tc>
              <w:tcPr>
                <w:tcW w:w="1264" w:type="dxa"/>
                <w:tcBorders>
                  <w:top w:val="nil"/>
                  <w:left w:val="nil"/>
                  <w:bottom w:val="nil"/>
                  <w:right w:val="single" w:sz="8" w:space="0" w:color="757171"/>
                </w:tcBorders>
                <w:noWrap/>
                <w:hideMark/>
              </w:tcPr>
              <w:p w14:paraId="182CA04D" w14:textId="77777777" w:rsidR="003231A1" w:rsidRPr="00EE48D5" w:rsidRDefault="003231A1" w:rsidP="00565E92">
                <w:pPr>
                  <w:spacing w:after="0"/>
                  <w:jc w:val="right"/>
                </w:pPr>
                <w:r w:rsidRPr="00EE48D5">
                  <w:t>(134)</w:t>
                </w:r>
              </w:p>
            </w:tc>
          </w:tr>
          <w:tr w:rsidR="003231A1" w:rsidRPr="00EE48D5" w14:paraId="323792E3" w14:textId="77777777" w:rsidTr="00874C36">
            <w:trPr>
              <w:trHeight w:val="315"/>
            </w:trPr>
            <w:tc>
              <w:tcPr>
                <w:tcW w:w="2977" w:type="dxa"/>
                <w:tcBorders>
                  <w:top w:val="nil"/>
                  <w:left w:val="single" w:sz="8" w:space="0" w:color="757171"/>
                  <w:bottom w:val="nil"/>
                  <w:right w:val="single" w:sz="8" w:space="0" w:color="757171"/>
                </w:tcBorders>
                <w:noWrap/>
                <w:vAlign w:val="bottom"/>
                <w:hideMark/>
              </w:tcPr>
              <w:p w14:paraId="394057D3" w14:textId="77777777" w:rsidR="003231A1" w:rsidRPr="00EE48D5" w:rsidRDefault="003231A1" w:rsidP="00565E92">
                <w:pPr>
                  <w:spacing w:after="0"/>
                </w:pPr>
                <w:r w:rsidRPr="00EE48D5">
                  <w:t>Depreciation/impairment</w:t>
                </w:r>
              </w:p>
            </w:tc>
            <w:tc>
              <w:tcPr>
                <w:tcW w:w="1417" w:type="dxa"/>
                <w:tcBorders>
                  <w:top w:val="nil"/>
                  <w:left w:val="single" w:sz="8" w:space="0" w:color="757171"/>
                  <w:bottom w:val="nil"/>
                  <w:right w:val="nil"/>
                </w:tcBorders>
                <w:noWrap/>
                <w:hideMark/>
              </w:tcPr>
              <w:p w14:paraId="72354AAA" w14:textId="77777777" w:rsidR="003231A1" w:rsidRPr="00EE48D5" w:rsidRDefault="003231A1" w:rsidP="00565E92">
                <w:pPr>
                  <w:spacing w:after="0"/>
                  <w:jc w:val="right"/>
                </w:pPr>
                <w:r w:rsidRPr="00EE48D5">
                  <w:t>4,710</w:t>
                </w:r>
              </w:p>
            </w:tc>
            <w:tc>
              <w:tcPr>
                <w:tcW w:w="1242" w:type="dxa"/>
                <w:tcBorders>
                  <w:top w:val="nil"/>
                  <w:left w:val="single" w:sz="8" w:space="0" w:color="757171"/>
                  <w:bottom w:val="nil"/>
                  <w:right w:val="single" w:sz="8" w:space="0" w:color="757171"/>
                </w:tcBorders>
                <w:noWrap/>
                <w:hideMark/>
              </w:tcPr>
              <w:p w14:paraId="017E5778" w14:textId="77777777" w:rsidR="003231A1" w:rsidRPr="00EE48D5" w:rsidRDefault="003231A1" w:rsidP="00565E92">
                <w:pPr>
                  <w:spacing w:after="0"/>
                  <w:jc w:val="right"/>
                </w:pPr>
                <w:r w:rsidRPr="00EE48D5">
                  <w:t>4,710</w:t>
                </w:r>
              </w:p>
            </w:tc>
            <w:tc>
              <w:tcPr>
                <w:tcW w:w="1310" w:type="dxa"/>
                <w:tcBorders>
                  <w:top w:val="nil"/>
                  <w:left w:val="nil"/>
                  <w:bottom w:val="nil"/>
                  <w:right w:val="single" w:sz="8" w:space="0" w:color="757171"/>
                </w:tcBorders>
                <w:noWrap/>
                <w:hideMark/>
              </w:tcPr>
              <w:p w14:paraId="66EE45DF" w14:textId="77777777" w:rsidR="003231A1" w:rsidRPr="00EE48D5" w:rsidRDefault="003231A1" w:rsidP="00565E92">
                <w:pPr>
                  <w:spacing w:after="0"/>
                  <w:jc w:val="right"/>
                </w:pPr>
                <w:r w:rsidRPr="00EE48D5">
                  <w:t>0</w:t>
                </w:r>
              </w:p>
            </w:tc>
            <w:tc>
              <w:tcPr>
                <w:tcW w:w="1275" w:type="dxa"/>
                <w:tcBorders>
                  <w:top w:val="nil"/>
                  <w:left w:val="single" w:sz="8" w:space="0" w:color="757171"/>
                  <w:bottom w:val="nil"/>
                  <w:right w:val="nil"/>
                </w:tcBorders>
                <w:noWrap/>
                <w:hideMark/>
              </w:tcPr>
              <w:p w14:paraId="11A2E099" w14:textId="77777777" w:rsidR="003231A1" w:rsidRPr="00EE48D5" w:rsidRDefault="003231A1" w:rsidP="00565E92">
                <w:pPr>
                  <w:spacing w:after="0"/>
                  <w:jc w:val="right"/>
                </w:pPr>
                <w:r w:rsidRPr="00EE48D5">
                  <w:t>6,280</w:t>
                </w:r>
              </w:p>
            </w:tc>
            <w:tc>
              <w:tcPr>
                <w:tcW w:w="1288" w:type="dxa"/>
                <w:tcBorders>
                  <w:top w:val="nil"/>
                  <w:left w:val="single" w:sz="8" w:space="0" w:color="757171"/>
                  <w:bottom w:val="nil"/>
                  <w:right w:val="single" w:sz="8" w:space="0" w:color="757171"/>
                </w:tcBorders>
                <w:noWrap/>
                <w:hideMark/>
              </w:tcPr>
              <w:p w14:paraId="308EFED0" w14:textId="77777777" w:rsidR="003231A1" w:rsidRPr="00EE48D5" w:rsidRDefault="003231A1" w:rsidP="00565E92">
                <w:pPr>
                  <w:spacing w:after="0"/>
                  <w:jc w:val="right"/>
                </w:pPr>
                <w:r w:rsidRPr="00EE48D5">
                  <w:t>6,280</w:t>
                </w:r>
              </w:p>
            </w:tc>
            <w:tc>
              <w:tcPr>
                <w:tcW w:w="1264" w:type="dxa"/>
                <w:tcBorders>
                  <w:top w:val="nil"/>
                  <w:left w:val="nil"/>
                  <w:bottom w:val="nil"/>
                  <w:right w:val="single" w:sz="8" w:space="0" w:color="757171"/>
                </w:tcBorders>
                <w:noWrap/>
                <w:hideMark/>
              </w:tcPr>
              <w:p w14:paraId="78D231FF" w14:textId="77777777" w:rsidR="003231A1" w:rsidRPr="00EE48D5" w:rsidRDefault="003231A1" w:rsidP="00565E92">
                <w:pPr>
                  <w:spacing w:after="0"/>
                  <w:jc w:val="right"/>
                </w:pPr>
                <w:r w:rsidRPr="00EE48D5">
                  <w:t>0</w:t>
                </w:r>
              </w:p>
            </w:tc>
          </w:tr>
          <w:tr w:rsidR="003231A1" w:rsidRPr="00EE48D5" w14:paraId="559AC678" w14:textId="77777777" w:rsidTr="00A6443A">
            <w:trPr>
              <w:trHeight w:val="315"/>
            </w:trPr>
            <w:tc>
              <w:tcPr>
                <w:tcW w:w="2977" w:type="dxa"/>
                <w:tcBorders>
                  <w:top w:val="single" w:sz="8" w:space="0" w:color="757171"/>
                  <w:left w:val="single" w:sz="8" w:space="0" w:color="757171"/>
                  <w:bottom w:val="single" w:sz="8" w:space="0" w:color="757171"/>
                  <w:right w:val="single" w:sz="4" w:space="0" w:color="FFFFFF" w:themeColor="background1"/>
                </w:tcBorders>
                <w:shd w:val="clear" w:color="000000" w:fill="016574"/>
                <w:noWrap/>
                <w:vAlign w:val="bottom"/>
                <w:hideMark/>
              </w:tcPr>
              <w:p w14:paraId="190AD7BF" w14:textId="77777777" w:rsidR="003231A1" w:rsidRPr="00EE48D5" w:rsidRDefault="003231A1" w:rsidP="00565E92">
                <w:pPr>
                  <w:spacing w:after="0"/>
                  <w:rPr>
                    <w:b/>
                    <w:bCs/>
                    <w:color w:val="FFFFFF" w:themeColor="background1"/>
                  </w:rPr>
                </w:pPr>
                <w:r w:rsidRPr="00EE48D5">
                  <w:rPr>
                    <w:b/>
                    <w:bCs/>
                    <w:color w:val="FFFFFF" w:themeColor="background1"/>
                  </w:rPr>
                  <w:t>Total Operating Costs</w:t>
                </w:r>
              </w:p>
            </w:tc>
            <w:tc>
              <w:tcPr>
                <w:tcW w:w="1417"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324F1E48" w14:textId="77777777" w:rsidR="003231A1" w:rsidRPr="00EE48D5" w:rsidRDefault="003231A1" w:rsidP="00565E92">
                <w:pPr>
                  <w:spacing w:after="0"/>
                  <w:jc w:val="right"/>
                  <w:rPr>
                    <w:b/>
                    <w:bCs/>
                    <w:color w:val="FFFFFF" w:themeColor="background1"/>
                  </w:rPr>
                </w:pPr>
                <w:r w:rsidRPr="00EE48D5">
                  <w:rPr>
                    <w:b/>
                    <w:bCs/>
                    <w:color w:val="FFFFFF" w:themeColor="background1"/>
                  </w:rPr>
                  <w:t>71,284</w:t>
                </w:r>
              </w:p>
            </w:tc>
            <w:tc>
              <w:tcPr>
                <w:tcW w:w="1242"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20497851" w14:textId="77777777" w:rsidR="003231A1" w:rsidRPr="00EE48D5" w:rsidRDefault="003231A1" w:rsidP="00565E92">
                <w:pPr>
                  <w:spacing w:after="0"/>
                  <w:jc w:val="right"/>
                  <w:rPr>
                    <w:b/>
                    <w:bCs/>
                    <w:color w:val="FFFFFF" w:themeColor="background1"/>
                  </w:rPr>
                </w:pPr>
                <w:r w:rsidRPr="00EE48D5">
                  <w:rPr>
                    <w:b/>
                    <w:bCs/>
                    <w:color w:val="FFFFFF" w:themeColor="background1"/>
                  </w:rPr>
                  <w:t>72,751</w:t>
                </w:r>
              </w:p>
            </w:tc>
            <w:tc>
              <w:tcPr>
                <w:tcW w:w="1310"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3D996BD4" w14:textId="77777777" w:rsidR="003231A1" w:rsidRPr="00EE48D5" w:rsidRDefault="003231A1" w:rsidP="00565E92">
                <w:pPr>
                  <w:spacing w:after="0"/>
                  <w:jc w:val="right"/>
                  <w:rPr>
                    <w:b/>
                    <w:bCs/>
                    <w:color w:val="FFFFFF" w:themeColor="background1"/>
                  </w:rPr>
                </w:pPr>
                <w:r w:rsidRPr="00EE48D5">
                  <w:rPr>
                    <w:b/>
                    <w:bCs/>
                    <w:color w:val="FFFFFF" w:themeColor="background1"/>
                  </w:rPr>
                  <w:t>1,467</w:t>
                </w:r>
              </w:p>
            </w:tc>
            <w:tc>
              <w:tcPr>
                <w:tcW w:w="1275"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123F35BB" w14:textId="77777777" w:rsidR="003231A1" w:rsidRPr="00EE48D5" w:rsidRDefault="003231A1" w:rsidP="00565E92">
                <w:pPr>
                  <w:spacing w:after="0"/>
                  <w:jc w:val="right"/>
                  <w:rPr>
                    <w:b/>
                    <w:bCs/>
                    <w:color w:val="FFFFFF" w:themeColor="background1"/>
                  </w:rPr>
                </w:pPr>
                <w:r w:rsidRPr="00EE48D5">
                  <w:rPr>
                    <w:b/>
                    <w:bCs/>
                    <w:color w:val="FFFFFF" w:themeColor="background1"/>
                  </w:rPr>
                  <w:t>103,084</w:t>
                </w:r>
              </w:p>
            </w:tc>
            <w:tc>
              <w:tcPr>
                <w:tcW w:w="1288" w:type="dxa"/>
                <w:tcBorders>
                  <w:top w:val="single" w:sz="8" w:space="0" w:color="757171"/>
                  <w:left w:val="single" w:sz="4" w:space="0" w:color="FFFFFF" w:themeColor="background1"/>
                  <w:bottom w:val="single" w:sz="8" w:space="0" w:color="757171"/>
                  <w:right w:val="nil"/>
                </w:tcBorders>
                <w:shd w:val="clear" w:color="000000" w:fill="016574"/>
                <w:noWrap/>
                <w:hideMark/>
              </w:tcPr>
              <w:p w14:paraId="1DFD05CD" w14:textId="77777777" w:rsidR="003231A1" w:rsidRPr="00EE48D5" w:rsidRDefault="003231A1" w:rsidP="00565E92">
                <w:pPr>
                  <w:spacing w:after="0"/>
                  <w:jc w:val="right"/>
                  <w:rPr>
                    <w:b/>
                    <w:bCs/>
                    <w:color w:val="FFFFFF" w:themeColor="background1"/>
                  </w:rPr>
                </w:pPr>
                <w:r w:rsidRPr="00EE48D5">
                  <w:rPr>
                    <w:b/>
                    <w:bCs/>
                    <w:color w:val="FFFFFF" w:themeColor="background1"/>
                  </w:rPr>
                  <w:t>103,368</w:t>
                </w:r>
              </w:p>
            </w:tc>
            <w:tc>
              <w:tcPr>
                <w:tcW w:w="1264" w:type="dxa"/>
                <w:tcBorders>
                  <w:top w:val="single" w:sz="8" w:space="0" w:color="757171"/>
                  <w:left w:val="nil"/>
                  <w:bottom w:val="single" w:sz="8" w:space="0" w:color="757171"/>
                  <w:right w:val="single" w:sz="8" w:space="0" w:color="757171"/>
                </w:tcBorders>
                <w:shd w:val="clear" w:color="000000" w:fill="016574"/>
                <w:noWrap/>
                <w:hideMark/>
              </w:tcPr>
              <w:p w14:paraId="0ED44C2A" w14:textId="77777777" w:rsidR="003231A1" w:rsidRPr="00EE48D5" w:rsidRDefault="003231A1" w:rsidP="00565E92">
                <w:pPr>
                  <w:spacing w:after="0"/>
                  <w:jc w:val="right"/>
                  <w:rPr>
                    <w:b/>
                    <w:bCs/>
                    <w:color w:val="FFFFFF" w:themeColor="background1"/>
                  </w:rPr>
                </w:pPr>
                <w:r w:rsidRPr="00EE48D5">
                  <w:rPr>
                    <w:b/>
                    <w:bCs/>
                    <w:color w:val="FFFFFF" w:themeColor="background1"/>
                  </w:rPr>
                  <w:t>284</w:t>
                </w:r>
              </w:p>
            </w:tc>
          </w:tr>
          <w:tr w:rsidR="003231A1" w:rsidRPr="00EE48D5" w14:paraId="20CB6080" w14:textId="77777777" w:rsidTr="00A6443A">
            <w:trPr>
              <w:trHeight w:val="315"/>
            </w:trPr>
            <w:tc>
              <w:tcPr>
                <w:tcW w:w="2977" w:type="dxa"/>
                <w:tcBorders>
                  <w:top w:val="single" w:sz="8" w:space="0" w:color="757171"/>
                  <w:left w:val="single" w:sz="8" w:space="0" w:color="757171"/>
                  <w:bottom w:val="single" w:sz="8" w:space="0" w:color="757171"/>
                  <w:right w:val="single" w:sz="4" w:space="0" w:color="FFFFFF" w:themeColor="background1"/>
                </w:tcBorders>
                <w:shd w:val="clear" w:color="000000" w:fill="016574"/>
                <w:noWrap/>
                <w:vAlign w:val="bottom"/>
                <w:hideMark/>
              </w:tcPr>
              <w:p w14:paraId="5E0E504B" w14:textId="77777777" w:rsidR="003231A1" w:rsidRPr="00EE48D5" w:rsidRDefault="003231A1" w:rsidP="00565E92">
                <w:pPr>
                  <w:spacing w:after="0"/>
                  <w:rPr>
                    <w:b/>
                    <w:bCs/>
                    <w:color w:val="FFFFFF" w:themeColor="background1"/>
                  </w:rPr>
                </w:pPr>
                <w:r w:rsidRPr="00EE48D5">
                  <w:rPr>
                    <w:b/>
                    <w:bCs/>
                    <w:color w:val="FFFFFF" w:themeColor="background1"/>
                  </w:rPr>
                  <w:t>Operating Surplus/ (Deficit)</w:t>
                </w:r>
              </w:p>
            </w:tc>
            <w:tc>
              <w:tcPr>
                <w:tcW w:w="1417"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239DC51A" w14:textId="77777777" w:rsidR="003231A1" w:rsidRPr="00EE48D5" w:rsidRDefault="003231A1" w:rsidP="00565E92">
                <w:pPr>
                  <w:spacing w:after="0"/>
                  <w:jc w:val="right"/>
                  <w:rPr>
                    <w:b/>
                    <w:bCs/>
                    <w:color w:val="FFFFFF" w:themeColor="background1"/>
                  </w:rPr>
                </w:pPr>
                <w:r w:rsidRPr="00EE48D5">
                  <w:rPr>
                    <w:b/>
                    <w:bCs/>
                    <w:color w:val="FFFFFF" w:themeColor="background1"/>
                  </w:rPr>
                  <w:t>3,214</w:t>
                </w:r>
              </w:p>
            </w:tc>
            <w:tc>
              <w:tcPr>
                <w:tcW w:w="1242"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769F3B14" w14:textId="77777777" w:rsidR="003231A1" w:rsidRPr="00EE48D5" w:rsidRDefault="003231A1" w:rsidP="00565E92">
                <w:pPr>
                  <w:spacing w:after="0"/>
                  <w:jc w:val="right"/>
                  <w:rPr>
                    <w:b/>
                    <w:bCs/>
                    <w:color w:val="FFFFFF" w:themeColor="background1"/>
                  </w:rPr>
                </w:pPr>
                <w:r w:rsidRPr="00EE48D5">
                  <w:rPr>
                    <w:b/>
                    <w:bCs/>
                    <w:color w:val="FFFFFF" w:themeColor="background1"/>
                  </w:rPr>
                  <w:t>2,356</w:t>
                </w:r>
              </w:p>
            </w:tc>
            <w:tc>
              <w:tcPr>
                <w:tcW w:w="1310"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55AA56CA" w14:textId="77777777" w:rsidR="003231A1" w:rsidRPr="00EE48D5" w:rsidRDefault="003231A1" w:rsidP="00565E92">
                <w:pPr>
                  <w:spacing w:after="0"/>
                  <w:jc w:val="right"/>
                  <w:rPr>
                    <w:b/>
                    <w:bCs/>
                    <w:color w:val="FFFFFF" w:themeColor="background1"/>
                  </w:rPr>
                </w:pPr>
                <w:r w:rsidRPr="00EE48D5">
                  <w:rPr>
                    <w:b/>
                    <w:bCs/>
                    <w:color w:val="FFFFFF" w:themeColor="background1"/>
                  </w:rPr>
                  <w:t>858</w:t>
                </w:r>
              </w:p>
            </w:tc>
            <w:tc>
              <w:tcPr>
                <w:tcW w:w="1275"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10D40B84" w14:textId="77777777" w:rsidR="003231A1" w:rsidRPr="00EE48D5" w:rsidRDefault="003231A1" w:rsidP="00565E92">
                <w:pPr>
                  <w:spacing w:after="0"/>
                  <w:jc w:val="right"/>
                  <w:rPr>
                    <w:b/>
                    <w:bCs/>
                    <w:color w:val="FFFFFF" w:themeColor="background1"/>
                  </w:rPr>
                </w:pPr>
                <w:r w:rsidRPr="00EE48D5">
                  <w:rPr>
                    <w:b/>
                    <w:bCs/>
                    <w:color w:val="FFFFFF" w:themeColor="background1"/>
                  </w:rPr>
                  <w:t>0</w:t>
                </w:r>
              </w:p>
            </w:tc>
            <w:tc>
              <w:tcPr>
                <w:tcW w:w="1288"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31CA8DC4" w14:textId="77777777" w:rsidR="003231A1" w:rsidRPr="00EE48D5" w:rsidRDefault="003231A1" w:rsidP="00565E92">
                <w:pPr>
                  <w:spacing w:after="0"/>
                  <w:jc w:val="right"/>
                  <w:rPr>
                    <w:b/>
                    <w:bCs/>
                    <w:color w:val="FFFFFF" w:themeColor="background1"/>
                  </w:rPr>
                </w:pPr>
                <w:r w:rsidRPr="00EE48D5">
                  <w:rPr>
                    <w:b/>
                    <w:bCs/>
                    <w:color w:val="FFFFFF" w:themeColor="background1"/>
                  </w:rPr>
                  <w:t>0</w:t>
                </w:r>
              </w:p>
            </w:tc>
            <w:tc>
              <w:tcPr>
                <w:tcW w:w="1264" w:type="dxa"/>
                <w:tcBorders>
                  <w:top w:val="single" w:sz="8" w:space="0" w:color="757171"/>
                  <w:left w:val="single" w:sz="4" w:space="0" w:color="FFFFFF" w:themeColor="background1"/>
                  <w:bottom w:val="single" w:sz="8" w:space="0" w:color="757171"/>
                  <w:right w:val="single" w:sz="8" w:space="0" w:color="757171"/>
                </w:tcBorders>
                <w:shd w:val="clear" w:color="000000" w:fill="016574"/>
                <w:noWrap/>
                <w:hideMark/>
              </w:tcPr>
              <w:p w14:paraId="42AD5545" w14:textId="77777777" w:rsidR="003231A1" w:rsidRPr="00EE48D5" w:rsidRDefault="003231A1" w:rsidP="00565E92">
                <w:pPr>
                  <w:spacing w:after="0"/>
                  <w:jc w:val="right"/>
                  <w:rPr>
                    <w:b/>
                    <w:bCs/>
                    <w:color w:val="FFFFFF" w:themeColor="background1"/>
                  </w:rPr>
                </w:pPr>
                <w:r w:rsidRPr="00EE48D5">
                  <w:rPr>
                    <w:b/>
                    <w:bCs/>
                    <w:color w:val="FFFFFF" w:themeColor="background1"/>
                  </w:rPr>
                  <w:t>0</w:t>
                </w:r>
              </w:p>
            </w:tc>
          </w:tr>
        </w:tbl>
        <w:p w14:paraId="0E1C15A8" w14:textId="6B80065D" w:rsidR="00BD7F80" w:rsidRPr="00CD7997" w:rsidRDefault="00BD7F80" w:rsidP="00CD7997"/>
        <w:p w14:paraId="50E17BF4" w14:textId="7D8EA033" w:rsidR="00114EA4" w:rsidRPr="007C3145" w:rsidRDefault="004564D4" w:rsidP="000D6B11">
          <w:pPr>
            <w:pStyle w:val="Heading2"/>
            <w:numPr>
              <w:ilvl w:val="0"/>
              <w:numId w:val="10"/>
            </w:numPr>
            <w:ind w:hanging="578"/>
            <w:rPr>
              <w:rStyle w:val="eop"/>
              <w:color w:val="auto"/>
              <w:sz w:val="28"/>
              <w:szCs w:val="28"/>
            </w:rPr>
          </w:pPr>
          <w:r w:rsidRPr="007C3145">
            <w:rPr>
              <w:rStyle w:val="normaltextrun"/>
              <w:color w:val="auto"/>
              <w:sz w:val="28"/>
              <w:szCs w:val="28"/>
            </w:rPr>
            <w:t>Net results</w:t>
          </w:r>
          <w:r w:rsidR="003A1121" w:rsidRPr="007C3145">
            <w:rPr>
              <w:rStyle w:val="normaltextrun"/>
              <w:color w:val="auto"/>
              <w:sz w:val="28"/>
              <w:szCs w:val="28"/>
            </w:rPr>
            <w:t xml:space="preserve"> </w:t>
          </w:r>
          <w:r w:rsidR="00AA48C9" w:rsidRPr="007C3145">
            <w:rPr>
              <w:rStyle w:val="normaltextrun"/>
              <w:color w:val="auto"/>
              <w:sz w:val="28"/>
              <w:szCs w:val="28"/>
            </w:rPr>
            <w:t>–</w:t>
          </w:r>
          <w:r w:rsidR="003A1121" w:rsidRPr="007C3145">
            <w:rPr>
              <w:rStyle w:val="normaltextrun"/>
              <w:color w:val="auto"/>
              <w:sz w:val="28"/>
              <w:szCs w:val="28"/>
            </w:rPr>
            <w:t xml:space="preserve"> </w:t>
          </w:r>
          <w:r w:rsidR="001E4173" w:rsidRPr="007C3145">
            <w:rPr>
              <w:rStyle w:val="normaltextrun"/>
              <w:color w:val="auto"/>
              <w:sz w:val="28"/>
              <w:szCs w:val="28"/>
            </w:rPr>
            <w:t>b</w:t>
          </w:r>
          <w:r w:rsidR="00813FCC" w:rsidRPr="007C3145">
            <w:rPr>
              <w:rStyle w:val="normaltextrun"/>
              <w:color w:val="auto"/>
              <w:sz w:val="28"/>
              <w:szCs w:val="28"/>
            </w:rPr>
            <w:t xml:space="preserve">alanced </w:t>
          </w:r>
          <w:r w:rsidR="00A1025B" w:rsidRPr="007C3145">
            <w:rPr>
              <w:rStyle w:val="normaltextrun"/>
              <w:color w:val="auto"/>
              <w:sz w:val="28"/>
              <w:szCs w:val="28"/>
            </w:rPr>
            <w:t>b</w:t>
          </w:r>
          <w:r w:rsidR="00813FCC" w:rsidRPr="007C3145">
            <w:rPr>
              <w:rStyle w:val="normaltextrun"/>
              <w:color w:val="auto"/>
              <w:sz w:val="28"/>
              <w:szCs w:val="28"/>
            </w:rPr>
            <w:t>udget</w:t>
          </w:r>
        </w:p>
        <w:p w14:paraId="2215EF3C" w14:textId="0CB6FE47" w:rsidR="00A1025B" w:rsidRDefault="0080188B" w:rsidP="00A1025B">
          <w:pPr>
            <w:pStyle w:val="ListParagraph"/>
            <w:numPr>
              <w:ilvl w:val="0"/>
              <w:numId w:val="6"/>
            </w:numPr>
            <w:ind w:hanging="651"/>
            <w:contextualSpacing w:val="0"/>
          </w:pPr>
          <w:bookmarkStart w:id="1" w:name="_Hlk121845523"/>
          <w:r w:rsidRPr="0080188B">
            <w:t>Net results for the full year forecast a balanced budget, it should be noted that the 2024-2025 budget was set net of £3.5m savings in staff costs. These savings are forecast to be met in full</w:t>
          </w:r>
          <w:r w:rsidR="00D9419D">
            <w:t>.</w:t>
          </w:r>
        </w:p>
        <w:p w14:paraId="650D7E23" w14:textId="73C240BE" w:rsidR="001F164A" w:rsidRPr="001F164A" w:rsidRDefault="00F07F3D" w:rsidP="00A1025B">
          <w:pPr>
            <w:pStyle w:val="ListParagraph"/>
            <w:numPr>
              <w:ilvl w:val="0"/>
              <w:numId w:val="6"/>
            </w:numPr>
            <w:ind w:hanging="651"/>
            <w:contextualSpacing w:val="0"/>
          </w:pPr>
          <w:r w:rsidRPr="00F07F3D">
            <w:t>At</w:t>
          </w:r>
          <w:r w:rsidR="00356FDA">
            <w:t xml:space="preserve"> </w:t>
          </w:r>
          <w:r w:rsidR="00356FDA" w:rsidRPr="00356FDA">
            <w:t xml:space="preserve">Q3 (period 1 April 2024 to 31 December 2024), the year-to-date variance of £0.85m is due to £1.5m lower than budgeted expenditure offset by £0.6m lower than budgeted income. The </w:t>
          </w:r>
          <w:r w:rsidR="00303485">
            <w:t>in year one off</w:t>
          </w:r>
          <w:r w:rsidR="00356FDA" w:rsidRPr="00356FDA">
            <w:t xml:space="preserve"> underspend will be fully utilised on corporate priorities which support transformation, resulting in a break-even position by the year </w:t>
          </w:r>
          <w:r w:rsidR="00D1603F" w:rsidRPr="00356FDA">
            <w:t>end</w:t>
          </w:r>
          <w:r w:rsidR="00D1603F">
            <w:t>.</w:t>
          </w:r>
        </w:p>
        <w:bookmarkEnd w:id="1"/>
        <w:p w14:paraId="6AC365E2" w14:textId="405CF65D" w:rsidR="00BF63D5" w:rsidRPr="001F164A" w:rsidRDefault="00421664" w:rsidP="00A1025B">
          <w:pPr>
            <w:pStyle w:val="ListParagraph"/>
            <w:numPr>
              <w:ilvl w:val="0"/>
              <w:numId w:val="6"/>
            </w:numPr>
            <w:ind w:hanging="651"/>
            <w:contextualSpacing w:val="0"/>
          </w:pPr>
          <w:r w:rsidRPr="00421664">
            <w:lastRenderedPageBreak/>
            <w:t>Variances by accounting spend category will be explained in the remainder of the paper with the focus being on full year forecast</w:t>
          </w:r>
          <w:r>
            <w:t>.</w:t>
          </w:r>
        </w:p>
        <w:p w14:paraId="288DE17B" w14:textId="269BDC2D" w:rsidR="00AE1B91" w:rsidRPr="000D6B11" w:rsidRDefault="004564D4" w:rsidP="000D6B11">
          <w:pPr>
            <w:pStyle w:val="Heading2"/>
            <w:numPr>
              <w:ilvl w:val="0"/>
              <w:numId w:val="10"/>
            </w:numPr>
            <w:ind w:hanging="578"/>
            <w:rPr>
              <w:rStyle w:val="normaltextrun"/>
              <w:color w:val="auto"/>
              <w:sz w:val="28"/>
              <w:szCs w:val="28"/>
            </w:rPr>
          </w:pPr>
          <w:r w:rsidRPr="000D6B11">
            <w:rPr>
              <w:rStyle w:val="normaltextrun"/>
              <w:color w:val="auto"/>
              <w:sz w:val="28"/>
              <w:szCs w:val="28"/>
            </w:rPr>
            <w:t>Total income</w:t>
          </w:r>
          <w:r w:rsidR="1829289E" w:rsidRPr="000D6B11">
            <w:rPr>
              <w:rStyle w:val="normaltextrun"/>
              <w:color w:val="auto"/>
              <w:sz w:val="28"/>
              <w:szCs w:val="28"/>
            </w:rPr>
            <w:t xml:space="preserve"> </w:t>
          </w:r>
          <w:r w:rsidR="003A1121" w:rsidRPr="000D6B11">
            <w:rPr>
              <w:rStyle w:val="normaltextrun"/>
              <w:color w:val="auto"/>
              <w:sz w:val="28"/>
              <w:szCs w:val="28"/>
            </w:rPr>
            <w:t xml:space="preserve">- </w:t>
          </w:r>
          <w:r w:rsidR="00C33DCE" w:rsidRPr="000D6B11">
            <w:rPr>
              <w:rStyle w:val="normaltextrun"/>
              <w:color w:val="auto"/>
              <w:sz w:val="28"/>
              <w:szCs w:val="28"/>
            </w:rPr>
            <w:t>£</w:t>
          </w:r>
          <w:r w:rsidR="009F42DB" w:rsidRPr="000D6B11">
            <w:rPr>
              <w:rStyle w:val="normaltextrun"/>
              <w:color w:val="auto"/>
              <w:sz w:val="28"/>
              <w:szCs w:val="28"/>
            </w:rPr>
            <w:t>103.</w:t>
          </w:r>
          <w:r w:rsidR="00356FDA" w:rsidRPr="000D6B11">
            <w:rPr>
              <w:rStyle w:val="normaltextrun"/>
              <w:color w:val="auto"/>
              <w:sz w:val="28"/>
              <w:szCs w:val="28"/>
            </w:rPr>
            <w:t>1</w:t>
          </w:r>
          <w:r w:rsidR="009F42DB" w:rsidRPr="000D6B11">
            <w:rPr>
              <w:rStyle w:val="normaltextrun"/>
              <w:color w:val="auto"/>
              <w:sz w:val="28"/>
              <w:szCs w:val="28"/>
            </w:rPr>
            <w:t>m</w:t>
          </w:r>
          <w:r w:rsidR="0093578D" w:rsidRPr="000D6B11">
            <w:rPr>
              <w:rStyle w:val="normaltextrun"/>
              <w:color w:val="auto"/>
              <w:sz w:val="28"/>
              <w:szCs w:val="28"/>
            </w:rPr>
            <w:t xml:space="preserve"> </w:t>
          </w:r>
        </w:p>
        <w:p w14:paraId="08D4CA4F" w14:textId="77777777" w:rsidR="00356FDA" w:rsidRPr="00356FDA" w:rsidRDefault="00425E5D" w:rsidP="00227C94">
          <w:pPr>
            <w:pStyle w:val="ListParagraph"/>
            <w:numPr>
              <w:ilvl w:val="0"/>
              <w:numId w:val="11"/>
            </w:numPr>
            <w:ind w:left="1378" w:hanging="992"/>
          </w:pPr>
          <w:r w:rsidRPr="00425E5D">
            <w:t>Total i</w:t>
          </w:r>
          <w:r w:rsidRPr="4D03E4DF">
            <w:t>ncome for the full year is forecast at £</w:t>
          </w:r>
          <w:r w:rsidR="009F42DB">
            <w:t>103.</w:t>
          </w:r>
          <w:r w:rsidR="00356FDA">
            <w:t>1</w:t>
          </w:r>
          <w:r w:rsidRPr="4D03E4DF">
            <w:t xml:space="preserve">m </w:t>
          </w:r>
          <w:r w:rsidR="00356FDA" w:rsidRPr="00356FDA">
            <w:t xml:space="preserve">or £0.3m less than the full year budget </w:t>
          </w:r>
          <w:proofErr w:type="gramStart"/>
          <w:r w:rsidR="00356FDA" w:rsidRPr="00356FDA">
            <w:t>as a result of</w:t>
          </w:r>
          <w:proofErr w:type="gramEnd"/>
          <w:r w:rsidR="00356FDA" w:rsidRPr="00356FDA">
            <w:t xml:space="preserve"> decreased charging fees mainly from radioactive substances, water and special waste consignment notes. </w:t>
          </w:r>
        </w:p>
        <w:p w14:paraId="409FB346" w14:textId="797CF2AB" w:rsidR="00A1039C" w:rsidRPr="00DA21E9" w:rsidRDefault="00A1039C" w:rsidP="00EF0BAC">
          <w:pPr>
            <w:pStyle w:val="Heading4"/>
          </w:pPr>
          <w:r w:rsidRPr="00DA21E9">
            <w:t>Grant in Aid (</w:t>
          </w:r>
          <w:proofErr w:type="spellStart"/>
          <w:r w:rsidRPr="00DA21E9">
            <w:t>GiA</w:t>
          </w:r>
          <w:proofErr w:type="spellEnd"/>
          <w:r w:rsidRPr="00DA21E9">
            <w:t>)</w:t>
          </w:r>
        </w:p>
        <w:p w14:paraId="08E36E60" w14:textId="1910840D" w:rsidR="00103B18" w:rsidRPr="00103B18" w:rsidRDefault="00103B18" w:rsidP="00EF0BAC">
          <w:pPr>
            <w:pStyle w:val="Heading4"/>
          </w:pPr>
          <w:r>
            <w:t xml:space="preserve">Table </w:t>
          </w:r>
          <w:r w:rsidR="00FB0970">
            <w:t>2</w:t>
          </w:r>
          <w:r w:rsidR="00B05DD9">
            <w:t>:</w:t>
          </w:r>
          <w:r w:rsidR="00FB0970">
            <w:t xml:space="preserve"> </w:t>
          </w:r>
          <w:proofErr w:type="spellStart"/>
          <w:r w:rsidR="00FF4DE4">
            <w:t>G</w:t>
          </w:r>
          <w:r w:rsidR="0041478E">
            <w:t>i</w:t>
          </w:r>
          <w:r w:rsidR="00FF4DE4">
            <w:t>A</w:t>
          </w:r>
          <w:proofErr w:type="spellEnd"/>
          <w:r>
            <w:t xml:space="preserve"> budget allocation</w:t>
          </w:r>
        </w:p>
        <w:tbl>
          <w:tblPr>
            <w:tblW w:w="7628" w:type="dxa"/>
            <w:tblInd w:w="841" w:type="dxa"/>
            <w:tblCellMar>
              <w:top w:w="15" w:type="dxa"/>
              <w:bottom w:w="15" w:type="dxa"/>
            </w:tblCellMar>
            <w:tblLook w:val="04A0" w:firstRow="1" w:lastRow="0" w:firstColumn="1" w:lastColumn="0" w:noHBand="0" w:noVBand="1"/>
          </w:tblPr>
          <w:tblGrid>
            <w:gridCol w:w="3740"/>
            <w:gridCol w:w="1310"/>
            <w:gridCol w:w="1310"/>
            <w:gridCol w:w="1268"/>
          </w:tblGrid>
          <w:tr w:rsidR="00DB3955" w:rsidRPr="00DB3955" w14:paraId="693ACBFA" w14:textId="77777777" w:rsidTr="00A72CBA">
            <w:trPr>
              <w:cantSplit/>
              <w:trHeight w:val="1245"/>
              <w:tblHeader/>
            </w:trPr>
            <w:tc>
              <w:tcPr>
                <w:tcW w:w="3740" w:type="dxa"/>
                <w:tcBorders>
                  <w:top w:val="nil"/>
                  <w:left w:val="single" w:sz="8" w:space="0" w:color="757171"/>
                  <w:bottom w:val="nil"/>
                  <w:right w:val="single" w:sz="4" w:space="0" w:color="FFFFFF" w:themeColor="background1"/>
                </w:tcBorders>
                <w:shd w:val="clear" w:color="000000" w:fill="016574"/>
                <w:noWrap/>
                <w:vAlign w:val="bottom"/>
                <w:hideMark/>
              </w:tcPr>
              <w:p w14:paraId="321102F7" w14:textId="77777777" w:rsidR="00DB3955" w:rsidRPr="00DB3955" w:rsidRDefault="00DB3955" w:rsidP="00565E92">
                <w:pPr>
                  <w:spacing w:after="0"/>
                  <w:rPr>
                    <w:rFonts w:ascii="Times New Roman" w:eastAsia="Times New Roman" w:hAnsi="Times New Roman" w:cs="Times New Roman"/>
                    <w:lang w:eastAsia="en-GB"/>
                  </w:rPr>
                </w:pPr>
              </w:p>
            </w:tc>
            <w:tc>
              <w:tcPr>
                <w:tcW w:w="1310"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hideMark/>
              </w:tcPr>
              <w:p w14:paraId="51AB958C" w14:textId="6C4C1A76" w:rsidR="00DB3955" w:rsidRPr="00DB3955" w:rsidRDefault="00DB3955" w:rsidP="00565E92">
                <w:pPr>
                  <w:spacing w:after="0"/>
                  <w:jc w:val="right"/>
                  <w:rPr>
                    <w:rFonts w:ascii="Arial" w:eastAsia="Times New Roman" w:hAnsi="Arial" w:cs="Arial"/>
                    <w:b/>
                    <w:bCs/>
                    <w:color w:val="FFFFFF"/>
                    <w:lang w:eastAsia="en-GB"/>
                  </w:rPr>
                </w:pPr>
                <w:r w:rsidRPr="00DB3955">
                  <w:rPr>
                    <w:rFonts w:ascii="Arial" w:eastAsia="Times New Roman" w:hAnsi="Arial" w:cs="Arial"/>
                    <w:b/>
                    <w:bCs/>
                    <w:color w:val="FFFFFF"/>
                    <w:lang w:eastAsia="en-GB"/>
                  </w:rPr>
                  <w:t>Resource Budget Cash</w:t>
                </w:r>
                <w:r w:rsidR="00722297">
                  <w:rPr>
                    <w:rFonts w:ascii="Arial" w:eastAsia="Times New Roman" w:hAnsi="Arial" w:cs="Arial"/>
                    <w:b/>
                    <w:bCs/>
                    <w:color w:val="FFFFFF"/>
                    <w:lang w:eastAsia="en-GB"/>
                  </w:rPr>
                  <w:t xml:space="preserve"> </w:t>
                </w:r>
                <w:r w:rsidRPr="00DB3955">
                  <w:rPr>
                    <w:rFonts w:ascii="Arial" w:eastAsia="Times New Roman" w:hAnsi="Arial" w:cs="Arial"/>
                    <w:b/>
                    <w:bCs/>
                    <w:color w:val="FFFFFF"/>
                    <w:lang w:eastAsia="en-GB"/>
                  </w:rPr>
                  <w:t>£000s</w:t>
                </w:r>
              </w:p>
            </w:tc>
            <w:tc>
              <w:tcPr>
                <w:tcW w:w="1310"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hideMark/>
              </w:tcPr>
              <w:p w14:paraId="3E94F134" w14:textId="206C3DED" w:rsidR="00DB3955" w:rsidRPr="00DB3955" w:rsidRDefault="00DB3955" w:rsidP="00565E92">
                <w:pPr>
                  <w:spacing w:after="0"/>
                  <w:jc w:val="right"/>
                  <w:rPr>
                    <w:rFonts w:ascii="Arial" w:eastAsia="Times New Roman" w:hAnsi="Arial" w:cs="Arial"/>
                    <w:b/>
                    <w:bCs/>
                    <w:color w:val="FFFFFF"/>
                    <w:lang w:eastAsia="en-GB"/>
                  </w:rPr>
                </w:pPr>
                <w:r w:rsidRPr="00DB3955">
                  <w:rPr>
                    <w:rFonts w:ascii="Arial" w:eastAsia="Times New Roman" w:hAnsi="Arial" w:cs="Arial"/>
                    <w:b/>
                    <w:bCs/>
                    <w:color w:val="FFFFFF"/>
                    <w:lang w:eastAsia="en-GB"/>
                  </w:rPr>
                  <w:t>Resource Budget Non</w:t>
                </w:r>
                <w:r w:rsidR="00722297">
                  <w:rPr>
                    <w:rFonts w:ascii="Arial" w:eastAsia="Times New Roman" w:hAnsi="Arial" w:cs="Arial"/>
                    <w:b/>
                    <w:bCs/>
                    <w:color w:val="FFFFFF"/>
                    <w:lang w:eastAsia="en-GB"/>
                  </w:rPr>
                  <w:t>-</w:t>
                </w:r>
                <w:r w:rsidRPr="00DB3955">
                  <w:rPr>
                    <w:rFonts w:ascii="Arial" w:eastAsia="Times New Roman" w:hAnsi="Arial" w:cs="Arial"/>
                    <w:b/>
                    <w:bCs/>
                    <w:color w:val="FFFFFF"/>
                    <w:lang w:eastAsia="en-GB"/>
                  </w:rPr>
                  <w:t>Cash £000s</w:t>
                </w:r>
              </w:p>
            </w:tc>
            <w:tc>
              <w:tcPr>
                <w:tcW w:w="1268" w:type="dxa"/>
                <w:tcBorders>
                  <w:top w:val="single" w:sz="8" w:space="0" w:color="757171"/>
                  <w:left w:val="single" w:sz="4" w:space="0" w:color="FFFFFF" w:themeColor="background1"/>
                  <w:bottom w:val="single" w:sz="8" w:space="0" w:color="757171"/>
                  <w:right w:val="single" w:sz="8" w:space="0" w:color="757171"/>
                </w:tcBorders>
                <w:shd w:val="clear" w:color="000000" w:fill="016574"/>
                <w:hideMark/>
              </w:tcPr>
              <w:p w14:paraId="72F62D75" w14:textId="77777777" w:rsidR="00DB3955" w:rsidRPr="00DB3955" w:rsidRDefault="00DB3955" w:rsidP="00565E92">
                <w:pPr>
                  <w:spacing w:after="0"/>
                  <w:jc w:val="right"/>
                  <w:rPr>
                    <w:rFonts w:ascii="Arial" w:eastAsia="Times New Roman" w:hAnsi="Arial" w:cs="Arial"/>
                    <w:b/>
                    <w:bCs/>
                    <w:color w:val="FFFFFF"/>
                    <w:lang w:eastAsia="en-GB"/>
                  </w:rPr>
                </w:pPr>
                <w:r w:rsidRPr="00DB3955">
                  <w:rPr>
                    <w:rFonts w:ascii="Arial" w:eastAsia="Times New Roman" w:hAnsi="Arial" w:cs="Arial"/>
                    <w:b/>
                    <w:bCs/>
                    <w:color w:val="FFFFFF"/>
                    <w:lang w:eastAsia="en-GB"/>
                  </w:rPr>
                  <w:t>Total £000s</w:t>
                </w:r>
              </w:p>
            </w:tc>
          </w:tr>
          <w:tr w:rsidR="00DB3955" w:rsidRPr="00DB3955" w14:paraId="6771C1F1" w14:textId="77777777" w:rsidTr="00A72CBA">
            <w:trPr>
              <w:cantSplit/>
              <w:trHeight w:val="360"/>
            </w:trPr>
            <w:tc>
              <w:tcPr>
                <w:tcW w:w="3740" w:type="dxa"/>
                <w:tcBorders>
                  <w:top w:val="single" w:sz="8" w:space="0" w:color="757171"/>
                  <w:left w:val="single" w:sz="8" w:space="0" w:color="757171"/>
                  <w:bottom w:val="single" w:sz="8" w:space="0" w:color="757171"/>
                  <w:right w:val="nil"/>
                </w:tcBorders>
                <w:shd w:val="clear" w:color="000000" w:fill="FFFFFF"/>
                <w:noWrap/>
                <w:hideMark/>
              </w:tcPr>
              <w:p w14:paraId="0FB01402" w14:textId="77777777" w:rsidR="00DB3955" w:rsidRPr="00DB3955" w:rsidRDefault="00DB3955" w:rsidP="00565E92">
                <w:pPr>
                  <w:spacing w:after="0"/>
                  <w:rPr>
                    <w:rFonts w:ascii="Arial" w:eastAsia="Times New Roman" w:hAnsi="Arial" w:cs="Arial"/>
                    <w:lang w:eastAsia="en-GB"/>
                  </w:rPr>
                </w:pPr>
                <w:r w:rsidRPr="00DB3955">
                  <w:rPr>
                    <w:rFonts w:ascii="Arial" w:eastAsia="Times New Roman" w:hAnsi="Arial" w:cs="Arial"/>
                    <w:lang w:eastAsia="en-GB"/>
                  </w:rPr>
                  <w:t>Base Budget Allocation 2024-25</w:t>
                </w:r>
              </w:p>
            </w:tc>
            <w:tc>
              <w:tcPr>
                <w:tcW w:w="1310" w:type="dxa"/>
                <w:tcBorders>
                  <w:top w:val="single" w:sz="8" w:space="0" w:color="757171"/>
                  <w:left w:val="single" w:sz="8" w:space="0" w:color="757171"/>
                  <w:bottom w:val="single" w:sz="8" w:space="0" w:color="757171"/>
                  <w:right w:val="nil"/>
                </w:tcBorders>
                <w:shd w:val="clear" w:color="000000" w:fill="FFFFFF"/>
                <w:noWrap/>
                <w:hideMark/>
              </w:tcPr>
              <w:p w14:paraId="70FC5090" w14:textId="77777777" w:rsidR="00DB3955" w:rsidRPr="00DB3955" w:rsidRDefault="00DB3955" w:rsidP="00565E92">
                <w:pPr>
                  <w:spacing w:after="0"/>
                  <w:jc w:val="right"/>
                  <w:rPr>
                    <w:rFonts w:ascii="Arial" w:eastAsia="Times New Roman" w:hAnsi="Arial" w:cs="Arial"/>
                    <w:lang w:eastAsia="en-GB"/>
                  </w:rPr>
                </w:pPr>
                <w:r w:rsidRPr="00DB3955">
                  <w:rPr>
                    <w:rFonts w:ascii="Arial" w:eastAsia="Times New Roman" w:hAnsi="Arial" w:cs="Arial"/>
                    <w:lang w:eastAsia="en-GB"/>
                  </w:rPr>
                  <w:t>39,911</w:t>
                </w:r>
              </w:p>
            </w:tc>
            <w:tc>
              <w:tcPr>
                <w:tcW w:w="1310" w:type="dxa"/>
                <w:tcBorders>
                  <w:top w:val="single" w:sz="8" w:space="0" w:color="757171"/>
                  <w:left w:val="single" w:sz="8" w:space="0" w:color="757171"/>
                  <w:bottom w:val="single" w:sz="8" w:space="0" w:color="757171"/>
                  <w:right w:val="nil"/>
                </w:tcBorders>
                <w:shd w:val="clear" w:color="000000" w:fill="FFFFFF"/>
                <w:noWrap/>
                <w:hideMark/>
              </w:tcPr>
              <w:p w14:paraId="1AAB9B3A" w14:textId="77777777" w:rsidR="00DB3955" w:rsidRPr="00DB3955" w:rsidRDefault="00DB3955" w:rsidP="00565E92">
                <w:pPr>
                  <w:spacing w:after="0"/>
                  <w:jc w:val="right"/>
                  <w:rPr>
                    <w:rFonts w:ascii="Arial" w:eastAsia="Times New Roman" w:hAnsi="Arial" w:cs="Arial"/>
                    <w:lang w:eastAsia="en-GB"/>
                  </w:rPr>
                </w:pPr>
                <w:r w:rsidRPr="00DB3955">
                  <w:rPr>
                    <w:rFonts w:ascii="Arial" w:eastAsia="Times New Roman" w:hAnsi="Arial" w:cs="Arial"/>
                    <w:lang w:eastAsia="en-GB"/>
                  </w:rPr>
                  <w:t>6,280</w:t>
                </w:r>
              </w:p>
            </w:tc>
            <w:tc>
              <w:tcPr>
                <w:tcW w:w="1268" w:type="dxa"/>
                <w:tcBorders>
                  <w:top w:val="single" w:sz="8" w:space="0" w:color="757171"/>
                  <w:left w:val="single" w:sz="8" w:space="0" w:color="757171"/>
                  <w:bottom w:val="single" w:sz="8" w:space="0" w:color="757171"/>
                  <w:right w:val="single" w:sz="8" w:space="0" w:color="757171"/>
                </w:tcBorders>
                <w:shd w:val="clear" w:color="000000" w:fill="FFFFFF"/>
                <w:noWrap/>
                <w:hideMark/>
              </w:tcPr>
              <w:p w14:paraId="446EBDBD" w14:textId="77777777" w:rsidR="00DB3955" w:rsidRPr="00DB3955" w:rsidRDefault="00DB3955" w:rsidP="00565E92">
                <w:pPr>
                  <w:spacing w:after="0"/>
                  <w:jc w:val="right"/>
                  <w:rPr>
                    <w:rFonts w:ascii="Arial" w:eastAsia="Times New Roman" w:hAnsi="Arial" w:cs="Arial"/>
                    <w:lang w:eastAsia="en-GB"/>
                  </w:rPr>
                </w:pPr>
                <w:r w:rsidRPr="00DB3955">
                  <w:rPr>
                    <w:rFonts w:ascii="Arial" w:eastAsia="Times New Roman" w:hAnsi="Arial" w:cs="Arial"/>
                    <w:lang w:eastAsia="en-GB"/>
                  </w:rPr>
                  <w:t>46,191</w:t>
                </w:r>
              </w:p>
            </w:tc>
          </w:tr>
          <w:tr w:rsidR="00A6443A" w:rsidRPr="00DB3955" w14:paraId="1FB75E0A" w14:textId="77777777" w:rsidTr="00A72CBA">
            <w:trPr>
              <w:cantSplit/>
              <w:trHeight w:val="315"/>
            </w:trPr>
            <w:tc>
              <w:tcPr>
                <w:tcW w:w="3740" w:type="dxa"/>
                <w:tcBorders>
                  <w:top w:val="single" w:sz="8" w:space="0" w:color="757171"/>
                  <w:left w:val="single" w:sz="8" w:space="0" w:color="757171"/>
                  <w:bottom w:val="single" w:sz="8" w:space="0" w:color="757171"/>
                  <w:right w:val="single" w:sz="4" w:space="0" w:color="FFFFFF" w:themeColor="background1"/>
                </w:tcBorders>
                <w:shd w:val="clear" w:color="000000" w:fill="016574"/>
                <w:noWrap/>
                <w:hideMark/>
              </w:tcPr>
              <w:p w14:paraId="21076353" w14:textId="77777777" w:rsidR="00DB3955" w:rsidRPr="00DB3955" w:rsidRDefault="00DB3955" w:rsidP="00565E92">
                <w:pPr>
                  <w:spacing w:after="0"/>
                  <w:rPr>
                    <w:rFonts w:ascii="Arial" w:eastAsia="Times New Roman" w:hAnsi="Arial" w:cs="Arial"/>
                    <w:b/>
                    <w:bCs/>
                    <w:color w:val="FFFFFF"/>
                    <w:lang w:eastAsia="en-GB"/>
                  </w:rPr>
                </w:pPr>
                <w:r w:rsidRPr="00DB3955">
                  <w:rPr>
                    <w:rFonts w:ascii="Arial" w:eastAsia="Times New Roman" w:hAnsi="Arial" w:cs="Arial"/>
                    <w:b/>
                    <w:bCs/>
                    <w:color w:val="FFFFFF"/>
                    <w:lang w:eastAsia="en-GB"/>
                  </w:rPr>
                  <w:t>Budget Adjustments</w:t>
                </w:r>
              </w:p>
            </w:tc>
            <w:tc>
              <w:tcPr>
                <w:tcW w:w="1310"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337A342E" w14:textId="77777777" w:rsidR="00DB3955" w:rsidRPr="00DB3955" w:rsidRDefault="00DB3955" w:rsidP="00565E92">
                <w:pPr>
                  <w:spacing w:after="0"/>
                  <w:jc w:val="right"/>
                  <w:rPr>
                    <w:rFonts w:ascii="Arial" w:eastAsia="Times New Roman" w:hAnsi="Arial" w:cs="Arial"/>
                    <w:b/>
                    <w:bCs/>
                    <w:color w:val="FFFFFF"/>
                    <w:lang w:eastAsia="en-GB"/>
                  </w:rPr>
                </w:pPr>
              </w:p>
            </w:tc>
            <w:tc>
              <w:tcPr>
                <w:tcW w:w="1310"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7230980F" w14:textId="77777777" w:rsidR="00DB3955" w:rsidRPr="00DB3955" w:rsidRDefault="00DB3955" w:rsidP="00565E92">
                <w:pPr>
                  <w:spacing w:after="0"/>
                  <w:jc w:val="right"/>
                  <w:rPr>
                    <w:rFonts w:ascii="Times New Roman" w:eastAsia="Times New Roman" w:hAnsi="Times New Roman" w:cs="Times New Roman"/>
                    <w:sz w:val="20"/>
                    <w:szCs w:val="20"/>
                    <w:lang w:eastAsia="en-GB"/>
                  </w:rPr>
                </w:pPr>
              </w:p>
            </w:tc>
            <w:tc>
              <w:tcPr>
                <w:tcW w:w="1268"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4D465F00" w14:textId="77777777" w:rsidR="00DB3955" w:rsidRPr="00DB3955" w:rsidRDefault="00DB3955" w:rsidP="00565E92">
                <w:pPr>
                  <w:spacing w:after="0"/>
                  <w:jc w:val="right"/>
                  <w:rPr>
                    <w:rFonts w:ascii="Times New Roman" w:eastAsia="Times New Roman" w:hAnsi="Times New Roman" w:cs="Times New Roman"/>
                    <w:sz w:val="20"/>
                    <w:szCs w:val="20"/>
                    <w:lang w:eastAsia="en-GB"/>
                  </w:rPr>
                </w:pPr>
              </w:p>
            </w:tc>
          </w:tr>
          <w:tr w:rsidR="00DB3955" w:rsidRPr="00DB3955" w14:paraId="19D0FA8E" w14:textId="77777777" w:rsidTr="00A72CBA">
            <w:trPr>
              <w:cantSplit/>
              <w:trHeight w:val="300"/>
            </w:trPr>
            <w:tc>
              <w:tcPr>
                <w:tcW w:w="3740" w:type="dxa"/>
                <w:tcBorders>
                  <w:top w:val="single" w:sz="8" w:space="0" w:color="757171"/>
                  <w:left w:val="single" w:sz="8" w:space="0" w:color="757171"/>
                  <w:bottom w:val="nil"/>
                  <w:right w:val="nil"/>
                </w:tcBorders>
                <w:noWrap/>
                <w:hideMark/>
              </w:tcPr>
              <w:p w14:paraId="589F73B5" w14:textId="77777777" w:rsidR="00DB3955" w:rsidRPr="00DB3955" w:rsidRDefault="00DB3955" w:rsidP="00565E92">
                <w:pPr>
                  <w:spacing w:after="0"/>
                  <w:rPr>
                    <w:rFonts w:ascii="Arial" w:eastAsia="Times New Roman" w:hAnsi="Arial" w:cs="Arial"/>
                    <w:lang w:eastAsia="en-GB"/>
                  </w:rPr>
                </w:pPr>
                <w:r w:rsidRPr="00DB3955">
                  <w:rPr>
                    <w:rFonts w:ascii="Arial" w:eastAsia="Times New Roman" w:hAnsi="Arial" w:cs="Arial"/>
                    <w:lang w:eastAsia="en-GB"/>
                  </w:rPr>
                  <w:t xml:space="preserve">Waste water sampling </w:t>
                </w:r>
              </w:p>
            </w:tc>
            <w:tc>
              <w:tcPr>
                <w:tcW w:w="1310" w:type="dxa"/>
                <w:tcBorders>
                  <w:top w:val="single" w:sz="8" w:space="0" w:color="757171"/>
                  <w:left w:val="single" w:sz="8" w:space="0" w:color="757171"/>
                  <w:bottom w:val="nil"/>
                  <w:right w:val="nil"/>
                </w:tcBorders>
                <w:shd w:val="clear" w:color="000000" w:fill="FFFFFF"/>
                <w:noWrap/>
                <w:hideMark/>
              </w:tcPr>
              <w:p w14:paraId="7826CAEE" w14:textId="77777777" w:rsidR="00DB3955" w:rsidRPr="00DB3955" w:rsidRDefault="00DB3955" w:rsidP="00565E92">
                <w:pPr>
                  <w:spacing w:after="0"/>
                  <w:jc w:val="right"/>
                  <w:rPr>
                    <w:rFonts w:ascii="Arial" w:eastAsia="Times New Roman" w:hAnsi="Arial" w:cs="Arial"/>
                    <w:lang w:eastAsia="en-GB"/>
                  </w:rPr>
                </w:pPr>
                <w:r w:rsidRPr="00DB3955">
                  <w:rPr>
                    <w:rFonts w:ascii="Arial" w:eastAsia="Times New Roman" w:hAnsi="Arial" w:cs="Arial"/>
                    <w:lang w:eastAsia="en-GB"/>
                  </w:rPr>
                  <w:t>278</w:t>
                </w:r>
              </w:p>
            </w:tc>
            <w:tc>
              <w:tcPr>
                <w:tcW w:w="1310" w:type="dxa"/>
                <w:tcBorders>
                  <w:top w:val="single" w:sz="8" w:space="0" w:color="757171"/>
                  <w:left w:val="single" w:sz="8" w:space="0" w:color="757171"/>
                  <w:bottom w:val="nil"/>
                  <w:right w:val="nil"/>
                </w:tcBorders>
                <w:shd w:val="clear" w:color="000000" w:fill="FFFFFF"/>
                <w:noWrap/>
                <w:hideMark/>
              </w:tcPr>
              <w:p w14:paraId="0344070C" w14:textId="77777777" w:rsidR="00DB3955" w:rsidRPr="00DB3955" w:rsidRDefault="00DB3955" w:rsidP="00565E92">
                <w:pPr>
                  <w:spacing w:after="0"/>
                  <w:jc w:val="right"/>
                  <w:rPr>
                    <w:rFonts w:ascii="Arial" w:eastAsia="Times New Roman" w:hAnsi="Arial" w:cs="Arial"/>
                    <w:lang w:eastAsia="en-GB"/>
                  </w:rPr>
                </w:pPr>
              </w:p>
            </w:tc>
            <w:tc>
              <w:tcPr>
                <w:tcW w:w="1268" w:type="dxa"/>
                <w:tcBorders>
                  <w:top w:val="single" w:sz="8" w:space="0" w:color="757171"/>
                  <w:left w:val="single" w:sz="8" w:space="0" w:color="757171"/>
                  <w:bottom w:val="nil"/>
                  <w:right w:val="single" w:sz="8" w:space="0" w:color="757171"/>
                </w:tcBorders>
                <w:noWrap/>
                <w:hideMark/>
              </w:tcPr>
              <w:p w14:paraId="63CF1121" w14:textId="77777777" w:rsidR="00DB3955" w:rsidRPr="00DB3955" w:rsidRDefault="00DB3955" w:rsidP="00565E92">
                <w:pPr>
                  <w:spacing w:after="0"/>
                  <w:jc w:val="right"/>
                  <w:rPr>
                    <w:rFonts w:ascii="Arial" w:eastAsia="Times New Roman" w:hAnsi="Arial" w:cs="Arial"/>
                    <w:lang w:eastAsia="en-GB"/>
                  </w:rPr>
                </w:pPr>
                <w:r w:rsidRPr="00DB3955">
                  <w:rPr>
                    <w:rFonts w:ascii="Arial" w:eastAsia="Times New Roman" w:hAnsi="Arial" w:cs="Arial"/>
                    <w:lang w:eastAsia="en-GB"/>
                  </w:rPr>
                  <w:t>278</w:t>
                </w:r>
              </w:p>
            </w:tc>
          </w:tr>
          <w:tr w:rsidR="00DB3955" w:rsidRPr="00DB3955" w14:paraId="2471868D" w14:textId="77777777" w:rsidTr="00A72CBA">
            <w:trPr>
              <w:cantSplit/>
              <w:trHeight w:val="300"/>
            </w:trPr>
            <w:tc>
              <w:tcPr>
                <w:tcW w:w="3740" w:type="dxa"/>
                <w:tcBorders>
                  <w:top w:val="nil"/>
                  <w:left w:val="single" w:sz="8" w:space="0" w:color="757171"/>
                  <w:bottom w:val="nil"/>
                  <w:right w:val="nil"/>
                </w:tcBorders>
                <w:noWrap/>
                <w:hideMark/>
              </w:tcPr>
              <w:p w14:paraId="0128E2B8" w14:textId="77777777" w:rsidR="00DB3955" w:rsidRPr="00DB3955" w:rsidRDefault="00DB3955" w:rsidP="00565E92">
                <w:pPr>
                  <w:spacing w:after="0"/>
                  <w:rPr>
                    <w:rFonts w:ascii="Arial" w:eastAsia="Times New Roman" w:hAnsi="Arial" w:cs="Arial"/>
                    <w:lang w:eastAsia="en-GB"/>
                  </w:rPr>
                </w:pPr>
                <w:r w:rsidRPr="00DB3955">
                  <w:rPr>
                    <w:rFonts w:ascii="Arial" w:eastAsia="Times New Roman" w:hAnsi="Arial" w:cs="Arial"/>
                    <w:lang w:eastAsia="en-GB"/>
                  </w:rPr>
                  <w:t xml:space="preserve">Cleaner Air </w:t>
                </w:r>
              </w:p>
            </w:tc>
            <w:tc>
              <w:tcPr>
                <w:tcW w:w="1310" w:type="dxa"/>
                <w:tcBorders>
                  <w:top w:val="nil"/>
                  <w:left w:val="single" w:sz="8" w:space="0" w:color="757171"/>
                  <w:bottom w:val="nil"/>
                  <w:right w:val="nil"/>
                </w:tcBorders>
                <w:shd w:val="clear" w:color="000000" w:fill="FFFFFF"/>
                <w:noWrap/>
                <w:hideMark/>
              </w:tcPr>
              <w:p w14:paraId="188E6B1D" w14:textId="77777777" w:rsidR="00DB3955" w:rsidRPr="00DB3955" w:rsidRDefault="00DB3955" w:rsidP="00565E92">
                <w:pPr>
                  <w:spacing w:after="0"/>
                  <w:jc w:val="right"/>
                  <w:rPr>
                    <w:rFonts w:ascii="Arial" w:eastAsia="Times New Roman" w:hAnsi="Arial" w:cs="Arial"/>
                    <w:lang w:eastAsia="en-GB"/>
                  </w:rPr>
                </w:pPr>
                <w:r w:rsidRPr="00DB3955">
                  <w:rPr>
                    <w:rFonts w:ascii="Arial" w:eastAsia="Times New Roman" w:hAnsi="Arial" w:cs="Arial"/>
                    <w:lang w:eastAsia="en-GB"/>
                  </w:rPr>
                  <w:t>32</w:t>
                </w:r>
              </w:p>
            </w:tc>
            <w:tc>
              <w:tcPr>
                <w:tcW w:w="1310" w:type="dxa"/>
                <w:tcBorders>
                  <w:top w:val="nil"/>
                  <w:left w:val="single" w:sz="8" w:space="0" w:color="757171"/>
                  <w:bottom w:val="nil"/>
                  <w:right w:val="nil"/>
                </w:tcBorders>
                <w:shd w:val="clear" w:color="000000" w:fill="FFFFFF"/>
                <w:noWrap/>
                <w:hideMark/>
              </w:tcPr>
              <w:p w14:paraId="2AAFE8D7" w14:textId="77777777" w:rsidR="00DB3955" w:rsidRPr="00DB3955" w:rsidRDefault="00DB3955" w:rsidP="00565E92">
                <w:pPr>
                  <w:spacing w:after="0"/>
                  <w:jc w:val="right"/>
                  <w:rPr>
                    <w:rFonts w:ascii="Arial" w:eastAsia="Times New Roman" w:hAnsi="Arial" w:cs="Arial"/>
                    <w:lang w:eastAsia="en-GB"/>
                  </w:rPr>
                </w:pPr>
              </w:p>
            </w:tc>
            <w:tc>
              <w:tcPr>
                <w:tcW w:w="1268" w:type="dxa"/>
                <w:tcBorders>
                  <w:top w:val="nil"/>
                  <w:left w:val="single" w:sz="8" w:space="0" w:color="757171"/>
                  <w:bottom w:val="nil"/>
                  <w:right w:val="single" w:sz="8" w:space="0" w:color="757171"/>
                </w:tcBorders>
                <w:noWrap/>
                <w:hideMark/>
              </w:tcPr>
              <w:p w14:paraId="39845304" w14:textId="77777777" w:rsidR="00DB3955" w:rsidRPr="00DB3955" w:rsidRDefault="00DB3955" w:rsidP="00565E92">
                <w:pPr>
                  <w:spacing w:after="0"/>
                  <w:jc w:val="right"/>
                  <w:rPr>
                    <w:rFonts w:ascii="Arial" w:eastAsia="Times New Roman" w:hAnsi="Arial" w:cs="Arial"/>
                    <w:lang w:eastAsia="en-GB"/>
                  </w:rPr>
                </w:pPr>
                <w:r w:rsidRPr="00DB3955">
                  <w:rPr>
                    <w:rFonts w:ascii="Arial" w:eastAsia="Times New Roman" w:hAnsi="Arial" w:cs="Arial"/>
                    <w:lang w:eastAsia="en-GB"/>
                  </w:rPr>
                  <w:t>32</w:t>
                </w:r>
              </w:p>
            </w:tc>
          </w:tr>
          <w:tr w:rsidR="00DB3955" w:rsidRPr="00DB3955" w14:paraId="693E96E8" w14:textId="77777777" w:rsidTr="00A72CBA">
            <w:trPr>
              <w:cantSplit/>
              <w:trHeight w:val="300"/>
            </w:trPr>
            <w:tc>
              <w:tcPr>
                <w:tcW w:w="3740" w:type="dxa"/>
                <w:tcBorders>
                  <w:top w:val="nil"/>
                  <w:left w:val="single" w:sz="8" w:space="0" w:color="757171"/>
                  <w:right w:val="nil"/>
                </w:tcBorders>
                <w:noWrap/>
                <w:hideMark/>
              </w:tcPr>
              <w:p w14:paraId="324392F6" w14:textId="77777777" w:rsidR="00DB3955" w:rsidRPr="00DB3955" w:rsidRDefault="00DB3955" w:rsidP="00565E92">
                <w:pPr>
                  <w:spacing w:after="0"/>
                  <w:rPr>
                    <w:rFonts w:ascii="Arial" w:eastAsia="Times New Roman" w:hAnsi="Arial" w:cs="Arial"/>
                    <w:lang w:eastAsia="en-GB"/>
                  </w:rPr>
                </w:pPr>
                <w:r w:rsidRPr="00DB3955">
                  <w:rPr>
                    <w:rFonts w:ascii="Arial" w:eastAsia="Times New Roman" w:hAnsi="Arial" w:cs="Arial"/>
                    <w:lang w:eastAsia="en-GB"/>
                  </w:rPr>
                  <w:t>Water Environment Fund</w:t>
                </w:r>
              </w:p>
            </w:tc>
            <w:tc>
              <w:tcPr>
                <w:tcW w:w="1310" w:type="dxa"/>
                <w:tcBorders>
                  <w:top w:val="nil"/>
                  <w:left w:val="single" w:sz="8" w:space="0" w:color="757171"/>
                  <w:right w:val="nil"/>
                </w:tcBorders>
                <w:shd w:val="clear" w:color="000000" w:fill="FFFFFF"/>
                <w:noWrap/>
                <w:hideMark/>
              </w:tcPr>
              <w:p w14:paraId="6569A2A2" w14:textId="77777777" w:rsidR="00DB3955" w:rsidRPr="00DB3955" w:rsidRDefault="00DB3955" w:rsidP="00565E92">
                <w:pPr>
                  <w:spacing w:after="0"/>
                  <w:jc w:val="right"/>
                  <w:rPr>
                    <w:rFonts w:ascii="Arial" w:eastAsia="Times New Roman" w:hAnsi="Arial" w:cs="Arial"/>
                    <w:lang w:eastAsia="en-GB"/>
                  </w:rPr>
                </w:pPr>
                <w:r w:rsidRPr="00DB3955">
                  <w:rPr>
                    <w:rFonts w:ascii="Arial" w:eastAsia="Times New Roman" w:hAnsi="Arial" w:cs="Arial"/>
                    <w:lang w:eastAsia="en-GB"/>
                  </w:rPr>
                  <w:t>1,210</w:t>
                </w:r>
              </w:p>
            </w:tc>
            <w:tc>
              <w:tcPr>
                <w:tcW w:w="1310" w:type="dxa"/>
                <w:tcBorders>
                  <w:top w:val="nil"/>
                  <w:left w:val="single" w:sz="8" w:space="0" w:color="757171"/>
                  <w:right w:val="nil"/>
                </w:tcBorders>
                <w:shd w:val="clear" w:color="000000" w:fill="FFFFFF"/>
                <w:noWrap/>
                <w:hideMark/>
              </w:tcPr>
              <w:p w14:paraId="209114B1" w14:textId="77777777" w:rsidR="00DB3955" w:rsidRPr="00DB3955" w:rsidRDefault="00DB3955" w:rsidP="00565E92">
                <w:pPr>
                  <w:spacing w:after="0"/>
                  <w:jc w:val="right"/>
                  <w:rPr>
                    <w:rFonts w:ascii="Arial" w:eastAsia="Times New Roman" w:hAnsi="Arial" w:cs="Arial"/>
                    <w:lang w:eastAsia="en-GB"/>
                  </w:rPr>
                </w:pPr>
              </w:p>
            </w:tc>
            <w:tc>
              <w:tcPr>
                <w:tcW w:w="1268" w:type="dxa"/>
                <w:tcBorders>
                  <w:top w:val="nil"/>
                  <w:left w:val="single" w:sz="8" w:space="0" w:color="757171"/>
                  <w:right w:val="single" w:sz="8" w:space="0" w:color="757171"/>
                </w:tcBorders>
                <w:noWrap/>
                <w:hideMark/>
              </w:tcPr>
              <w:p w14:paraId="78D39D18" w14:textId="77777777" w:rsidR="00DB3955" w:rsidRPr="00DB3955" w:rsidRDefault="00DB3955" w:rsidP="00565E92">
                <w:pPr>
                  <w:spacing w:after="0"/>
                  <w:jc w:val="right"/>
                  <w:rPr>
                    <w:rFonts w:ascii="Arial" w:eastAsia="Times New Roman" w:hAnsi="Arial" w:cs="Arial"/>
                    <w:lang w:eastAsia="en-GB"/>
                  </w:rPr>
                </w:pPr>
                <w:r w:rsidRPr="00DB3955">
                  <w:rPr>
                    <w:rFonts w:ascii="Arial" w:eastAsia="Times New Roman" w:hAnsi="Arial" w:cs="Arial"/>
                    <w:lang w:eastAsia="en-GB"/>
                  </w:rPr>
                  <w:t>1,210</w:t>
                </w:r>
              </w:p>
            </w:tc>
          </w:tr>
          <w:tr w:rsidR="00A6443A" w:rsidRPr="00DB3955" w14:paraId="32F0C13E" w14:textId="77777777" w:rsidTr="00A72CBA">
            <w:trPr>
              <w:cantSplit/>
              <w:trHeight w:val="315"/>
            </w:trPr>
            <w:tc>
              <w:tcPr>
                <w:tcW w:w="3740" w:type="dxa"/>
                <w:tcBorders>
                  <w:top w:val="nil"/>
                  <w:left w:val="single" w:sz="8" w:space="0" w:color="757171"/>
                  <w:bottom w:val="single" w:sz="8" w:space="0" w:color="757171"/>
                  <w:right w:val="single" w:sz="4" w:space="0" w:color="FFFFFF" w:themeColor="background1"/>
                </w:tcBorders>
                <w:shd w:val="clear" w:color="000000" w:fill="016574"/>
                <w:noWrap/>
                <w:hideMark/>
              </w:tcPr>
              <w:p w14:paraId="21301F6B" w14:textId="77777777" w:rsidR="00DB3955" w:rsidRPr="00DB3955" w:rsidRDefault="00DB3955" w:rsidP="00565E92">
                <w:pPr>
                  <w:spacing w:after="0"/>
                  <w:rPr>
                    <w:rFonts w:ascii="Arial" w:eastAsia="Times New Roman" w:hAnsi="Arial" w:cs="Arial"/>
                    <w:b/>
                    <w:bCs/>
                    <w:color w:val="FFFFFF"/>
                    <w:lang w:eastAsia="en-GB"/>
                  </w:rPr>
                </w:pPr>
                <w:r w:rsidRPr="00DB3955">
                  <w:rPr>
                    <w:rFonts w:ascii="Arial" w:eastAsia="Times New Roman" w:hAnsi="Arial" w:cs="Arial"/>
                    <w:b/>
                    <w:bCs/>
                    <w:color w:val="FFFFFF"/>
                    <w:lang w:eastAsia="en-GB"/>
                  </w:rPr>
                  <w:t>Total Adjustments</w:t>
                </w:r>
              </w:p>
            </w:tc>
            <w:tc>
              <w:tcPr>
                <w:tcW w:w="1310" w:type="dxa"/>
                <w:tcBorders>
                  <w:top w:val="nil"/>
                  <w:left w:val="single" w:sz="4" w:space="0" w:color="FFFFFF" w:themeColor="background1"/>
                  <w:bottom w:val="single" w:sz="8" w:space="0" w:color="757171"/>
                  <w:right w:val="single" w:sz="4" w:space="0" w:color="FFFFFF" w:themeColor="background1"/>
                </w:tcBorders>
                <w:shd w:val="clear" w:color="000000" w:fill="016574"/>
                <w:noWrap/>
                <w:hideMark/>
              </w:tcPr>
              <w:p w14:paraId="4E321D3E" w14:textId="77777777" w:rsidR="00DB3955" w:rsidRPr="00DB3955" w:rsidRDefault="00DB3955" w:rsidP="00565E92">
                <w:pPr>
                  <w:spacing w:after="0"/>
                  <w:jc w:val="right"/>
                  <w:rPr>
                    <w:rFonts w:ascii="Arial" w:eastAsia="Times New Roman" w:hAnsi="Arial" w:cs="Arial"/>
                    <w:b/>
                    <w:bCs/>
                    <w:color w:val="FFFFFF"/>
                    <w:lang w:eastAsia="en-GB"/>
                  </w:rPr>
                </w:pPr>
                <w:r w:rsidRPr="00DB3955">
                  <w:rPr>
                    <w:rFonts w:ascii="Arial" w:eastAsia="Times New Roman" w:hAnsi="Arial" w:cs="Arial"/>
                    <w:b/>
                    <w:bCs/>
                    <w:color w:val="FFFFFF"/>
                    <w:lang w:eastAsia="en-GB"/>
                  </w:rPr>
                  <w:t>1,520</w:t>
                </w:r>
              </w:p>
            </w:tc>
            <w:tc>
              <w:tcPr>
                <w:tcW w:w="1310" w:type="dxa"/>
                <w:tcBorders>
                  <w:top w:val="nil"/>
                  <w:left w:val="single" w:sz="4" w:space="0" w:color="FFFFFF" w:themeColor="background1"/>
                  <w:bottom w:val="single" w:sz="8" w:space="0" w:color="757171"/>
                  <w:right w:val="single" w:sz="4" w:space="0" w:color="FFFFFF" w:themeColor="background1"/>
                </w:tcBorders>
                <w:shd w:val="clear" w:color="000000" w:fill="016574"/>
                <w:noWrap/>
                <w:hideMark/>
              </w:tcPr>
              <w:p w14:paraId="7398B766" w14:textId="77777777" w:rsidR="00DB3955" w:rsidRPr="00DB3955" w:rsidRDefault="00DB3955" w:rsidP="00565E92">
                <w:pPr>
                  <w:spacing w:after="0"/>
                  <w:jc w:val="right"/>
                  <w:rPr>
                    <w:rFonts w:ascii="Arial" w:eastAsia="Times New Roman" w:hAnsi="Arial" w:cs="Arial"/>
                    <w:b/>
                    <w:bCs/>
                    <w:color w:val="FFFFFF"/>
                    <w:lang w:eastAsia="en-GB"/>
                  </w:rPr>
                </w:pPr>
                <w:r w:rsidRPr="00DB3955">
                  <w:rPr>
                    <w:rFonts w:ascii="Arial" w:eastAsia="Times New Roman" w:hAnsi="Arial" w:cs="Arial"/>
                    <w:b/>
                    <w:bCs/>
                    <w:color w:val="FFFFFF"/>
                    <w:lang w:eastAsia="en-GB"/>
                  </w:rPr>
                  <w:t>0</w:t>
                </w:r>
              </w:p>
            </w:tc>
            <w:tc>
              <w:tcPr>
                <w:tcW w:w="1268" w:type="dxa"/>
                <w:tcBorders>
                  <w:top w:val="nil"/>
                  <w:left w:val="single" w:sz="4" w:space="0" w:color="FFFFFF" w:themeColor="background1"/>
                  <w:bottom w:val="single" w:sz="8" w:space="0" w:color="757171"/>
                  <w:right w:val="single" w:sz="8" w:space="0" w:color="757171"/>
                </w:tcBorders>
                <w:shd w:val="clear" w:color="000000" w:fill="016574"/>
                <w:noWrap/>
                <w:hideMark/>
              </w:tcPr>
              <w:p w14:paraId="44C0C921" w14:textId="77777777" w:rsidR="00DB3955" w:rsidRPr="00DB3955" w:rsidRDefault="00DB3955" w:rsidP="00565E92">
                <w:pPr>
                  <w:spacing w:after="0"/>
                  <w:jc w:val="right"/>
                  <w:rPr>
                    <w:rFonts w:ascii="Arial" w:eastAsia="Times New Roman" w:hAnsi="Arial" w:cs="Arial"/>
                    <w:b/>
                    <w:bCs/>
                    <w:color w:val="FFFFFF"/>
                    <w:lang w:eastAsia="en-GB"/>
                  </w:rPr>
                </w:pPr>
                <w:r w:rsidRPr="00DB3955">
                  <w:rPr>
                    <w:rFonts w:ascii="Arial" w:eastAsia="Times New Roman" w:hAnsi="Arial" w:cs="Arial"/>
                    <w:b/>
                    <w:bCs/>
                    <w:color w:val="FFFFFF"/>
                    <w:lang w:eastAsia="en-GB"/>
                  </w:rPr>
                  <w:t>1,520</w:t>
                </w:r>
              </w:p>
            </w:tc>
          </w:tr>
          <w:tr w:rsidR="00DB3955" w:rsidRPr="00DB3955" w14:paraId="07C9DC84" w14:textId="77777777" w:rsidTr="00A72CBA">
            <w:trPr>
              <w:cantSplit/>
              <w:trHeight w:val="315"/>
            </w:trPr>
            <w:tc>
              <w:tcPr>
                <w:tcW w:w="3740" w:type="dxa"/>
                <w:tcBorders>
                  <w:top w:val="single" w:sz="8" w:space="0" w:color="757171"/>
                  <w:left w:val="single" w:sz="8" w:space="0" w:color="757171"/>
                  <w:bottom w:val="single" w:sz="8" w:space="0" w:color="757171"/>
                  <w:right w:val="single" w:sz="4" w:space="0" w:color="FFFFFF" w:themeColor="background1"/>
                </w:tcBorders>
                <w:shd w:val="clear" w:color="000000" w:fill="016574"/>
                <w:noWrap/>
                <w:hideMark/>
              </w:tcPr>
              <w:p w14:paraId="3C4B8CD2" w14:textId="77777777" w:rsidR="00DB3955" w:rsidRPr="00DB3955" w:rsidRDefault="00DB3955" w:rsidP="00565E92">
                <w:pPr>
                  <w:spacing w:after="0"/>
                  <w:rPr>
                    <w:rFonts w:ascii="Arial" w:eastAsia="Times New Roman" w:hAnsi="Arial" w:cs="Arial"/>
                    <w:b/>
                    <w:bCs/>
                    <w:color w:val="FFFFFF"/>
                    <w:lang w:eastAsia="en-GB"/>
                  </w:rPr>
                </w:pPr>
                <w:r w:rsidRPr="00DB3955">
                  <w:rPr>
                    <w:rFonts w:ascii="Arial" w:eastAsia="Times New Roman" w:hAnsi="Arial" w:cs="Arial"/>
                    <w:b/>
                    <w:bCs/>
                    <w:color w:val="FFFFFF"/>
                    <w:lang w:eastAsia="en-GB"/>
                  </w:rPr>
                  <w:t>Total Budget</w:t>
                </w:r>
              </w:p>
            </w:tc>
            <w:tc>
              <w:tcPr>
                <w:tcW w:w="1310"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39663ACB" w14:textId="77777777" w:rsidR="00DB3955" w:rsidRPr="00DB3955" w:rsidRDefault="00DB3955" w:rsidP="00565E92">
                <w:pPr>
                  <w:spacing w:after="0"/>
                  <w:jc w:val="right"/>
                  <w:rPr>
                    <w:rFonts w:ascii="Arial" w:eastAsia="Times New Roman" w:hAnsi="Arial" w:cs="Arial"/>
                    <w:b/>
                    <w:bCs/>
                    <w:color w:val="FFFFFF"/>
                    <w:lang w:eastAsia="en-GB"/>
                  </w:rPr>
                </w:pPr>
                <w:r w:rsidRPr="00DB3955">
                  <w:rPr>
                    <w:rFonts w:ascii="Arial" w:eastAsia="Times New Roman" w:hAnsi="Arial" w:cs="Arial"/>
                    <w:b/>
                    <w:bCs/>
                    <w:color w:val="FFFFFF"/>
                    <w:lang w:eastAsia="en-GB"/>
                  </w:rPr>
                  <w:t>41,431</w:t>
                </w:r>
              </w:p>
            </w:tc>
            <w:tc>
              <w:tcPr>
                <w:tcW w:w="1310" w:type="dxa"/>
                <w:tcBorders>
                  <w:top w:val="single" w:sz="8" w:space="0" w:color="757171"/>
                  <w:left w:val="single" w:sz="4" w:space="0" w:color="FFFFFF" w:themeColor="background1"/>
                  <w:bottom w:val="single" w:sz="8" w:space="0" w:color="757171"/>
                  <w:right w:val="single" w:sz="4" w:space="0" w:color="FFFFFF" w:themeColor="background1"/>
                </w:tcBorders>
                <w:shd w:val="clear" w:color="000000" w:fill="016574"/>
                <w:noWrap/>
                <w:hideMark/>
              </w:tcPr>
              <w:p w14:paraId="21EA43CE" w14:textId="77777777" w:rsidR="00DB3955" w:rsidRPr="00DB3955" w:rsidRDefault="00DB3955" w:rsidP="00565E92">
                <w:pPr>
                  <w:spacing w:after="0"/>
                  <w:jc w:val="right"/>
                  <w:rPr>
                    <w:rFonts w:ascii="Arial" w:eastAsia="Times New Roman" w:hAnsi="Arial" w:cs="Arial"/>
                    <w:b/>
                    <w:bCs/>
                    <w:color w:val="FFFFFF"/>
                    <w:lang w:eastAsia="en-GB"/>
                  </w:rPr>
                </w:pPr>
                <w:r w:rsidRPr="00DB3955">
                  <w:rPr>
                    <w:rFonts w:ascii="Arial" w:eastAsia="Times New Roman" w:hAnsi="Arial" w:cs="Arial"/>
                    <w:b/>
                    <w:bCs/>
                    <w:color w:val="FFFFFF"/>
                    <w:lang w:eastAsia="en-GB"/>
                  </w:rPr>
                  <w:t>6,280</w:t>
                </w:r>
              </w:p>
            </w:tc>
            <w:tc>
              <w:tcPr>
                <w:tcW w:w="1268" w:type="dxa"/>
                <w:tcBorders>
                  <w:top w:val="single" w:sz="8" w:space="0" w:color="757171"/>
                  <w:left w:val="single" w:sz="4" w:space="0" w:color="FFFFFF" w:themeColor="background1"/>
                  <w:bottom w:val="single" w:sz="8" w:space="0" w:color="757171"/>
                  <w:right w:val="single" w:sz="8" w:space="0" w:color="757171"/>
                </w:tcBorders>
                <w:shd w:val="clear" w:color="000000" w:fill="016574"/>
                <w:noWrap/>
                <w:hideMark/>
              </w:tcPr>
              <w:p w14:paraId="3338094F" w14:textId="77777777" w:rsidR="00DB3955" w:rsidRPr="00DB3955" w:rsidRDefault="00DB3955" w:rsidP="00565E92">
                <w:pPr>
                  <w:spacing w:after="0"/>
                  <w:jc w:val="right"/>
                  <w:rPr>
                    <w:rFonts w:ascii="Arial" w:eastAsia="Times New Roman" w:hAnsi="Arial" w:cs="Arial"/>
                    <w:b/>
                    <w:bCs/>
                    <w:color w:val="FFFFFF"/>
                    <w:lang w:eastAsia="en-GB"/>
                  </w:rPr>
                </w:pPr>
                <w:r w:rsidRPr="00DB3955">
                  <w:rPr>
                    <w:rFonts w:ascii="Arial" w:eastAsia="Times New Roman" w:hAnsi="Arial" w:cs="Arial"/>
                    <w:b/>
                    <w:bCs/>
                    <w:color w:val="FFFFFF"/>
                    <w:lang w:eastAsia="en-GB"/>
                  </w:rPr>
                  <w:t>47,711</w:t>
                </w:r>
              </w:p>
            </w:tc>
          </w:tr>
        </w:tbl>
        <w:p w14:paraId="1E224B74" w14:textId="1AB4D383" w:rsidR="00ED0D56" w:rsidRDefault="00ED0D56" w:rsidP="00880730">
          <w:pPr>
            <w:pStyle w:val="ListParagraph"/>
            <w:ind w:left="1077"/>
            <w:contextualSpacing w:val="0"/>
          </w:pPr>
        </w:p>
        <w:p w14:paraId="4682A846" w14:textId="6BB884F2" w:rsidR="007A5E9A" w:rsidRDefault="002E2B17" w:rsidP="12549B89">
          <w:pPr>
            <w:pStyle w:val="ListParagraph"/>
            <w:numPr>
              <w:ilvl w:val="0"/>
              <w:numId w:val="11"/>
            </w:numPr>
            <w:spacing w:after="120"/>
            <w:ind w:left="1077" w:hanging="652"/>
          </w:pPr>
          <w:r>
            <w:t xml:space="preserve">SEPA’s revenue </w:t>
          </w:r>
          <w:proofErr w:type="spellStart"/>
          <w:r>
            <w:t>GiA</w:t>
          </w:r>
          <w:proofErr w:type="spellEnd"/>
          <w:r>
            <w:t xml:space="preserve"> </w:t>
          </w:r>
          <w:r w:rsidR="008D5351">
            <w:t xml:space="preserve">is presented in Table 2 above </w:t>
          </w:r>
          <w:r>
            <w:t>at £4</w:t>
          </w:r>
          <w:r w:rsidR="00DA21E9">
            <w:t>7</w:t>
          </w:r>
          <w:r>
            <w:t>.</w:t>
          </w:r>
          <w:r w:rsidR="00776148">
            <w:t>7</w:t>
          </w:r>
          <w:r>
            <w:t>m. This is an increase of £</w:t>
          </w:r>
          <w:r w:rsidR="00EB4009">
            <w:t>1.</w:t>
          </w:r>
          <w:r w:rsidR="00776148">
            <w:t>5</w:t>
          </w:r>
          <w:r>
            <w:t>m since the budget was set</w:t>
          </w:r>
          <w:r w:rsidR="00060A61">
            <w:t>. T</w:t>
          </w:r>
          <w:r>
            <w:t xml:space="preserve">he table </w:t>
          </w:r>
          <w:r w:rsidR="00AF4A9A">
            <w:t>above</w:t>
          </w:r>
          <w:r>
            <w:t xml:space="preserve"> provides</w:t>
          </w:r>
          <w:r w:rsidR="00FF4DE4">
            <w:t xml:space="preserve"> a</w:t>
          </w:r>
          <w:r>
            <w:t xml:space="preserve"> breakdown of confirmed in year budget </w:t>
          </w:r>
          <w:r w:rsidR="445CBF73">
            <w:t>adjustments;</w:t>
          </w:r>
          <w:r w:rsidR="000D2490">
            <w:t xml:space="preserve"> these will be fully offset by increased expenditure.</w:t>
          </w:r>
        </w:p>
        <w:p w14:paraId="7BF3B42F" w14:textId="77777777" w:rsidR="00D5176F" w:rsidRDefault="00D5176F" w:rsidP="00D5176F">
          <w:pPr>
            <w:pStyle w:val="ListParagraph"/>
            <w:spacing w:after="120"/>
            <w:ind w:left="1077"/>
            <w:contextualSpacing w:val="0"/>
          </w:pPr>
        </w:p>
        <w:p w14:paraId="306EB224" w14:textId="1FB3F414" w:rsidR="00F455B9" w:rsidRDefault="00F455B9" w:rsidP="00F455B9">
          <w:pPr>
            <w:pStyle w:val="Heading4"/>
          </w:pPr>
          <w:r>
            <w:lastRenderedPageBreak/>
            <w:t>Charging Scheme income</w:t>
          </w:r>
          <w:r w:rsidR="0093578D">
            <w:t xml:space="preserve"> - £</w:t>
          </w:r>
          <w:r w:rsidR="00AD6AA9">
            <w:t>5</w:t>
          </w:r>
          <w:r w:rsidR="00C210BB">
            <w:t>2</w:t>
          </w:r>
          <w:r w:rsidR="00821186">
            <w:t>.</w:t>
          </w:r>
          <w:r w:rsidR="00C210BB">
            <w:t>7</w:t>
          </w:r>
          <w:r w:rsidR="0093578D">
            <w:t xml:space="preserve">m </w:t>
          </w:r>
        </w:p>
        <w:p w14:paraId="24293A40" w14:textId="522CFB27" w:rsidR="00884BF2" w:rsidRPr="00884BF2" w:rsidRDefault="00867A16" w:rsidP="00B6043B">
          <w:pPr>
            <w:pStyle w:val="ListParagraph"/>
            <w:numPr>
              <w:ilvl w:val="0"/>
              <w:numId w:val="11"/>
            </w:numPr>
            <w:spacing w:after="120"/>
            <w:ind w:left="1077" w:hanging="652"/>
            <w:contextualSpacing w:val="0"/>
          </w:pPr>
          <w:bookmarkStart w:id="2" w:name="_Hlk172105149"/>
          <w:r>
            <w:t xml:space="preserve">Graph </w:t>
          </w:r>
          <w:r w:rsidR="007A613C">
            <w:t>1</w:t>
          </w:r>
          <w:r w:rsidR="00884BF2" w:rsidRPr="00884BF2">
            <w:t xml:space="preserve"> shows charging scheme income by media. The full year </w:t>
          </w:r>
          <w:r w:rsidR="00DB3249" w:rsidRPr="00884BF2">
            <w:t xml:space="preserve">income </w:t>
          </w:r>
          <w:r w:rsidR="00BF4D7E" w:rsidRPr="00884BF2">
            <w:t xml:space="preserve">outturn </w:t>
          </w:r>
          <w:r w:rsidR="008D7613">
            <w:t xml:space="preserve">is </w:t>
          </w:r>
          <w:r w:rsidR="00BF4D7E" w:rsidRPr="00884BF2">
            <w:t>£</w:t>
          </w:r>
          <w:r w:rsidR="00AD6AA9">
            <w:t>5</w:t>
          </w:r>
          <w:r w:rsidR="00C210BB">
            <w:t>2</w:t>
          </w:r>
          <w:r w:rsidR="00AD6AA9">
            <w:t>.</w:t>
          </w:r>
          <w:r w:rsidR="00C210BB">
            <w:t>7</w:t>
          </w:r>
          <w:r w:rsidR="00884BF2" w:rsidRPr="00884BF2">
            <w:t>m</w:t>
          </w:r>
          <w:r w:rsidR="008A1B80">
            <w:t>, which is</w:t>
          </w:r>
          <w:r w:rsidR="00884BF2" w:rsidRPr="00884BF2">
            <w:t xml:space="preserve"> </w:t>
          </w:r>
          <w:bookmarkEnd w:id="2"/>
          <w:r w:rsidR="00884BF2" w:rsidRPr="00884BF2">
            <w:t>£0.</w:t>
          </w:r>
          <w:r w:rsidR="00C210BB">
            <w:t>2</w:t>
          </w:r>
          <w:r w:rsidR="00884BF2" w:rsidRPr="00884BF2">
            <w:t xml:space="preserve">m </w:t>
          </w:r>
          <w:r w:rsidR="00AD6AA9">
            <w:t>more</w:t>
          </w:r>
          <w:r w:rsidR="00884BF2" w:rsidRPr="00884BF2">
            <w:t xml:space="preserve"> than budget. This </w:t>
          </w:r>
          <w:r w:rsidR="000B2E42">
            <w:t xml:space="preserve">results in </w:t>
          </w:r>
          <w:r w:rsidR="00884BF2" w:rsidRPr="00884BF2">
            <w:t xml:space="preserve">a net </w:t>
          </w:r>
          <w:r w:rsidR="000B2E42">
            <w:t xml:space="preserve">positive </w:t>
          </w:r>
          <w:r w:rsidR="00884BF2" w:rsidRPr="00884BF2">
            <w:t xml:space="preserve">variance </w:t>
          </w:r>
          <w:r w:rsidR="0043658F">
            <w:t>which include</w:t>
          </w:r>
          <w:r w:rsidR="00660A3C">
            <w:t>s:</w:t>
          </w:r>
        </w:p>
        <w:p w14:paraId="5CAC6950" w14:textId="0B8D5030" w:rsidR="00884BF2" w:rsidRPr="00884BF2" w:rsidRDefault="003B43A4" w:rsidP="00595E65">
          <w:pPr>
            <w:pStyle w:val="ListParagraph"/>
            <w:numPr>
              <w:ilvl w:val="0"/>
              <w:numId w:val="2"/>
            </w:numPr>
            <w:ind w:left="1418" w:hanging="357"/>
            <w:contextualSpacing w:val="0"/>
          </w:pPr>
          <w:r w:rsidRPr="003B43A4">
            <w:rPr>
              <w:b/>
              <w:bCs/>
              <w:u w:val="single"/>
            </w:rPr>
            <w:t>Applications</w:t>
          </w:r>
          <w:r>
            <w:t xml:space="preserve"> - </w:t>
          </w:r>
          <w:r w:rsidR="00884BF2" w:rsidRPr="00884BF2">
            <w:t>£0.</w:t>
          </w:r>
          <w:r w:rsidR="00C210BB">
            <w:t>2</w:t>
          </w:r>
          <w:r w:rsidR="007966F4">
            <w:t>5</w:t>
          </w:r>
          <w:r w:rsidR="00884BF2" w:rsidRPr="00884BF2">
            <w:t xml:space="preserve">m </w:t>
          </w:r>
          <w:r w:rsidR="0035392A">
            <w:t>positive</w:t>
          </w:r>
          <w:r w:rsidR="00884BF2" w:rsidRPr="00884BF2">
            <w:t xml:space="preserve"> variance in </w:t>
          </w:r>
          <w:r w:rsidR="00CE2E70">
            <w:t xml:space="preserve">the </w:t>
          </w:r>
          <w:r w:rsidR="00BF4D7E">
            <w:t>a</w:t>
          </w:r>
          <w:r w:rsidR="00884BF2" w:rsidRPr="00884BF2">
            <w:t xml:space="preserve">pplications forecast. The </w:t>
          </w:r>
          <w:r w:rsidR="00D84A59">
            <w:t>incr</w:t>
          </w:r>
          <w:r w:rsidR="00884BF2" w:rsidRPr="00884BF2">
            <w:t xml:space="preserve">ease in application income is </w:t>
          </w:r>
          <w:bookmarkStart w:id="3" w:name="_Int_Z7hCOxGu"/>
          <w:r w:rsidR="00884BF2" w:rsidRPr="00884BF2">
            <w:t>mainly</w:t>
          </w:r>
          <w:r w:rsidR="00C54713">
            <w:t xml:space="preserve"> due to </w:t>
          </w:r>
          <w:r w:rsidR="00823FCF">
            <w:t xml:space="preserve">higher </w:t>
          </w:r>
          <w:r w:rsidR="00771A5C">
            <w:t xml:space="preserve">than budgeted applications from </w:t>
          </w:r>
          <w:r w:rsidR="00D65CEC">
            <w:t xml:space="preserve">water, </w:t>
          </w:r>
          <w:r w:rsidR="00771A5C">
            <w:t>air and</w:t>
          </w:r>
          <w:bookmarkEnd w:id="3"/>
          <w:r w:rsidR="00D65CEC">
            <w:t xml:space="preserve"> </w:t>
          </w:r>
          <w:r w:rsidR="00B1560D">
            <w:t>radioactive substances</w:t>
          </w:r>
          <w:r w:rsidR="00C210BB">
            <w:t>, offset by a reduction in waste</w:t>
          </w:r>
          <w:r w:rsidR="009F2831">
            <w:t>.</w:t>
          </w:r>
        </w:p>
        <w:p w14:paraId="4A3ACE7F" w14:textId="0BADE90B" w:rsidR="00CE2E70" w:rsidRPr="00A43CAD" w:rsidRDefault="008D5022" w:rsidP="00A43CAD">
          <w:pPr>
            <w:pStyle w:val="ListParagraph"/>
            <w:numPr>
              <w:ilvl w:val="0"/>
              <w:numId w:val="2"/>
            </w:numPr>
            <w:ind w:left="1418" w:hanging="357"/>
            <w:contextualSpacing w:val="0"/>
            <w:rPr>
              <w:b/>
              <w:bCs/>
              <w:u w:val="single"/>
            </w:rPr>
          </w:pPr>
          <w:r w:rsidRPr="00C210BB">
            <w:rPr>
              <w:b/>
              <w:bCs/>
              <w:u w:val="single"/>
            </w:rPr>
            <w:t>Subsistence</w:t>
          </w:r>
          <w:r w:rsidRPr="00A43CAD">
            <w:rPr>
              <w:b/>
              <w:bCs/>
              <w:u w:val="single"/>
            </w:rPr>
            <w:t xml:space="preserve"> </w:t>
          </w:r>
          <w:r w:rsidRPr="00A43CAD">
            <w:rPr>
              <w:u w:val="single"/>
            </w:rPr>
            <w:t xml:space="preserve">- </w:t>
          </w:r>
          <w:r w:rsidR="00884BF2" w:rsidRPr="00E75FFF">
            <w:t>£0.</w:t>
          </w:r>
          <w:r w:rsidR="00D65CEC" w:rsidRPr="00E75FFF">
            <w:t>5</w:t>
          </w:r>
          <w:r w:rsidR="00C210BB" w:rsidRPr="00E75FFF">
            <w:t>0</w:t>
          </w:r>
          <w:r w:rsidR="00884BF2" w:rsidRPr="00E75FFF">
            <w:t xml:space="preserve">m </w:t>
          </w:r>
          <w:r w:rsidR="00D65CEC" w:rsidRPr="00E75FFF">
            <w:t>negative</w:t>
          </w:r>
          <w:r w:rsidR="00884BF2" w:rsidRPr="00E75FFF">
            <w:t xml:space="preserve"> variance in </w:t>
          </w:r>
          <w:r w:rsidR="00162A77" w:rsidRPr="00E75FFF">
            <w:t xml:space="preserve">the </w:t>
          </w:r>
          <w:r w:rsidR="00BF4D7E" w:rsidRPr="00E75FFF">
            <w:t>s</w:t>
          </w:r>
          <w:r w:rsidR="00884BF2" w:rsidRPr="00E75FFF">
            <w:t>ubsistence forecast</w:t>
          </w:r>
          <w:r w:rsidR="005B4A41" w:rsidRPr="00E75FFF">
            <w:t xml:space="preserve"> </w:t>
          </w:r>
          <w:r w:rsidR="00C210BB" w:rsidRPr="00E75FFF">
            <w:t>in relation to reduced income from radioactive substances, water and special waste consignment notes.</w:t>
          </w:r>
        </w:p>
        <w:p w14:paraId="004EE266" w14:textId="31803940" w:rsidR="00CE2E70" w:rsidRPr="00FB0970" w:rsidRDefault="0079724A" w:rsidP="00CE2E70">
          <w:pPr>
            <w:pStyle w:val="Heading4"/>
          </w:pPr>
          <w:r>
            <w:t xml:space="preserve">Graph </w:t>
          </w:r>
          <w:r w:rsidR="007A613C">
            <w:t>1</w:t>
          </w:r>
          <w:r w:rsidR="006D71A0">
            <w:t>:</w:t>
          </w:r>
          <w:r w:rsidR="00CE2E70" w:rsidRPr="00FB0970">
            <w:t xml:space="preserve"> Charging Schemes by media</w:t>
          </w:r>
        </w:p>
        <w:p w14:paraId="6A1BFD10" w14:textId="188381C8" w:rsidR="002A2649" w:rsidRPr="000728DC" w:rsidRDefault="00B368BE" w:rsidP="002A2649">
          <w:pPr>
            <w:rPr>
              <w:i/>
              <w:iCs/>
            </w:rPr>
          </w:pPr>
          <w:r>
            <w:rPr>
              <w:noProof/>
            </w:rPr>
            <w:drawing>
              <wp:inline distT="0" distB="0" distL="0" distR="0" wp14:anchorId="05D927EF" wp14:editId="10B23A70">
                <wp:extent cx="6638925" cy="4243070"/>
                <wp:effectExtent l="0" t="0" r="9525" b="5080"/>
                <wp:docPr id="887227259" name="Picture 9" descr="Graph 1: Charging Schemes by media. &#10;This table displays the charging income forecast per media as follows:&#10;Water is expected to outturn at £29,,007,000&#10;Waste is expected to outturn at £14,860,000&#10;Radioactive substances activity is expected to outturn at £3,450,000&#10;Land is expected to outturn at £133,000&#10;Air is expected to outturn at £5,212,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27259" name="Picture 9" descr="Graph 1: Charging Schemes by media. &#10;This table displays the charging income forecast per media as follows:&#10;Water is expected to outturn at £29,,007,000&#10;Waste is expected to outturn at £14,860,000&#10;Radioactive substances activity is expected to outturn at £3,450,000&#10;Land is expected to outturn at £133,000&#10;Air is expected to outturn at £5,212,00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8925" cy="4243070"/>
                        </a:xfrm>
                        <a:prstGeom prst="rect">
                          <a:avLst/>
                        </a:prstGeom>
                        <a:noFill/>
                      </pic:spPr>
                    </pic:pic>
                  </a:graphicData>
                </a:graphic>
              </wp:inline>
            </w:drawing>
          </w:r>
          <w:r w:rsidR="00047DD3">
            <w:rPr>
              <w:rFonts w:ascii="Arial" w:hAnsi="Arial" w:cs="Arial"/>
              <w:color w:val="000000"/>
              <w:shd w:val="clear" w:color="auto" w:fill="FFFFFF"/>
            </w:rPr>
            <w:br/>
          </w:r>
          <w:r w:rsidR="002A2649" w:rsidRPr="000728DC">
            <w:rPr>
              <w:i/>
              <w:iCs/>
            </w:rPr>
            <w:t xml:space="preserve">Graph </w:t>
          </w:r>
          <w:r w:rsidR="00467079">
            <w:rPr>
              <w:i/>
              <w:iCs/>
            </w:rPr>
            <w:t>1</w:t>
          </w:r>
          <w:r w:rsidR="002A2649" w:rsidRPr="000728DC">
            <w:rPr>
              <w:i/>
              <w:iCs/>
            </w:rPr>
            <w:t xml:space="preserve"> acronym: RSA – Radioactive Substances Activity</w:t>
          </w:r>
        </w:p>
        <w:p w14:paraId="0EE8EA92" w14:textId="47064D13" w:rsidR="005C32A9" w:rsidRDefault="00884BF2" w:rsidP="005C32A9">
          <w:pPr>
            <w:pStyle w:val="Heading4"/>
          </w:pPr>
          <w:r w:rsidRPr="00884BF2">
            <w:lastRenderedPageBreak/>
            <w:t xml:space="preserve">Other income </w:t>
          </w:r>
          <w:r w:rsidR="007A33CE">
            <w:t>-</w:t>
          </w:r>
          <w:r w:rsidR="002573C3">
            <w:t xml:space="preserve"> </w:t>
          </w:r>
          <w:r w:rsidR="007A33CE">
            <w:t>£2.</w:t>
          </w:r>
          <w:r w:rsidR="00C210BB">
            <w:t>7</w:t>
          </w:r>
          <w:r w:rsidR="007A33CE">
            <w:t>m</w:t>
          </w:r>
          <w:r w:rsidR="00FB1221">
            <w:t xml:space="preserve"> </w:t>
          </w:r>
        </w:p>
        <w:p w14:paraId="4FDDCA6C" w14:textId="08452C81" w:rsidR="00674469" w:rsidRDefault="00457732" w:rsidP="009E6A7A">
          <w:pPr>
            <w:pStyle w:val="ListParagraph"/>
            <w:numPr>
              <w:ilvl w:val="0"/>
              <w:numId w:val="11"/>
            </w:numPr>
            <w:spacing w:after="120"/>
            <w:ind w:left="1077" w:hanging="652"/>
            <w:contextualSpacing w:val="0"/>
          </w:pPr>
          <w:r w:rsidRPr="00884BF2">
            <w:t xml:space="preserve">The full year income outturn </w:t>
          </w:r>
          <w:r>
            <w:t>is</w:t>
          </w:r>
          <w:r w:rsidRPr="00884BF2">
            <w:t xml:space="preserve"> £2.</w:t>
          </w:r>
          <w:r w:rsidR="00C210BB">
            <w:t>7</w:t>
          </w:r>
          <w:r w:rsidRPr="00884BF2">
            <w:t>m</w:t>
          </w:r>
          <w:r w:rsidR="00C210BB">
            <w:t>.</w:t>
          </w:r>
          <w:r w:rsidR="00C210BB" w:rsidRPr="00C210BB">
            <w:t xml:space="preserve"> Within other income, payments from other agencies and Scottish Landfill Tax are forecast to reduce slightly but offset by small increases against legal income and </w:t>
          </w:r>
          <w:r w:rsidR="00581D77">
            <w:t>e</w:t>
          </w:r>
          <w:r w:rsidR="00C210BB" w:rsidRPr="00C210BB">
            <w:t>nforcement cost recovery</w:t>
          </w:r>
          <w:r w:rsidR="00DB161C" w:rsidRPr="00DB161C">
            <w:t>.</w:t>
          </w:r>
        </w:p>
        <w:p w14:paraId="4F275DA1" w14:textId="77777777" w:rsidR="00AE6621" w:rsidRPr="00DB161C" w:rsidRDefault="00AE6621" w:rsidP="00AE6621">
          <w:pPr>
            <w:pStyle w:val="ListParagraph"/>
            <w:spacing w:after="120"/>
            <w:ind w:left="1077"/>
            <w:contextualSpacing w:val="0"/>
          </w:pPr>
        </w:p>
        <w:p w14:paraId="0EC0FEDB" w14:textId="5B010104" w:rsidR="00A12E34" w:rsidRPr="000D6B11" w:rsidRDefault="00A12E34" w:rsidP="000D6B11">
          <w:pPr>
            <w:pStyle w:val="Heading2"/>
            <w:numPr>
              <w:ilvl w:val="0"/>
              <w:numId w:val="10"/>
            </w:numPr>
            <w:ind w:hanging="578"/>
            <w:rPr>
              <w:rStyle w:val="normaltextrun"/>
              <w:color w:val="auto"/>
              <w:sz w:val="28"/>
              <w:szCs w:val="28"/>
            </w:rPr>
          </w:pPr>
          <w:r w:rsidRPr="000D6B11">
            <w:rPr>
              <w:rStyle w:val="normaltextrun"/>
              <w:color w:val="auto"/>
              <w:sz w:val="28"/>
              <w:szCs w:val="28"/>
            </w:rPr>
            <w:t>Total expenditure - £</w:t>
          </w:r>
          <w:r w:rsidR="001D7121" w:rsidRPr="000D6B11">
            <w:rPr>
              <w:rStyle w:val="normaltextrun"/>
              <w:color w:val="auto"/>
              <w:sz w:val="28"/>
              <w:szCs w:val="28"/>
            </w:rPr>
            <w:t>103.</w:t>
          </w:r>
          <w:r w:rsidR="00C210BB" w:rsidRPr="000D6B11">
            <w:rPr>
              <w:rStyle w:val="normaltextrun"/>
              <w:color w:val="auto"/>
              <w:sz w:val="28"/>
              <w:szCs w:val="28"/>
            </w:rPr>
            <w:t>1</w:t>
          </w:r>
          <w:r w:rsidR="001D7121" w:rsidRPr="000D6B11">
            <w:rPr>
              <w:rStyle w:val="normaltextrun"/>
              <w:color w:val="auto"/>
              <w:sz w:val="28"/>
              <w:szCs w:val="28"/>
            </w:rPr>
            <w:t>m</w:t>
          </w:r>
        </w:p>
        <w:p w14:paraId="1CFDC857" w14:textId="4E3E5817" w:rsidR="00A12E34" w:rsidRDefault="00A12E34" w:rsidP="005F7803">
          <w:pPr>
            <w:pStyle w:val="ListParagraph"/>
            <w:numPr>
              <w:ilvl w:val="0"/>
              <w:numId w:val="12"/>
            </w:numPr>
            <w:spacing w:after="120"/>
            <w:ind w:left="1077" w:hanging="652"/>
            <w:contextualSpacing w:val="0"/>
          </w:pPr>
          <w:r w:rsidRPr="00281612">
            <w:t>Full year operating costs are £</w:t>
          </w:r>
          <w:r w:rsidR="001D7121">
            <w:t>103.</w:t>
          </w:r>
          <w:r w:rsidR="00C210BB">
            <w:t>1</w:t>
          </w:r>
          <w:r w:rsidR="006B4423">
            <w:t>m</w:t>
          </w:r>
          <w:r w:rsidRPr="00281612">
            <w:t xml:space="preserve">, </w:t>
          </w:r>
          <w:r>
            <w:t>£</w:t>
          </w:r>
          <w:r w:rsidR="006B4423">
            <w:t>0.</w:t>
          </w:r>
          <w:r w:rsidR="00C210BB">
            <w:t>3</w:t>
          </w:r>
          <w:r w:rsidR="006B4423">
            <w:t>m</w:t>
          </w:r>
          <w:r>
            <w:t xml:space="preserve"> </w:t>
          </w:r>
          <w:r w:rsidR="00C210BB">
            <w:t>less</w:t>
          </w:r>
          <w:r w:rsidRPr="00281612">
            <w:t xml:space="preserve"> than budget. </w:t>
          </w:r>
          <w:r w:rsidR="00875FEB">
            <w:t>Graph 2</w:t>
          </w:r>
          <w:r w:rsidRPr="00281612">
            <w:t xml:space="preserve"> </w:t>
          </w:r>
          <w:r w:rsidR="00083802">
            <w:t>below</w:t>
          </w:r>
          <w:r w:rsidRPr="00281612">
            <w:t xml:space="preserve"> shows actuals against budget for the year by expenditure typ</w:t>
          </w:r>
          <w:r>
            <w:t>e.</w:t>
          </w:r>
        </w:p>
        <w:p w14:paraId="2BCF4142" w14:textId="37BE5192" w:rsidR="00BA7C05" w:rsidRDefault="00BA7C05" w:rsidP="00565AE1">
          <w:pPr>
            <w:pStyle w:val="Heading4"/>
          </w:pPr>
          <w:r>
            <w:t xml:space="preserve">Graph </w:t>
          </w:r>
          <w:r w:rsidR="007A613C">
            <w:t>2</w:t>
          </w:r>
          <w:r w:rsidR="00CD1225">
            <w:t>:</w:t>
          </w:r>
          <w:r>
            <w:t xml:space="preserve"> Expenditure by type </w:t>
          </w:r>
        </w:p>
        <w:p w14:paraId="42621F23" w14:textId="77777777" w:rsidR="008E2B3D" w:rsidRDefault="00C210BB" w:rsidP="005F7803">
          <w:pPr>
            <w:rPr>
              <w:rStyle w:val="Heading4Char"/>
            </w:rPr>
          </w:pPr>
          <w:r>
            <w:rPr>
              <w:noProof/>
            </w:rPr>
            <w:drawing>
              <wp:inline distT="0" distB="0" distL="0" distR="0" wp14:anchorId="1A45400F" wp14:editId="4F610CE5">
                <wp:extent cx="6188075" cy="3108960"/>
                <wp:effectExtent l="19050" t="19050" r="22225" b="15240"/>
                <wp:docPr id="1893486196" name="Picture 3" descr="Graph 2: Expenditure by type provides SEPA's expenditure to date for staff costs, other staff costs, transport costs, supplies and services, property costs, and depreciation against the available budget.  This is as follows:&#10;Staff costs outturn is £51.5k against a budget of £53.48k.&#10;Other staff costs outturn is £637k against a budget of £337k.&#10;Transport costs outturn is £649k against a budget of £694k.&#10;Supplies and services costs outturn is £10.54k against a budget of £10.15k.&#10;Property costs outturn is £3.28k against a budget of £3.38k.&#10;Depreciation costs outturn is £4.7k against a budget of £4.7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86196" name="Picture 3" descr="Graph 2: Expenditure by type provides SEPA's expenditure to date for staff costs, other staff costs, transport costs, supplies and services, property costs, and depreciation against the available budget.  This is as follows:&#10;Staff costs outturn is £51.5k against a budget of £53.48k.&#10;Other staff costs outturn is £637k against a budget of £337k.&#10;Transport costs outturn is £649k against a budget of £694k.&#10;Supplies and services costs outturn is £10.54k against a budget of £10.15k.&#10;Property costs outturn is £3.28k against a budget of £3.38k.&#10;Depreciation costs outturn is £4.7k against a budget of £4.7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075" cy="3108960"/>
                        </a:xfrm>
                        <a:prstGeom prst="rect">
                          <a:avLst/>
                        </a:prstGeom>
                        <a:noFill/>
                        <a:ln>
                          <a:solidFill>
                            <a:schemeClr val="tx1"/>
                          </a:solidFill>
                        </a:ln>
                      </pic:spPr>
                    </pic:pic>
                  </a:graphicData>
                </a:graphic>
              </wp:inline>
            </w:drawing>
          </w:r>
          <w:r w:rsidR="00A262E4">
            <w:rPr>
              <w:rFonts w:ascii="Arial" w:hAnsi="Arial" w:cs="Arial"/>
              <w:color w:val="000000"/>
              <w:shd w:val="clear" w:color="auto" w:fill="FFFFFF"/>
            </w:rPr>
            <w:br/>
          </w:r>
        </w:p>
        <w:p w14:paraId="38036033" w14:textId="0DC464F7" w:rsidR="0097313C" w:rsidRPr="00E23C51" w:rsidRDefault="00E23C51" w:rsidP="005F7803">
          <w:r w:rsidRPr="005F7803">
            <w:rPr>
              <w:rStyle w:val="Heading4Char"/>
            </w:rPr>
            <w:t>Staff costs and other staff costs</w:t>
          </w:r>
        </w:p>
        <w:p w14:paraId="0E984EBC" w14:textId="7AE89D4E" w:rsidR="00240128" w:rsidRPr="003D4EF9" w:rsidRDefault="00EC716E" w:rsidP="005F7803">
          <w:pPr>
            <w:pStyle w:val="ListParagraph"/>
            <w:numPr>
              <w:ilvl w:val="0"/>
              <w:numId w:val="12"/>
            </w:numPr>
            <w:spacing w:after="120"/>
            <w:ind w:left="1077" w:hanging="652"/>
            <w:contextualSpacing w:val="0"/>
          </w:pPr>
          <w:r w:rsidRPr="00EC716E">
            <w:t xml:space="preserve">Budgeted staff costs represent </w:t>
          </w:r>
          <w:r w:rsidR="00B72FCC">
            <w:t>69</w:t>
          </w:r>
          <w:r w:rsidRPr="00EC716E">
            <w:t>% of total expenditure. The vacancy management level (which represents savings due to vacant posts) was set at 4% or £3.5m</w:t>
          </w:r>
          <w:r w:rsidR="00240128" w:rsidRPr="003D4EF9">
            <w:t xml:space="preserve">.  </w:t>
          </w:r>
          <w:r w:rsidR="008D0622">
            <w:t>Thes</w:t>
          </w:r>
          <w:r w:rsidR="00E73C1A">
            <w:t>e savings have been achieved and accounted for in the forecast outturn.</w:t>
          </w:r>
        </w:p>
        <w:p w14:paraId="13053429" w14:textId="0FD55E4F" w:rsidR="003811F6" w:rsidRDefault="004822EE" w:rsidP="005F7803">
          <w:pPr>
            <w:pStyle w:val="ListParagraph"/>
            <w:numPr>
              <w:ilvl w:val="0"/>
              <w:numId w:val="12"/>
            </w:numPr>
            <w:spacing w:after="120"/>
            <w:ind w:left="1077" w:hanging="652"/>
            <w:contextualSpacing w:val="0"/>
          </w:pPr>
          <w:r>
            <w:t>A forecast increase in vacancy savings is being offset by a forecast overspend in temporary workers and recruitment costs.</w:t>
          </w:r>
        </w:p>
        <w:p w14:paraId="69A13E5F" w14:textId="70BDB845" w:rsidR="00240128" w:rsidRPr="003D4EF9" w:rsidRDefault="00240128" w:rsidP="003D4EF9">
          <w:pPr>
            <w:pStyle w:val="Heading4"/>
          </w:pPr>
          <w:r w:rsidRPr="003D4EF9">
            <w:lastRenderedPageBreak/>
            <w:t xml:space="preserve">Transport </w:t>
          </w:r>
          <w:r w:rsidR="008C2233" w:rsidRPr="003D4EF9">
            <w:t>costs</w:t>
          </w:r>
        </w:p>
        <w:p w14:paraId="09F9D578" w14:textId="054BEAEF" w:rsidR="00240128" w:rsidRPr="003D4EF9" w:rsidRDefault="00240128" w:rsidP="00E35D7B">
          <w:pPr>
            <w:pStyle w:val="ListParagraph"/>
            <w:numPr>
              <w:ilvl w:val="0"/>
              <w:numId w:val="12"/>
            </w:numPr>
            <w:spacing w:after="120"/>
            <w:ind w:left="1077" w:hanging="652"/>
            <w:contextualSpacing w:val="0"/>
          </w:pPr>
          <w:r w:rsidRPr="003D4EF9">
            <w:t>Transport costs are reporting a</w:t>
          </w:r>
          <w:r w:rsidR="00DA05CD">
            <w:t xml:space="preserve"> small</w:t>
          </w:r>
          <w:r w:rsidRPr="003D4EF9">
            <w:t xml:space="preserve"> </w:t>
          </w:r>
          <w:r w:rsidR="00B72FCC">
            <w:t>unde</w:t>
          </w:r>
          <w:r w:rsidRPr="003D4EF9">
            <w:t xml:space="preserve">rspend of </w:t>
          </w:r>
          <w:r w:rsidR="00DA05CD">
            <w:t>£</w:t>
          </w:r>
          <w:r w:rsidR="00B72FCC">
            <w:t>60</w:t>
          </w:r>
          <w:r w:rsidR="00DA05CD">
            <w:t>k</w:t>
          </w:r>
          <w:r w:rsidR="006B7592">
            <w:t xml:space="preserve">, </w:t>
          </w:r>
          <w:r w:rsidR="006B7592" w:rsidRPr="006B7592">
            <w:t xml:space="preserve">underspends in trains and mileage are </w:t>
          </w:r>
          <w:r w:rsidR="00B72FCC">
            <w:t>the main reasons</w:t>
          </w:r>
          <w:r w:rsidR="00B03BF0">
            <w:t>.</w:t>
          </w:r>
        </w:p>
        <w:p w14:paraId="1DFB3C5B" w14:textId="460D0090" w:rsidR="00240128" w:rsidRPr="003D4EF9" w:rsidRDefault="00240128" w:rsidP="003D4EF9">
          <w:pPr>
            <w:pStyle w:val="Heading4"/>
          </w:pPr>
          <w:r w:rsidRPr="003D4EF9">
            <w:t xml:space="preserve">Supplies and </w:t>
          </w:r>
          <w:r w:rsidR="003E64C1">
            <w:t>s</w:t>
          </w:r>
          <w:r w:rsidRPr="003D4EF9">
            <w:t xml:space="preserve">ervices </w:t>
          </w:r>
        </w:p>
        <w:p w14:paraId="28F7EBC3" w14:textId="79EF26AB" w:rsidR="00834621" w:rsidRDefault="00240128" w:rsidP="00E35D7B">
          <w:pPr>
            <w:pStyle w:val="ListParagraph"/>
            <w:numPr>
              <w:ilvl w:val="0"/>
              <w:numId w:val="12"/>
            </w:numPr>
            <w:spacing w:after="120"/>
            <w:ind w:left="1077" w:hanging="652"/>
            <w:contextualSpacing w:val="0"/>
          </w:pPr>
          <w:r w:rsidRPr="003D4EF9">
            <w:t xml:space="preserve">The full year forecast is currently reporting an </w:t>
          </w:r>
          <w:r w:rsidR="00BD56D4">
            <w:t>ov</w:t>
          </w:r>
          <w:r w:rsidRPr="003D4EF9">
            <w:t>erspend of £0.</w:t>
          </w:r>
          <w:r w:rsidR="00B72FCC">
            <w:t>5</w:t>
          </w:r>
          <w:r w:rsidR="004D30C5">
            <w:t>5</w:t>
          </w:r>
          <w:r w:rsidRPr="003D4EF9">
            <w:t xml:space="preserve">m. There are </w:t>
          </w:r>
          <w:r w:rsidR="002830DD">
            <w:t>several</w:t>
          </w:r>
          <w:r w:rsidRPr="003D4EF9">
            <w:t xml:space="preserve"> offsetting variances, </w:t>
          </w:r>
          <w:r w:rsidR="00415351">
            <w:t>with t</w:t>
          </w:r>
          <w:r w:rsidR="00834621">
            <w:t>he most significant being:</w:t>
          </w:r>
        </w:p>
        <w:p w14:paraId="46C1EE12" w14:textId="56EE37C4" w:rsidR="00962E9F" w:rsidRDefault="00962E9F" w:rsidP="00962E9F">
          <w:pPr>
            <w:pStyle w:val="ListParagraph"/>
            <w:numPr>
              <w:ilvl w:val="0"/>
              <w:numId w:val="9"/>
            </w:numPr>
            <w:contextualSpacing w:val="0"/>
          </w:pPr>
          <w:r w:rsidRPr="00255B73">
            <w:t>Software maintenance (£</w:t>
          </w:r>
          <w:r w:rsidR="00E868DA">
            <w:t>0.1</w:t>
          </w:r>
          <w:r w:rsidR="00B72FCC">
            <w:t>8</w:t>
          </w:r>
          <w:r w:rsidR="00E868DA">
            <w:t>m</w:t>
          </w:r>
          <w:r w:rsidRPr="00255B73">
            <w:t xml:space="preserve">) in relation to spend on enterprise cloud support and logistics contract to facilitate </w:t>
          </w:r>
          <w:r w:rsidR="00FA1339">
            <w:t>hybrid</w:t>
          </w:r>
          <w:r w:rsidRPr="00255B73">
            <w:t xml:space="preserve"> working. </w:t>
          </w:r>
        </w:p>
        <w:p w14:paraId="20E412CE" w14:textId="1F0967DD" w:rsidR="00C05DB1" w:rsidRPr="00C05DB1" w:rsidRDefault="00C05DB1" w:rsidP="00C05DB1">
          <w:pPr>
            <w:pStyle w:val="ListParagraph"/>
            <w:numPr>
              <w:ilvl w:val="0"/>
              <w:numId w:val="9"/>
            </w:numPr>
          </w:pPr>
          <w:r w:rsidRPr="00C05DB1">
            <w:t>Professional Services (£</w:t>
          </w:r>
          <w:r w:rsidR="00E868DA">
            <w:t>0.13m</w:t>
          </w:r>
          <w:r w:rsidRPr="00C05DB1">
            <w:t>) in relation to the lone worker contract</w:t>
          </w:r>
          <w:r w:rsidR="0023301C">
            <w:t>,</w:t>
          </w:r>
          <w:r w:rsidRPr="00C05DB1">
            <w:t xml:space="preserve"> desktop valuations</w:t>
          </w:r>
          <w:r w:rsidR="00B72FCC">
            <w:t xml:space="preserve"> and flood warning dissemination costs</w:t>
          </w:r>
          <w:r w:rsidRPr="00C05DB1">
            <w:t>.</w:t>
          </w:r>
        </w:p>
        <w:p w14:paraId="37BAF864" w14:textId="2DAB54A0" w:rsidR="003B3596" w:rsidRPr="00255B73" w:rsidRDefault="00C05DB1" w:rsidP="00962E9F">
          <w:pPr>
            <w:pStyle w:val="ListParagraph"/>
            <w:numPr>
              <w:ilvl w:val="0"/>
              <w:numId w:val="9"/>
            </w:numPr>
            <w:contextualSpacing w:val="0"/>
          </w:pPr>
          <w:r w:rsidRPr="00C05DB1">
            <w:t>Subcontracted work (£</w:t>
          </w:r>
          <w:r w:rsidR="00E868DA">
            <w:t>0.</w:t>
          </w:r>
          <w:r w:rsidR="00B72FCC">
            <w:t>13</w:t>
          </w:r>
          <w:r w:rsidR="00E868DA">
            <w:t>m</w:t>
          </w:r>
          <w:r w:rsidRPr="00C05DB1">
            <w:t>) mainly relates to ongoing projects in Environmental Quality</w:t>
          </w:r>
          <w:r w:rsidR="00B72FCC">
            <w:t xml:space="preserve"> and the migration of the Agresso finance system.</w:t>
          </w:r>
        </w:p>
        <w:p w14:paraId="7A34EBFA" w14:textId="6F0C62D6" w:rsidR="00505F63" w:rsidRPr="00737496" w:rsidRDefault="00505F63" w:rsidP="00333800">
          <w:pPr>
            <w:pStyle w:val="ListParagraph"/>
            <w:numPr>
              <w:ilvl w:val="0"/>
              <w:numId w:val="12"/>
            </w:numPr>
            <w:spacing w:after="120"/>
            <w:ind w:left="1077" w:hanging="652"/>
            <w:contextualSpacing w:val="0"/>
          </w:pPr>
          <w:r w:rsidRPr="00737496">
            <w:t>The supplies and services forecast currently includes £</w:t>
          </w:r>
          <w:r w:rsidR="00515968">
            <w:t>0.</w:t>
          </w:r>
          <w:r w:rsidR="00B72FCC">
            <w:t>3</w:t>
          </w:r>
          <w:r w:rsidR="00515968">
            <w:t>m</w:t>
          </w:r>
          <w:r w:rsidRPr="00737496">
            <w:t xml:space="preserve"> general contingency, these</w:t>
          </w:r>
          <w:r w:rsidR="00CE2A4F">
            <w:t xml:space="preserve"> </w:t>
          </w:r>
          <w:r w:rsidRPr="00737496">
            <w:t>funds are available to help manage risks in relation to unplanned expenditure</w:t>
          </w:r>
          <w:r w:rsidR="007814EC">
            <w:t>.</w:t>
          </w:r>
          <w:r w:rsidRPr="00737496">
            <w:t xml:space="preserve"> </w:t>
          </w:r>
        </w:p>
        <w:p w14:paraId="57788FF5" w14:textId="6345AF10" w:rsidR="00E755DA" w:rsidRPr="00E755DA" w:rsidRDefault="00E755DA" w:rsidP="00333800">
          <w:pPr>
            <w:pStyle w:val="Heading4"/>
          </w:pPr>
          <w:r w:rsidRPr="00E755DA">
            <w:t xml:space="preserve">Property costs </w:t>
          </w:r>
        </w:p>
        <w:p w14:paraId="73BA4DC8" w14:textId="405819FA" w:rsidR="00274F39" w:rsidRDefault="00E74E08" w:rsidP="00333800">
          <w:pPr>
            <w:pStyle w:val="ListParagraph"/>
            <w:numPr>
              <w:ilvl w:val="0"/>
              <w:numId w:val="12"/>
            </w:numPr>
            <w:spacing w:after="120"/>
            <w:ind w:left="1077" w:hanging="652"/>
            <w:contextualSpacing w:val="0"/>
          </w:pPr>
          <w:r w:rsidRPr="00E74E08">
            <w:t>The full year forecast is currently reporting an overspend of £</w:t>
          </w:r>
          <w:r w:rsidR="00EB5692">
            <w:t>0.1</w:t>
          </w:r>
          <w:r w:rsidR="00B72FCC">
            <w:t>3</w:t>
          </w:r>
          <w:r w:rsidR="00EB5692">
            <w:t>m</w:t>
          </w:r>
          <w:r w:rsidRPr="00E74E08">
            <w:t xml:space="preserve">. </w:t>
          </w:r>
          <w:r w:rsidR="003304C3" w:rsidRPr="003304C3">
            <w:t>The most significant of which relates to reactive maintenance property maintenance £0.15m</w:t>
          </w:r>
          <w:r w:rsidR="0001601E">
            <w:t xml:space="preserve">. </w:t>
          </w:r>
          <w:r w:rsidR="00274F39">
            <w:br w:type="page"/>
          </w:r>
        </w:p>
        <w:p w14:paraId="046B36B4" w14:textId="038A6000" w:rsidR="00687957" w:rsidRPr="000D6B11" w:rsidRDefault="00687957" w:rsidP="000D6B11">
          <w:pPr>
            <w:pStyle w:val="Heading2"/>
            <w:numPr>
              <w:ilvl w:val="0"/>
              <w:numId w:val="10"/>
            </w:numPr>
            <w:ind w:left="567" w:hanging="567"/>
            <w:rPr>
              <w:rStyle w:val="normaltextrun"/>
              <w:color w:val="auto"/>
              <w:sz w:val="28"/>
              <w:szCs w:val="28"/>
            </w:rPr>
          </w:pPr>
          <w:r w:rsidRPr="000D6B11">
            <w:rPr>
              <w:rStyle w:val="normaltextrun"/>
              <w:color w:val="auto"/>
              <w:sz w:val="28"/>
              <w:szCs w:val="28"/>
            </w:rPr>
            <w:lastRenderedPageBreak/>
            <w:t>Capital</w:t>
          </w:r>
        </w:p>
        <w:p w14:paraId="201E44CD" w14:textId="32E0FAB9" w:rsidR="00687957" w:rsidRDefault="00687957" w:rsidP="0052464C">
          <w:pPr>
            <w:pStyle w:val="Heading4"/>
            <w:spacing w:after="0" w:line="360" w:lineRule="auto"/>
          </w:pPr>
          <w:r>
            <w:t xml:space="preserve">Table </w:t>
          </w:r>
          <w:r w:rsidR="00E32B12">
            <w:t>3</w:t>
          </w:r>
          <w:r w:rsidR="006D71A0">
            <w:t xml:space="preserve">: </w:t>
          </w:r>
          <w:r>
            <w:t>Capital expenditure</w:t>
          </w:r>
        </w:p>
        <w:tbl>
          <w:tblPr>
            <w:tblStyle w:val="TableGrid"/>
            <w:tblW w:w="10627" w:type="dxa"/>
            <w:tblLook w:val="04A0" w:firstRow="1" w:lastRow="0" w:firstColumn="1" w:lastColumn="0" w:noHBand="0" w:noVBand="1"/>
          </w:tblPr>
          <w:tblGrid>
            <w:gridCol w:w="3397"/>
            <w:gridCol w:w="1134"/>
            <w:gridCol w:w="1337"/>
            <w:gridCol w:w="4759"/>
          </w:tblGrid>
          <w:tr w:rsidR="008E461D" w14:paraId="2806A3CF" w14:textId="77777777" w:rsidTr="00A72CBA">
            <w:trPr>
              <w:cantSplit/>
              <w:tblHeader/>
            </w:trPr>
            <w:tc>
              <w:tcPr>
                <w:tcW w:w="3397" w:type="dxa"/>
                <w:tcBorders>
                  <w:right w:val="single" w:sz="4" w:space="0" w:color="FFFFFF" w:themeColor="background1"/>
                </w:tcBorders>
                <w:shd w:val="clear" w:color="auto" w:fill="016574" w:themeFill="accent2"/>
              </w:tcPr>
              <w:p w14:paraId="4998B83A" w14:textId="5CC5CEEC" w:rsidR="008E461D" w:rsidRPr="00C91A34" w:rsidRDefault="00AB17CA" w:rsidP="00C91A34">
                <w:pPr>
                  <w:spacing w:after="0"/>
                  <w:rPr>
                    <w:rStyle w:val="normaltextrun"/>
                    <w:rFonts w:ascii="Arial" w:hAnsi="Arial" w:cs="Arial"/>
                    <w:b/>
                    <w:bCs/>
                    <w:color w:val="FFFFFF" w:themeColor="background1"/>
                  </w:rPr>
                </w:pPr>
                <w:r w:rsidRPr="00C91A34">
                  <w:rPr>
                    <w:rStyle w:val="normaltextrun"/>
                    <w:rFonts w:ascii="Arial" w:hAnsi="Arial" w:cs="Arial"/>
                    <w:b/>
                    <w:bCs/>
                    <w:color w:val="FFFFFF" w:themeColor="background1"/>
                  </w:rPr>
                  <w:t>Function</w:t>
                </w:r>
              </w:p>
            </w:tc>
            <w:tc>
              <w:tcPr>
                <w:tcW w:w="1134" w:type="dxa"/>
                <w:tcBorders>
                  <w:left w:val="single" w:sz="4" w:space="0" w:color="FFFFFF" w:themeColor="background1"/>
                  <w:right w:val="single" w:sz="4" w:space="0" w:color="FFFFFF" w:themeColor="background1"/>
                </w:tcBorders>
                <w:shd w:val="clear" w:color="auto" w:fill="016574" w:themeFill="accent2"/>
              </w:tcPr>
              <w:p w14:paraId="02E072D7" w14:textId="1E4729A1" w:rsidR="008E461D" w:rsidRPr="00C91A34" w:rsidRDefault="00AB17CA" w:rsidP="00C91A34">
                <w:pPr>
                  <w:spacing w:after="0"/>
                  <w:jc w:val="right"/>
                  <w:rPr>
                    <w:rStyle w:val="normaltextrun"/>
                    <w:rFonts w:ascii="Arial" w:hAnsi="Arial" w:cs="Arial"/>
                    <w:b/>
                    <w:bCs/>
                    <w:color w:val="FFFFFF" w:themeColor="background1"/>
                  </w:rPr>
                </w:pPr>
                <w:r w:rsidRPr="00C91A34">
                  <w:rPr>
                    <w:rStyle w:val="normaltextrun"/>
                    <w:rFonts w:ascii="Arial" w:hAnsi="Arial" w:cs="Arial"/>
                    <w:b/>
                    <w:bCs/>
                    <w:color w:val="FFFFFF" w:themeColor="background1"/>
                  </w:rPr>
                  <w:t>Budget £</w:t>
                </w:r>
                <w:r w:rsidR="00954194" w:rsidRPr="00C91A34">
                  <w:rPr>
                    <w:rStyle w:val="normaltextrun"/>
                    <w:rFonts w:ascii="Arial" w:hAnsi="Arial" w:cs="Arial"/>
                    <w:b/>
                    <w:bCs/>
                    <w:color w:val="FFFFFF" w:themeColor="background1"/>
                  </w:rPr>
                  <w:t>’000</w:t>
                </w:r>
              </w:p>
            </w:tc>
            <w:tc>
              <w:tcPr>
                <w:tcW w:w="1337" w:type="dxa"/>
                <w:tcBorders>
                  <w:left w:val="single" w:sz="4" w:space="0" w:color="FFFFFF" w:themeColor="background1"/>
                  <w:right w:val="single" w:sz="4" w:space="0" w:color="FFFFFF" w:themeColor="background1"/>
                </w:tcBorders>
                <w:shd w:val="clear" w:color="auto" w:fill="016574" w:themeFill="accent2"/>
              </w:tcPr>
              <w:p w14:paraId="77A241CC" w14:textId="202D7A76" w:rsidR="008E461D" w:rsidRPr="00C91A34" w:rsidRDefault="00954194" w:rsidP="00C91A34">
                <w:pPr>
                  <w:spacing w:after="0"/>
                  <w:jc w:val="right"/>
                  <w:rPr>
                    <w:rStyle w:val="normaltextrun"/>
                    <w:rFonts w:ascii="Arial" w:hAnsi="Arial" w:cs="Arial"/>
                    <w:b/>
                    <w:bCs/>
                    <w:color w:val="FFFFFF" w:themeColor="background1"/>
                  </w:rPr>
                </w:pPr>
                <w:r w:rsidRPr="00C91A34">
                  <w:rPr>
                    <w:rStyle w:val="normaltextrun"/>
                    <w:rFonts w:ascii="Arial" w:hAnsi="Arial" w:cs="Arial"/>
                    <w:b/>
                    <w:bCs/>
                    <w:color w:val="FFFFFF" w:themeColor="background1"/>
                  </w:rPr>
                  <w:t>Approved projects £’000</w:t>
                </w:r>
              </w:p>
            </w:tc>
            <w:tc>
              <w:tcPr>
                <w:tcW w:w="4759" w:type="dxa"/>
                <w:tcBorders>
                  <w:left w:val="single" w:sz="4" w:space="0" w:color="FFFFFF" w:themeColor="background1"/>
                </w:tcBorders>
                <w:shd w:val="clear" w:color="auto" w:fill="016574" w:themeFill="accent2"/>
              </w:tcPr>
              <w:p w14:paraId="26C328F2" w14:textId="5D3950F2" w:rsidR="008E461D" w:rsidRPr="00C91A34" w:rsidRDefault="00954194" w:rsidP="00C91A34">
                <w:pPr>
                  <w:spacing w:after="0"/>
                  <w:rPr>
                    <w:rStyle w:val="normaltextrun"/>
                    <w:rFonts w:ascii="Arial" w:hAnsi="Arial" w:cs="Arial"/>
                    <w:b/>
                    <w:bCs/>
                    <w:color w:val="FFFFFF" w:themeColor="background1"/>
                  </w:rPr>
                </w:pPr>
                <w:r w:rsidRPr="00C91A34">
                  <w:rPr>
                    <w:rStyle w:val="normaltextrun"/>
                    <w:rFonts w:ascii="Arial" w:hAnsi="Arial" w:cs="Arial"/>
                    <w:b/>
                    <w:bCs/>
                    <w:color w:val="FFFFFF" w:themeColor="background1"/>
                  </w:rPr>
                  <w:t>Main areas of risk within function budgets</w:t>
                </w:r>
              </w:p>
            </w:tc>
          </w:tr>
          <w:tr w:rsidR="008E461D" w14:paraId="3315BDD5" w14:textId="77777777" w:rsidTr="00A72CBA">
            <w:trPr>
              <w:cantSplit/>
            </w:trPr>
            <w:tc>
              <w:tcPr>
                <w:tcW w:w="3397" w:type="dxa"/>
              </w:tcPr>
              <w:p w14:paraId="4D6057B3" w14:textId="6691AEF8" w:rsidR="008E461D" w:rsidRPr="00C91A34" w:rsidRDefault="00954194" w:rsidP="00C91A34">
                <w:pPr>
                  <w:spacing w:after="0"/>
                  <w:rPr>
                    <w:rStyle w:val="normaltextrun"/>
                    <w:rFonts w:ascii="Arial" w:hAnsi="Arial" w:cs="Arial"/>
                  </w:rPr>
                </w:pPr>
                <w:r w:rsidRPr="00C91A34">
                  <w:rPr>
                    <w:rStyle w:val="normaltextrun"/>
                    <w:rFonts w:ascii="Arial" w:hAnsi="Arial" w:cs="Arial"/>
                  </w:rPr>
                  <w:t>Permitting</w:t>
                </w:r>
              </w:p>
            </w:tc>
            <w:tc>
              <w:tcPr>
                <w:tcW w:w="1134" w:type="dxa"/>
              </w:tcPr>
              <w:p w14:paraId="04113A29" w14:textId="51FB681B" w:rsidR="008E461D" w:rsidRPr="00C91A34" w:rsidRDefault="00954194" w:rsidP="00C91A34">
                <w:pPr>
                  <w:spacing w:after="0"/>
                  <w:jc w:val="right"/>
                  <w:rPr>
                    <w:rStyle w:val="normaltextrun"/>
                    <w:rFonts w:ascii="Arial" w:hAnsi="Arial" w:cs="Arial"/>
                  </w:rPr>
                </w:pPr>
                <w:r w:rsidRPr="00C91A34">
                  <w:rPr>
                    <w:rStyle w:val="normaltextrun"/>
                    <w:rFonts w:ascii="Arial" w:hAnsi="Arial" w:cs="Arial"/>
                  </w:rPr>
                  <w:t>60</w:t>
                </w:r>
              </w:p>
            </w:tc>
            <w:tc>
              <w:tcPr>
                <w:tcW w:w="1337" w:type="dxa"/>
              </w:tcPr>
              <w:p w14:paraId="23F0D8FD" w14:textId="05A43D46" w:rsidR="008E461D" w:rsidRPr="00C91A34" w:rsidRDefault="00954194" w:rsidP="00C91A34">
                <w:pPr>
                  <w:spacing w:after="0"/>
                  <w:jc w:val="right"/>
                  <w:rPr>
                    <w:rStyle w:val="normaltextrun"/>
                    <w:rFonts w:ascii="Arial" w:hAnsi="Arial" w:cs="Arial"/>
                  </w:rPr>
                </w:pPr>
                <w:r w:rsidRPr="00C91A34">
                  <w:rPr>
                    <w:rStyle w:val="normaltextrun"/>
                    <w:rFonts w:ascii="Arial" w:hAnsi="Arial" w:cs="Arial"/>
                  </w:rPr>
                  <w:t>25</w:t>
                </w:r>
              </w:p>
            </w:tc>
            <w:tc>
              <w:tcPr>
                <w:tcW w:w="4759" w:type="dxa"/>
              </w:tcPr>
              <w:p w14:paraId="69C12E2F" w14:textId="45986D90" w:rsidR="008E461D" w:rsidRPr="00C91A34" w:rsidRDefault="00954194" w:rsidP="00C91A34">
                <w:pPr>
                  <w:spacing w:after="0"/>
                  <w:rPr>
                    <w:rStyle w:val="normaltextrun"/>
                    <w:rFonts w:ascii="Arial" w:hAnsi="Arial" w:cs="Arial"/>
                  </w:rPr>
                </w:pPr>
                <w:r w:rsidRPr="00C91A34">
                  <w:rPr>
                    <w:rStyle w:val="normaltextrun"/>
                    <w:rFonts w:ascii="Arial" w:hAnsi="Arial" w:cs="Arial"/>
                  </w:rPr>
                  <w:t>Integrated Authorisation Framework implementation planned for quarter 3 and quarter 4</w:t>
                </w:r>
              </w:p>
            </w:tc>
          </w:tr>
          <w:tr w:rsidR="008E461D" w14:paraId="0552020B" w14:textId="77777777" w:rsidTr="00A72CBA">
            <w:trPr>
              <w:cantSplit/>
            </w:trPr>
            <w:tc>
              <w:tcPr>
                <w:tcW w:w="3397" w:type="dxa"/>
              </w:tcPr>
              <w:p w14:paraId="64205869" w14:textId="7C3C053A" w:rsidR="008E461D" w:rsidRPr="00C91A34" w:rsidRDefault="00954194" w:rsidP="00C91A34">
                <w:pPr>
                  <w:spacing w:after="0"/>
                  <w:rPr>
                    <w:rStyle w:val="normaltextrun"/>
                    <w:rFonts w:ascii="Arial" w:hAnsi="Arial" w:cs="Arial"/>
                  </w:rPr>
                </w:pPr>
                <w:r w:rsidRPr="00C91A34">
                  <w:rPr>
                    <w:rStyle w:val="normaltextrun"/>
                    <w:rFonts w:ascii="Arial" w:hAnsi="Arial" w:cs="Arial"/>
                  </w:rPr>
                  <w:t>Enforcement</w:t>
                </w:r>
              </w:p>
            </w:tc>
            <w:tc>
              <w:tcPr>
                <w:tcW w:w="1134" w:type="dxa"/>
              </w:tcPr>
              <w:p w14:paraId="47ECB1A6" w14:textId="41B8F609" w:rsidR="008E461D" w:rsidRPr="00C91A34" w:rsidRDefault="00954194" w:rsidP="00C91A34">
                <w:pPr>
                  <w:spacing w:after="0"/>
                  <w:jc w:val="right"/>
                  <w:rPr>
                    <w:rStyle w:val="normaltextrun"/>
                    <w:rFonts w:ascii="Arial" w:hAnsi="Arial" w:cs="Arial"/>
                  </w:rPr>
                </w:pPr>
                <w:r w:rsidRPr="00C91A34">
                  <w:rPr>
                    <w:rStyle w:val="normaltextrun"/>
                    <w:rFonts w:ascii="Arial" w:hAnsi="Arial" w:cs="Arial"/>
                  </w:rPr>
                  <w:t>15</w:t>
                </w:r>
              </w:p>
            </w:tc>
            <w:tc>
              <w:tcPr>
                <w:tcW w:w="1337" w:type="dxa"/>
              </w:tcPr>
              <w:p w14:paraId="5E6810A8" w14:textId="3E323EDE" w:rsidR="008E461D" w:rsidRPr="00C91A34" w:rsidRDefault="00954194" w:rsidP="00C91A34">
                <w:pPr>
                  <w:spacing w:after="0"/>
                  <w:jc w:val="right"/>
                  <w:rPr>
                    <w:rStyle w:val="normaltextrun"/>
                    <w:rFonts w:ascii="Arial" w:hAnsi="Arial" w:cs="Arial"/>
                  </w:rPr>
                </w:pPr>
                <w:r w:rsidRPr="00C91A34">
                  <w:rPr>
                    <w:rStyle w:val="normaltextrun"/>
                    <w:rFonts w:ascii="Arial" w:hAnsi="Arial" w:cs="Arial"/>
                  </w:rPr>
                  <w:t>20</w:t>
                </w:r>
              </w:p>
            </w:tc>
            <w:tc>
              <w:tcPr>
                <w:tcW w:w="4759" w:type="dxa"/>
              </w:tcPr>
              <w:p w14:paraId="5953F7B0" w14:textId="2DD75E59" w:rsidR="008E461D" w:rsidRPr="00C91A34" w:rsidRDefault="00954194" w:rsidP="00C91A34">
                <w:pPr>
                  <w:spacing w:after="0"/>
                  <w:rPr>
                    <w:rStyle w:val="normaltextrun"/>
                    <w:rFonts w:ascii="Arial" w:hAnsi="Arial" w:cs="Arial"/>
                  </w:rPr>
                </w:pPr>
                <w:r w:rsidRPr="00C91A34">
                  <w:rPr>
                    <w:rStyle w:val="normaltextrun"/>
                    <w:rFonts w:ascii="Arial" w:hAnsi="Arial" w:cs="Arial"/>
                  </w:rPr>
                  <w:t>Enforcement camera</w:t>
                </w:r>
              </w:p>
            </w:tc>
          </w:tr>
          <w:tr w:rsidR="008E461D" w14:paraId="6EF3F7AC" w14:textId="77777777" w:rsidTr="00A72CBA">
            <w:trPr>
              <w:cantSplit/>
            </w:trPr>
            <w:tc>
              <w:tcPr>
                <w:tcW w:w="3397" w:type="dxa"/>
              </w:tcPr>
              <w:p w14:paraId="36251113" w14:textId="1CBF5416" w:rsidR="008E461D" w:rsidRPr="00C91A34" w:rsidRDefault="00954194" w:rsidP="00C91A34">
                <w:pPr>
                  <w:spacing w:after="0"/>
                  <w:rPr>
                    <w:rStyle w:val="normaltextrun"/>
                    <w:rFonts w:ascii="Arial" w:hAnsi="Arial" w:cs="Arial"/>
                  </w:rPr>
                </w:pPr>
                <w:r w:rsidRPr="00C91A34">
                  <w:rPr>
                    <w:rStyle w:val="normaltextrun"/>
                    <w:rFonts w:ascii="Arial" w:hAnsi="Arial" w:cs="Arial"/>
                  </w:rPr>
                  <w:t xml:space="preserve">Energy and materials </w:t>
                </w:r>
              </w:p>
            </w:tc>
            <w:tc>
              <w:tcPr>
                <w:tcW w:w="1134" w:type="dxa"/>
              </w:tcPr>
              <w:p w14:paraId="470CDEC4" w14:textId="7309844A" w:rsidR="008E461D" w:rsidRPr="00C91A34" w:rsidRDefault="00954194" w:rsidP="00C91A34">
                <w:pPr>
                  <w:spacing w:after="0"/>
                  <w:jc w:val="right"/>
                  <w:rPr>
                    <w:rStyle w:val="normaltextrun"/>
                    <w:rFonts w:ascii="Arial" w:hAnsi="Arial" w:cs="Arial"/>
                  </w:rPr>
                </w:pPr>
                <w:r w:rsidRPr="00C91A34">
                  <w:rPr>
                    <w:rStyle w:val="normaltextrun"/>
                    <w:rFonts w:ascii="Arial" w:hAnsi="Arial" w:cs="Arial"/>
                  </w:rPr>
                  <w:t>0</w:t>
                </w:r>
              </w:p>
            </w:tc>
            <w:tc>
              <w:tcPr>
                <w:tcW w:w="1337" w:type="dxa"/>
              </w:tcPr>
              <w:p w14:paraId="53CAEF60" w14:textId="59EAEAF7" w:rsidR="008E461D" w:rsidRPr="00C91A34" w:rsidRDefault="00954194" w:rsidP="00C91A34">
                <w:pPr>
                  <w:spacing w:after="0"/>
                  <w:jc w:val="right"/>
                  <w:rPr>
                    <w:rStyle w:val="normaltextrun"/>
                    <w:rFonts w:ascii="Arial" w:hAnsi="Arial" w:cs="Arial"/>
                  </w:rPr>
                </w:pPr>
                <w:r w:rsidRPr="00C91A34">
                  <w:rPr>
                    <w:rStyle w:val="normaltextrun"/>
                    <w:rFonts w:ascii="Arial" w:hAnsi="Arial" w:cs="Arial"/>
                  </w:rPr>
                  <w:t>89</w:t>
                </w:r>
              </w:p>
            </w:tc>
            <w:tc>
              <w:tcPr>
                <w:tcW w:w="4759" w:type="dxa"/>
              </w:tcPr>
              <w:p w14:paraId="2B4E1E7A" w14:textId="2CE1760C" w:rsidR="008E461D" w:rsidRPr="00C91A34" w:rsidRDefault="00954194" w:rsidP="00C91A34">
                <w:pPr>
                  <w:spacing w:after="0"/>
                  <w:rPr>
                    <w:rStyle w:val="normaltextrun"/>
                    <w:rFonts w:ascii="Arial" w:hAnsi="Arial" w:cs="Arial"/>
                  </w:rPr>
                </w:pPr>
                <w:r w:rsidRPr="00C91A34">
                  <w:rPr>
                    <w:rStyle w:val="normaltextrun"/>
                    <w:rFonts w:ascii="Arial" w:hAnsi="Arial" w:cs="Arial"/>
                  </w:rPr>
                  <w:t>Materials data platform. Mostly internal staff costs.</w:t>
                </w:r>
              </w:p>
            </w:tc>
          </w:tr>
          <w:tr w:rsidR="008E461D" w14:paraId="0EDAC007" w14:textId="77777777" w:rsidTr="00A72CBA">
            <w:trPr>
              <w:cantSplit/>
            </w:trPr>
            <w:tc>
              <w:tcPr>
                <w:tcW w:w="3397" w:type="dxa"/>
              </w:tcPr>
              <w:p w14:paraId="20717B05" w14:textId="41944EBC" w:rsidR="008E461D" w:rsidRPr="00C91A34" w:rsidRDefault="00C97F6E" w:rsidP="00C91A34">
                <w:pPr>
                  <w:spacing w:after="0"/>
                  <w:rPr>
                    <w:rStyle w:val="normaltextrun"/>
                    <w:rFonts w:ascii="Arial" w:hAnsi="Arial" w:cs="Arial"/>
                  </w:rPr>
                </w:pPr>
                <w:r w:rsidRPr="00C91A34">
                  <w:rPr>
                    <w:rStyle w:val="normaltextrun"/>
                    <w:rFonts w:ascii="Arial" w:hAnsi="Arial" w:cs="Arial"/>
                  </w:rPr>
                  <w:t>Chemistry</w:t>
                </w:r>
              </w:p>
            </w:tc>
            <w:tc>
              <w:tcPr>
                <w:tcW w:w="1134" w:type="dxa"/>
              </w:tcPr>
              <w:p w14:paraId="3C893A45" w14:textId="5CE0D151" w:rsidR="008E461D" w:rsidRPr="00C91A34" w:rsidRDefault="00C97F6E" w:rsidP="00C91A34">
                <w:pPr>
                  <w:spacing w:after="0"/>
                  <w:jc w:val="right"/>
                  <w:rPr>
                    <w:rStyle w:val="normaltextrun"/>
                    <w:rFonts w:ascii="Arial" w:hAnsi="Arial" w:cs="Arial"/>
                  </w:rPr>
                </w:pPr>
                <w:r w:rsidRPr="00C91A34">
                  <w:rPr>
                    <w:rStyle w:val="normaltextrun"/>
                    <w:rFonts w:ascii="Arial" w:hAnsi="Arial" w:cs="Arial"/>
                  </w:rPr>
                  <w:t>1,733</w:t>
                </w:r>
              </w:p>
            </w:tc>
            <w:tc>
              <w:tcPr>
                <w:tcW w:w="1337" w:type="dxa"/>
              </w:tcPr>
              <w:p w14:paraId="778D3F88" w14:textId="7DB30206" w:rsidR="008E461D" w:rsidRPr="00C91A34" w:rsidRDefault="00C97F6E" w:rsidP="00C91A34">
                <w:pPr>
                  <w:spacing w:after="0"/>
                  <w:jc w:val="right"/>
                  <w:rPr>
                    <w:rStyle w:val="normaltextrun"/>
                    <w:rFonts w:ascii="Arial" w:hAnsi="Arial" w:cs="Arial"/>
                  </w:rPr>
                </w:pPr>
                <w:r w:rsidRPr="00C91A34">
                  <w:rPr>
                    <w:rStyle w:val="normaltextrun"/>
                    <w:rFonts w:ascii="Arial" w:hAnsi="Arial" w:cs="Arial"/>
                  </w:rPr>
                  <w:t>1,873</w:t>
                </w:r>
              </w:p>
            </w:tc>
            <w:tc>
              <w:tcPr>
                <w:tcW w:w="4759" w:type="dxa"/>
              </w:tcPr>
              <w:p w14:paraId="00CB35C7" w14:textId="6E0E4AE1" w:rsidR="008E461D" w:rsidRPr="00C91A34" w:rsidRDefault="00C97F6E" w:rsidP="00C91A34">
                <w:pPr>
                  <w:spacing w:after="0"/>
                  <w:rPr>
                    <w:rStyle w:val="normaltextrun"/>
                    <w:rFonts w:ascii="Arial" w:hAnsi="Arial" w:cs="Arial"/>
                  </w:rPr>
                </w:pPr>
                <w:r w:rsidRPr="00C91A34">
                  <w:rPr>
                    <w:rStyle w:val="normaltextrun"/>
                    <w:rFonts w:ascii="Arial" w:hAnsi="Arial" w:cs="Arial"/>
                  </w:rPr>
                  <w:t xml:space="preserve">Gas </w:t>
                </w:r>
                <w:proofErr w:type="spellStart"/>
                <w:r w:rsidRPr="00C91A34">
                  <w:rPr>
                    <w:rStyle w:val="normaltextrun"/>
                    <w:rFonts w:ascii="Arial" w:hAnsi="Arial" w:cs="Arial"/>
                  </w:rPr>
                  <w:t>Chromotographers</w:t>
                </w:r>
                <w:proofErr w:type="spellEnd"/>
                <w:r w:rsidR="00C96930" w:rsidRPr="00C91A34">
                  <w:rPr>
                    <w:rStyle w:val="normaltextrun"/>
                    <w:rFonts w:ascii="Arial" w:hAnsi="Arial" w:cs="Arial"/>
                  </w:rPr>
                  <w:t xml:space="preserve"> and nutrients analyser</w:t>
                </w:r>
              </w:p>
            </w:tc>
          </w:tr>
          <w:tr w:rsidR="008E461D" w14:paraId="527CD5EA" w14:textId="77777777" w:rsidTr="00A72CBA">
            <w:trPr>
              <w:cantSplit/>
            </w:trPr>
            <w:tc>
              <w:tcPr>
                <w:tcW w:w="3397" w:type="dxa"/>
              </w:tcPr>
              <w:p w14:paraId="790590E0" w14:textId="7B08C995" w:rsidR="008E461D" w:rsidRPr="00C91A34" w:rsidRDefault="00C96930" w:rsidP="00C91A34">
                <w:pPr>
                  <w:spacing w:after="0"/>
                  <w:rPr>
                    <w:rStyle w:val="normaltextrun"/>
                    <w:rFonts w:ascii="Arial" w:hAnsi="Arial" w:cs="Arial"/>
                  </w:rPr>
                </w:pPr>
                <w:r w:rsidRPr="00C91A34">
                  <w:rPr>
                    <w:rStyle w:val="normaltextrun"/>
                    <w:rFonts w:ascii="Arial" w:hAnsi="Arial" w:cs="Arial"/>
                  </w:rPr>
                  <w:t>Ecology</w:t>
                </w:r>
              </w:p>
            </w:tc>
            <w:tc>
              <w:tcPr>
                <w:tcW w:w="1134" w:type="dxa"/>
              </w:tcPr>
              <w:p w14:paraId="6593DFE4" w14:textId="21DCEFBC" w:rsidR="008E461D" w:rsidRPr="00C91A34" w:rsidRDefault="00C96930" w:rsidP="00C91A34">
                <w:pPr>
                  <w:spacing w:after="0"/>
                  <w:jc w:val="right"/>
                  <w:rPr>
                    <w:rStyle w:val="normaltextrun"/>
                    <w:rFonts w:ascii="Arial" w:hAnsi="Arial" w:cs="Arial"/>
                  </w:rPr>
                </w:pPr>
                <w:r w:rsidRPr="00C91A34">
                  <w:rPr>
                    <w:rStyle w:val="normaltextrun"/>
                    <w:rFonts w:ascii="Arial" w:hAnsi="Arial" w:cs="Arial"/>
                  </w:rPr>
                  <w:t>500</w:t>
                </w:r>
              </w:p>
            </w:tc>
            <w:tc>
              <w:tcPr>
                <w:tcW w:w="1337" w:type="dxa"/>
              </w:tcPr>
              <w:p w14:paraId="75010F75" w14:textId="76F61A91" w:rsidR="008E461D" w:rsidRPr="00C91A34" w:rsidRDefault="00C96930" w:rsidP="00C91A34">
                <w:pPr>
                  <w:spacing w:after="0"/>
                  <w:jc w:val="right"/>
                  <w:rPr>
                    <w:rStyle w:val="normaltextrun"/>
                    <w:rFonts w:ascii="Arial" w:hAnsi="Arial" w:cs="Arial"/>
                  </w:rPr>
                </w:pPr>
                <w:r w:rsidRPr="00C91A34">
                  <w:rPr>
                    <w:rStyle w:val="normaltextrun"/>
                    <w:rFonts w:ascii="Arial" w:hAnsi="Arial" w:cs="Arial"/>
                  </w:rPr>
                  <w:t>240</w:t>
                </w:r>
              </w:p>
            </w:tc>
            <w:tc>
              <w:tcPr>
                <w:tcW w:w="4759" w:type="dxa"/>
              </w:tcPr>
              <w:p w14:paraId="44BAEF58" w14:textId="5F6AB2F6" w:rsidR="008E461D" w:rsidRPr="00C91A34" w:rsidRDefault="00C96930" w:rsidP="00C91A34">
                <w:pPr>
                  <w:spacing w:after="0"/>
                  <w:rPr>
                    <w:rStyle w:val="normaltextrun"/>
                    <w:rFonts w:ascii="Arial" w:hAnsi="Arial" w:cs="Arial"/>
                  </w:rPr>
                </w:pPr>
                <w:r w:rsidRPr="00C91A34">
                  <w:rPr>
                    <w:rStyle w:val="normaltextrun"/>
                    <w:rFonts w:ascii="Arial" w:hAnsi="Arial" w:cs="Arial"/>
                  </w:rPr>
                  <w:t>Laboratory reconfiguration and Sir John Murray refit</w:t>
                </w:r>
              </w:p>
            </w:tc>
          </w:tr>
          <w:tr w:rsidR="008E461D" w14:paraId="0C0E5941" w14:textId="77777777" w:rsidTr="00A72CBA">
            <w:trPr>
              <w:cantSplit/>
            </w:trPr>
            <w:tc>
              <w:tcPr>
                <w:tcW w:w="3397" w:type="dxa"/>
              </w:tcPr>
              <w:p w14:paraId="1A274EC6" w14:textId="34F4EA00" w:rsidR="008E461D" w:rsidRPr="00C91A34" w:rsidRDefault="00C96930" w:rsidP="00C91A34">
                <w:pPr>
                  <w:spacing w:after="0"/>
                  <w:rPr>
                    <w:rStyle w:val="normaltextrun"/>
                    <w:rFonts w:ascii="Arial" w:hAnsi="Arial" w:cs="Arial"/>
                  </w:rPr>
                </w:pPr>
                <w:r w:rsidRPr="00C91A34">
                  <w:rPr>
                    <w:rStyle w:val="normaltextrun"/>
                    <w:rFonts w:ascii="Arial" w:hAnsi="Arial" w:cs="Arial"/>
                  </w:rPr>
                  <w:t>Environmental quality</w:t>
                </w:r>
              </w:p>
            </w:tc>
            <w:tc>
              <w:tcPr>
                <w:tcW w:w="1134" w:type="dxa"/>
              </w:tcPr>
              <w:p w14:paraId="7105B075" w14:textId="00A424E9" w:rsidR="008E461D" w:rsidRPr="00C91A34" w:rsidRDefault="003C1BBD" w:rsidP="00C91A34">
                <w:pPr>
                  <w:spacing w:after="0"/>
                  <w:jc w:val="right"/>
                  <w:rPr>
                    <w:rStyle w:val="normaltextrun"/>
                    <w:rFonts w:ascii="Arial" w:hAnsi="Arial" w:cs="Arial"/>
                  </w:rPr>
                </w:pPr>
                <w:r w:rsidRPr="00C91A34">
                  <w:rPr>
                    <w:rStyle w:val="normaltextrun"/>
                    <w:rFonts w:ascii="Arial" w:hAnsi="Arial" w:cs="Arial"/>
                  </w:rPr>
                  <w:t>61</w:t>
                </w:r>
              </w:p>
            </w:tc>
            <w:tc>
              <w:tcPr>
                <w:tcW w:w="1337" w:type="dxa"/>
              </w:tcPr>
              <w:p w14:paraId="024F70FE" w14:textId="4D716E23" w:rsidR="008E461D" w:rsidRPr="00C91A34" w:rsidRDefault="003C1BBD" w:rsidP="00C91A34">
                <w:pPr>
                  <w:spacing w:after="0"/>
                  <w:jc w:val="right"/>
                  <w:rPr>
                    <w:rStyle w:val="normaltextrun"/>
                    <w:rFonts w:ascii="Arial" w:hAnsi="Arial" w:cs="Arial"/>
                  </w:rPr>
                </w:pPr>
                <w:r w:rsidRPr="00C91A34">
                  <w:rPr>
                    <w:rStyle w:val="normaltextrun"/>
                    <w:rFonts w:ascii="Arial" w:hAnsi="Arial" w:cs="Arial"/>
                  </w:rPr>
                  <w:t>125</w:t>
                </w:r>
              </w:p>
            </w:tc>
            <w:tc>
              <w:tcPr>
                <w:tcW w:w="4759" w:type="dxa"/>
              </w:tcPr>
              <w:p w14:paraId="3CAE76BF" w14:textId="52805B3A" w:rsidR="008E461D" w:rsidRPr="00C91A34" w:rsidRDefault="003C1BBD" w:rsidP="00C91A34">
                <w:pPr>
                  <w:spacing w:after="0"/>
                  <w:rPr>
                    <w:rStyle w:val="normaltextrun"/>
                    <w:rFonts w:ascii="Arial" w:hAnsi="Arial" w:cs="Arial"/>
                  </w:rPr>
                </w:pPr>
                <w:r w:rsidRPr="00C91A34">
                  <w:rPr>
                    <w:rStyle w:val="normaltextrun"/>
                    <w:rFonts w:ascii="Arial" w:hAnsi="Arial" w:cs="Arial"/>
                  </w:rPr>
                  <w:t>Bathing water signage and recovery of SAGIS</w:t>
                </w:r>
              </w:p>
            </w:tc>
          </w:tr>
          <w:tr w:rsidR="008E461D" w14:paraId="757F86BE" w14:textId="77777777" w:rsidTr="00A72CBA">
            <w:trPr>
              <w:cantSplit/>
            </w:trPr>
            <w:tc>
              <w:tcPr>
                <w:tcW w:w="3397" w:type="dxa"/>
              </w:tcPr>
              <w:p w14:paraId="64CCF3C1" w14:textId="794DBC9B" w:rsidR="008E461D" w:rsidRPr="00C91A34" w:rsidRDefault="003C1BBD" w:rsidP="00C91A34">
                <w:pPr>
                  <w:spacing w:after="0"/>
                  <w:rPr>
                    <w:rStyle w:val="normaltextrun"/>
                    <w:rFonts w:ascii="Arial" w:hAnsi="Arial" w:cs="Arial"/>
                  </w:rPr>
                </w:pPr>
                <w:r w:rsidRPr="00C91A34">
                  <w:rPr>
                    <w:rStyle w:val="normaltextrun"/>
                    <w:rFonts w:ascii="Arial" w:hAnsi="Arial" w:cs="Arial"/>
                  </w:rPr>
                  <w:t>Information systems</w:t>
                </w:r>
              </w:p>
            </w:tc>
            <w:tc>
              <w:tcPr>
                <w:tcW w:w="1134" w:type="dxa"/>
              </w:tcPr>
              <w:p w14:paraId="25B02E4C" w14:textId="36A8ABB0" w:rsidR="008E461D" w:rsidRPr="00C91A34" w:rsidRDefault="003C1BBD" w:rsidP="00C91A34">
                <w:pPr>
                  <w:spacing w:after="0"/>
                  <w:jc w:val="right"/>
                  <w:rPr>
                    <w:rStyle w:val="normaltextrun"/>
                    <w:rFonts w:ascii="Arial" w:hAnsi="Arial" w:cs="Arial"/>
                  </w:rPr>
                </w:pPr>
                <w:r w:rsidRPr="00C91A34">
                  <w:rPr>
                    <w:rStyle w:val="normaltextrun"/>
                    <w:rFonts w:ascii="Arial" w:hAnsi="Arial" w:cs="Arial"/>
                  </w:rPr>
                  <w:t>972</w:t>
                </w:r>
              </w:p>
            </w:tc>
            <w:tc>
              <w:tcPr>
                <w:tcW w:w="1337" w:type="dxa"/>
              </w:tcPr>
              <w:p w14:paraId="72ECE4C2" w14:textId="4DC076B6" w:rsidR="008E461D" w:rsidRPr="00C91A34" w:rsidRDefault="003C1BBD" w:rsidP="00C91A34">
                <w:pPr>
                  <w:spacing w:after="0"/>
                  <w:jc w:val="right"/>
                  <w:rPr>
                    <w:rStyle w:val="normaltextrun"/>
                    <w:rFonts w:ascii="Arial" w:hAnsi="Arial" w:cs="Arial"/>
                  </w:rPr>
                </w:pPr>
                <w:r w:rsidRPr="00C91A34">
                  <w:rPr>
                    <w:rStyle w:val="normaltextrun"/>
                    <w:rFonts w:ascii="Arial" w:hAnsi="Arial" w:cs="Arial"/>
                  </w:rPr>
                  <w:t>326</w:t>
                </w:r>
              </w:p>
            </w:tc>
            <w:tc>
              <w:tcPr>
                <w:tcW w:w="4759" w:type="dxa"/>
              </w:tcPr>
              <w:p w14:paraId="0510EDCD" w14:textId="5F635C69" w:rsidR="008E461D" w:rsidRPr="00C91A34" w:rsidRDefault="003C1BBD" w:rsidP="00C91A34">
                <w:pPr>
                  <w:spacing w:after="0"/>
                  <w:rPr>
                    <w:rStyle w:val="normaltextrun"/>
                    <w:rFonts w:ascii="Arial" w:hAnsi="Arial" w:cs="Arial"/>
                  </w:rPr>
                </w:pPr>
                <w:r w:rsidRPr="00C91A34">
                  <w:rPr>
                    <w:rStyle w:val="normaltextrun"/>
                    <w:rFonts w:ascii="Arial" w:hAnsi="Arial" w:cs="Arial"/>
                  </w:rPr>
                  <w:t>IS infrastructure and disaster recovery servers</w:t>
                </w:r>
              </w:p>
            </w:tc>
          </w:tr>
          <w:tr w:rsidR="008E461D" w14:paraId="2A657B20" w14:textId="77777777" w:rsidTr="00A72CBA">
            <w:trPr>
              <w:cantSplit/>
            </w:trPr>
            <w:tc>
              <w:tcPr>
                <w:tcW w:w="3397" w:type="dxa"/>
              </w:tcPr>
              <w:p w14:paraId="38612CD9" w14:textId="37D6191E" w:rsidR="008E461D" w:rsidRPr="00C91A34" w:rsidRDefault="008215AD" w:rsidP="00C91A34">
                <w:pPr>
                  <w:spacing w:after="0"/>
                  <w:rPr>
                    <w:rStyle w:val="normaltextrun"/>
                    <w:rFonts w:ascii="Arial" w:hAnsi="Arial" w:cs="Arial"/>
                  </w:rPr>
                </w:pPr>
                <w:r w:rsidRPr="00C91A34">
                  <w:rPr>
                    <w:rStyle w:val="normaltextrun"/>
                    <w:rFonts w:ascii="Arial" w:hAnsi="Arial" w:cs="Arial"/>
                  </w:rPr>
                  <w:t>Information systems (digital)</w:t>
                </w:r>
              </w:p>
            </w:tc>
            <w:tc>
              <w:tcPr>
                <w:tcW w:w="1134" w:type="dxa"/>
              </w:tcPr>
              <w:p w14:paraId="03024432" w14:textId="143771A4" w:rsidR="008E461D" w:rsidRPr="00C91A34" w:rsidRDefault="008215AD" w:rsidP="00C91A34">
                <w:pPr>
                  <w:spacing w:after="0"/>
                  <w:jc w:val="right"/>
                  <w:rPr>
                    <w:rStyle w:val="normaltextrun"/>
                    <w:rFonts w:ascii="Arial" w:hAnsi="Arial" w:cs="Arial"/>
                  </w:rPr>
                </w:pPr>
                <w:r w:rsidRPr="00C91A34">
                  <w:rPr>
                    <w:rStyle w:val="normaltextrun"/>
                    <w:rFonts w:ascii="Arial" w:hAnsi="Arial" w:cs="Arial"/>
                  </w:rPr>
                  <w:t>1,783</w:t>
                </w:r>
              </w:p>
            </w:tc>
            <w:tc>
              <w:tcPr>
                <w:tcW w:w="1337" w:type="dxa"/>
              </w:tcPr>
              <w:p w14:paraId="08FEF0F5" w14:textId="4008C8B7" w:rsidR="008E461D" w:rsidRPr="00C91A34" w:rsidRDefault="008215AD" w:rsidP="00C91A34">
                <w:pPr>
                  <w:spacing w:after="0"/>
                  <w:jc w:val="right"/>
                  <w:rPr>
                    <w:rStyle w:val="normaltextrun"/>
                    <w:rFonts w:ascii="Arial" w:hAnsi="Arial" w:cs="Arial"/>
                  </w:rPr>
                </w:pPr>
                <w:r w:rsidRPr="00C91A34">
                  <w:rPr>
                    <w:rStyle w:val="normaltextrun"/>
                    <w:rFonts w:ascii="Arial" w:hAnsi="Arial" w:cs="Arial"/>
                  </w:rPr>
                  <w:t>1,365</w:t>
                </w:r>
              </w:p>
            </w:tc>
            <w:tc>
              <w:tcPr>
                <w:tcW w:w="4759" w:type="dxa"/>
              </w:tcPr>
              <w:p w14:paraId="376EA2BA" w14:textId="1FFA3369" w:rsidR="008E461D" w:rsidRPr="00C91A34" w:rsidRDefault="008215AD" w:rsidP="00C91A34">
                <w:pPr>
                  <w:spacing w:after="0"/>
                  <w:rPr>
                    <w:rStyle w:val="normaltextrun"/>
                    <w:rFonts w:ascii="Arial" w:hAnsi="Arial" w:cs="Arial"/>
                  </w:rPr>
                </w:pPr>
                <w:r w:rsidRPr="00C91A34">
                  <w:rPr>
                    <w:rStyle w:val="normaltextrun"/>
                    <w:rFonts w:ascii="Arial" w:hAnsi="Arial" w:cs="Arial"/>
                  </w:rPr>
                  <w:t>Integrated Authorisation Framework implementation</w:t>
                </w:r>
              </w:p>
            </w:tc>
          </w:tr>
          <w:tr w:rsidR="008E461D" w14:paraId="230EC266" w14:textId="77777777" w:rsidTr="00A72CBA">
            <w:trPr>
              <w:cantSplit/>
            </w:trPr>
            <w:tc>
              <w:tcPr>
                <w:tcW w:w="3397" w:type="dxa"/>
              </w:tcPr>
              <w:p w14:paraId="123142B6" w14:textId="5CDE7B44" w:rsidR="008E461D" w:rsidRPr="00C91A34" w:rsidRDefault="008215AD" w:rsidP="00C91A34">
                <w:pPr>
                  <w:spacing w:after="0"/>
                  <w:rPr>
                    <w:rStyle w:val="normaltextrun"/>
                    <w:rFonts w:ascii="Arial" w:hAnsi="Arial" w:cs="Arial"/>
                  </w:rPr>
                </w:pPr>
                <w:r w:rsidRPr="00C91A34">
                  <w:rPr>
                    <w:rStyle w:val="normaltextrun"/>
                    <w:rFonts w:ascii="Arial" w:hAnsi="Arial" w:cs="Arial"/>
                  </w:rPr>
                  <w:t>Workspaces</w:t>
                </w:r>
              </w:p>
            </w:tc>
            <w:tc>
              <w:tcPr>
                <w:tcW w:w="1134" w:type="dxa"/>
              </w:tcPr>
              <w:p w14:paraId="06D8E98E" w14:textId="7637BBAD" w:rsidR="008E461D" w:rsidRPr="00C91A34" w:rsidRDefault="008215AD" w:rsidP="00C91A34">
                <w:pPr>
                  <w:spacing w:after="0"/>
                  <w:jc w:val="right"/>
                  <w:rPr>
                    <w:rStyle w:val="normaltextrun"/>
                    <w:rFonts w:ascii="Arial" w:hAnsi="Arial" w:cs="Arial"/>
                  </w:rPr>
                </w:pPr>
                <w:r w:rsidRPr="00C91A34">
                  <w:rPr>
                    <w:rStyle w:val="normaltextrun"/>
                    <w:rFonts w:ascii="Arial" w:hAnsi="Arial" w:cs="Arial"/>
                  </w:rPr>
                  <w:t>206</w:t>
                </w:r>
              </w:p>
            </w:tc>
            <w:tc>
              <w:tcPr>
                <w:tcW w:w="1337" w:type="dxa"/>
              </w:tcPr>
              <w:p w14:paraId="4A84B138" w14:textId="5D069F0D" w:rsidR="008E461D" w:rsidRPr="00C91A34" w:rsidRDefault="008215AD" w:rsidP="00C91A34">
                <w:pPr>
                  <w:spacing w:after="0"/>
                  <w:jc w:val="right"/>
                  <w:rPr>
                    <w:rStyle w:val="normaltextrun"/>
                    <w:rFonts w:ascii="Arial" w:hAnsi="Arial" w:cs="Arial"/>
                  </w:rPr>
                </w:pPr>
                <w:r w:rsidRPr="00C91A34">
                  <w:rPr>
                    <w:rStyle w:val="normaltextrun"/>
                    <w:rFonts w:ascii="Arial" w:hAnsi="Arial" w:cs="Arial"/>
                  </w:rPr>
                  <w:t>224</w:t>
                </w:r>
              </w:p>
            </w:tc>
            <w:tc>
              <w:tcPr>
                <w:tcW w:w="4759" w:type="dxa"/>
              </w:tcPr>
              <w:p w14:paraId="5F8F99DE" w14:textId="03028A71" w:rsidR="008E461D" w:rsidRPr="00C91A34" w:rsidRDefault="008215AD" w:rsidP="00C91A34">
                <w:pPr>
                  <w:spacing w:after="0"/>
                  <w:rPr>
                    <w:rStyle w:val="normaltextrun"/>
                    <w:rFonts w:ascii="Arial" w:hAnsi="Arial" w:cs="Arial"/>
                  </w:rPr>
                </w:pPr>
                <w:r w:rsidRPr="00C91A34">
                  <w:rPr>
                    <w:rStyle w:val="normaltextrun"/>
                    <w:rFonts w:ascii="Arial" w:hAnsi="Arial" w:cs="Arial"/>
                  </w:rPr>
                  <w:t>Fleet replacement</w:t>
                </w:r>
              </w:p>
            </w:tc>
          </w:tr>
          <w:tr w:rsidR="008E461D" w14:paraId="213BEE1C" w14:textId="77777777" w:rsidTr="00A72CBA">
            <w:trPr>
              <w:cantSplit/>
            </w:trPr>
            <w:tc>
              <w:tcPr>
                <w:tcW w:w="3397" w:type="dxa"/>
              </w:tcPr>
              <w:p w14:paraId="08449A5A" w14:textId="73DDFFCD" w:rsidR="008E461D" w:rsidRPr="00C91A34" w:rsidRDefault="008215AD" w:rsidP="00C91A34">
                <w:pPr>
                  <w:spacing w:after="0"/>
                  <w:rPr>
                    <w:rStyle w:val="normaltextrun"/>
                    <w:rFonts w:ascii="Arial" w:hAnsi="Arial" w:cs="Arial"/>
                  </w:rPr>
                </w:pPr>
                <w:r w:rsidRPr="00C91A34">
                  <w:rPr>
                    <w:rStyle w:val="normaltextrun"/>
                    <w:rFonts w:ascii="Arial" w:hAnsi="Arial" w:cs="Arial"/>
                  </w:rPr>
                  <w:t>Hydrology</w:t>
                </w:r>
              </w:p>
            </w:tc>
            <w:tc>
              <w:tcPr>
                <w:tcW w:w="1134" w:type="dxa"/>
              </w:tcPr>
              <w:p w14:paraId="4AE21343" w14:textId="1F28FA35" w:rsidR="008E461D" w:rsidRPr="00C91A34" w:rsidRDefault="008215AD" w:rsidP="00C91A34">
                <w:pPr>
                  <w:spacing w:after="0"/>
                  <w:jc w:val="right"/>
                  <w:rPr>
                    <w:rStyle w:val="normaltextrun"/>
                    <w:rFonts w:ascii="Arial" w:hAnsi="Arial" w:cs="Arial"/>
                  </w:rPr>
                </w:pPr>
                <w:r w:rsidRPr="00C91A34">
                  <w:rPr>
                    <w:rStyle w:val="normaltextrun"/>
                    <w:rFonts w:ascii="Arial" w:hAnsi="Arial" w:cs="Arial"/>
                  </w:rPr>
                  <w:t>1,070</w:t>
                </w:r>
              </w:p>
            </w:tc>
            <w:tc>
              <w:tcPr>
                <w:tcW w:w="1337" w:type="dxa"/>
              </w:tcPr>
              <w:p w14:paraId="5E09BD64" w14:textId="19183C71" w:rsidR="008E461D" w:rsidRPr="00C91A34" w:rsidRDefault="008215AD" w:rsidP="00C91A34">
                <w:pPr>
                  <w:spacing w:after="0"/>
                  <w:jc w:val="right"/>
                  <w:rPr>
                    <w:rStyle w:val="normaltextrun"/>
                    <w:rFonts w:ascii="Arial" w:hAnsi="Arial" w:cs="Arial"/>
                  </w:rPr>
                </w:pPr>
                <w:r w:rsidRPr="00C91A34">
                  <w:rPr>
                    <w:rStyle w:val="normaltextrun"/>
                    <w:rFonts w:ascii="Arial" w:hAnsi="Arial" w:cs="Arial"/>
                  </w:rPr>
                  <w:t>1,245</w:t>
                </w:r>
              </w:p>
            </w:tc>
            <w:tc>
              <w:tcPr>
                <w:tcW w:w="4759" w:type="dxa"/>
              </w:tcPr>
              <w:p w14:paraId="36B38D2E" w14:textId="129164D3" w:rsidR="008E461D" w:rsidRPr="00C91A34" w:rsidRDefault="00C91A34" w:rsidP="00C91A34">
                <w:pPr>
                  <w:spacing w:after="0"/>
                  <w:rPr>
                    <w:rStyle w:val="normaltextrun"/>
                    <w:rFonts w:ascii="Arial" w:hAnsi="Arial" w:cs="Arial"/>
                  </w:rPr>
                </w:pPr>
                <w:r w:rsidRPr="00C91A34">
                  <w:rPr>
                    <w:rStyle w:val="normaltextrun"/>
                    <w:rFonts w:ascii="Arial" w:hAnsi="Arial" w:cs="Arial"/>
                  </w:rPr>
                  <w:t>Gauging stations, data loggers and flood mapping</w:t>
                </w:r>
              </w:p>
            </w:tc>
          </w:tr>
          <w:tr w:rsidR="008E461D" w14:paraId="182CC055" w14:textId="77777777" w:rsidTr="00A72CBA">
            <w:trPr>
              <w:cantSplit/>
            </w:trPr>
            <w:tc>
              <w:tcPr>
                <w:tcW w:w="3397" w:type="dxa"/>
              </w:tcPr>
              <w:p w14:paraId="132A7E31" w14:textId="23E6369B" w:rsidR="008E461D" w:rsidRPr="00C91A34" w:rsidRDefault="00C91A34" w:rsidP="00C91A34">
                <w:pPr>
                  <w:spacing w:after="0"/>
                  <w:rPr>
                    <w:rStyle w:val="normaltextrun"/>
                    <w:rFonts w:ascii="Arial" w:hAnsi="Arial" w:cs="Arial"/>
                  </w:rPr>
                </w:pPr>
                <w:r w:rsidRPr="00C91A34">
                  <w:rPr>
                    <w:rStyle w:val="normaltextrun"/>
                    <w:rFonts w:ascii="Arial" w:hAnsi="Arial" w:cs="Arial"/>
                  </w:rPr>
                  <w:t>Budget reduction</w:t>
                </w:r>
              </w:p>
            </w:tc>
            <w:tc>
              <w:tcPr>
                <w:tcW w:w="1134" w:type="dxa"/>
              </w:tcPr>
              <w:p w14:paraId="6037E55B" w14:textId="378CCB2D" w:rsidR="008E461D" w:rsidRPr="00C91A34" w:rsidRDefault="00C91A34" w:rsidP="00C91A34">
                <w:pPr>
                  <w:spacing w:after="0"/>
                  <w:jc w:val="right"/>
                  <w:rPr>
                    <w:rStyle w:val="normaltextrun"/>
                    <w:rFonts w:ascii="Arial" w:hAnsi="Arial" w:cs="Arial"/>
                  </w:rPr>
                </w:pPr>
                <w:r w:rsidRPr="00C91A34">
                  <w:rPr>
                    <w:rStyle w:val="normaltextrun"/>
                    <w:rFonts w:ascii="Arial" w:hAnsi="Arial" w:cs="Arial"/>
                  </w:rPr>
                  <w:t>(1,000)</w:t>
                </w:r>
              </w:p>
            </w:tc>
            <w:tc>
              <w:tcPr>
                <w:tcW w:w="1337" w:type="dxa"/>
              </w:tcPr>
              <w:p w14:paraId="5B66BFCE" w14:textId="77777777" w:rsidR="008E461D" w:rsidRPr="00C91A34" w:rsidRDefault="008E461D" w:rsidP="00C91A34">
                <w:pPr>
                  <w:spacing w:after="0"/>
                  <w:jc w:val="right"/>
                  <w:rPr>
                    <w:rStyle w:val="normaltextrun"/>
                    <w:rFonts w:ascii="Arial" w:hAnsi="Arial" w:cs="Arial"/>
                  </w:rPr>
                </w:pPr>
              </w:p>
            </w:tc>
            <w:tc>
              <w:tcPr>
                <w:tcW w:w="4759" w:type="dxa"/>
                <w:tcBorders>
                  <w:bottom w:val="single" w:sz="4" w:space="0" w:color="auto"/>
                </w:tcBorders>
              </w:tcPr>
              <w:p w14:paraId="0FD92352" w14:textId="77777777" w:rsidR="008E461D" w:rsidRPr="00C91A34" w:rsidRDefault="008E461D" w:rsidP="00C91A34">
                <w:pPr>
                  <w:spacing w:after="0"/>
                  <w:rPr>
                    <w:rStyle w:val="normaltextrun"/>
                    <w:rFonts w:ascii="Arial" w:hAnsi="Arial" w:cs="Arial"/>
                  </w:rPr>
                </w:pPr>
              </w:p>
            </w:tc>
          </w:tr>
          <w:tr w:rsidR="008E461D" w14:paraId="65ABBBC3" w14:textId="77777777" w:rsidTr="00A72CBA">
            <w:trPr>
              <w:cantSplit/>
            </w:trPr>
            <w:tc>
              <w:tcPr>
                <w:tcW w:w="3397" w:type="dxa"/>
                <w:tcBorders>
                  <w:right w:val="single" w:sz="4" w:space="0" w:color="FFFFFF" w:themeColor="background1"/>
                </w:tcBorders>
                <w:shd w:val="clear" w:color="auto" w:fill="016574" w:themeFill="accent2"/>
              </w:tcPr>
              <w:p w14:paraId="07DB318F" w14:textId="0CBD638D" w:rsidR="008E461D" w:rsidRPr="00C91A34" w:rsidRDefault="00C91A34" w:rsidP="00C91A34">
                <w:pPr>
                  <w:spacing w:after="0"/>
                  <w:rPr>
                    <w:rStyle w:val="normaltextrun"/>
                    <w:rFonts w:ascii="Arial" w:hAnsi="Arial" w:cs="Arial"/>
                    <w:b/>
                    <w:bCs/>
                    <w:color w:val="FFFFFF" w:themeColor="background1"/>
                  </w:rPr>
                </w:pPr>
                <w:r w:rsidRPr="00C91A34">
                  <w:rPr>
                    <w:rStyle w:val="normaltextrun"/>
                    <w:rFonts w:ascii="Arial" w:hAnsi="Arial" w:cs="Arial"/>
                    <w:b/>
                    <w:bCs/>
                    <w:color w:val="FFFFFF" w:themeColor="background1"/>
                  </w:rPr>
                  <w:t>Totals</w:t>
                </w:r>
              </w:p>
            </w:tc>
            <w:tc>
              <w:tcPr>
                <w:tcW w:w="1134" w:type="dxa"/>
                <w:tcBorders>
                  <w:left w:val="single" w:sz="4" w:space="0" w:color="FFFFFF" w:themeColor="background1"/>
                  <w:right w:val="single" w:sz="4" w:space="0" w:color="FFFFFF" w:themeColor="background1"/>
                </w:tcBorders>
                <w:shd w:val="clear" w:color="auto" w:fill="016574" w:themeFill="accent2"/>
              </w:tcPr>
              <w:p w14:paraId="7F08E2A8" w14:textId="36FF84E9" w:rsidR="008E461D" w:rsidRPr="00C91A34" w:rsidRDefault="00C91A34" w:rsidP="00C91A34">
                <w:pPr>
                  <w:spacing w:after="0"/>
                  <w:jc w:val="right"/>
                  <w:rPr>
                    <w:rStyle w:val="normaltextrun"/>
                    <w:rFonts w:ascii="Arial" w:hAnsi="Arial" w:cs="Arial"/>
                    <w:b/>
                    <w:bCs/>
                    <w:color w:val="FFFFFF" w:themeColor="background1"/>
                  </w:rPr>
                </w:pPr>
                <w:r w:rsidRPr="00C91A34">
                  <w:rPr>
                    <w:rStyle w:val="normaltextrun"/>
                    <w:rFonts w:ascii="Arial" w:hAnsi="Arial" w:cs="Arial"/>
                    <w:b/>
                    <w:bCs/>
                    <w:color w:val="FFFFFF" w:themeColor="background1"/>
                  </w:rPr>
                  <w:t>5,400</w:t>
                </w:r>
              </w:p>
            </w:tc>
            <w:tc>
              <w:tcPr>
                <w:tcW w:w="1337" w:type="dxa"/>
                <w:tcBorders>
                  <w:left w:val="single" w:sz="4" w:space="0" w:color="FFFFFF" w:themeColor="background1"/>
                  <w:right w:val="single" w:sz="4" w:space="0" w:color="FFFFFF" w:themeColor="background1"/>
                </w:tcBorders>
                <w:shd w:val="clear" w:color="auto" w:fill="016574" w:themeFill="accent2"/>
              </w:tcPr>
              <w:p w14:paraId="12EC5194" w14:textId="70B64E4E" w:rsidR="008E461D" w:rsidRPr="00C91A34" w:rsidRDefault="00C91A34" w:rsidP="00C91A34">
                <w:pPr>
                  <w:spacing w:after="0"/>
                  <w:jc w:val="right"/>
                  <w:rPr>
                    <w:rStyle w:val="normaltextrun"/>
                    <w:rFonts w:ascii="Arial" w:hAnsi="Arial" w:cs="Arial"/>
                    <w:b/>
                    <w:bCs/>
                    <w:color w:val="FFFFFF" w:themeColor="background1"/>
                  </w:rPr>
                </w:pPr>
                <w:r w:rsidRPr="00C91A34">
                  <w:rPr>
                    <w:rStyle w:val="normaltextrun"/>
                    <w:rFonts w:ascii="Arial" w:hAnsi="Arial" w:cs="Arial"/>
                    <w:b/>
                    <w:bCs/>
                    <w:color w:val="FFFFFF" w:themeColor="background1"/>
                  </w:rPr>
                  <w:t>5,532</w:t>
                </w:r>
              </w:p>
            </w:tc>
            <w:tc>
              <w:tcPr>
                <w:tcW w:w="4759" w:type="dxa"/>
                <w:tcBorders>
                  <w:left w:val="single" w:sz="4" w:space="0" w:color="FFFFFF" w:themeColor="background1"/>
                  <w:bottom w:val="single" w:sz="4" w:space="0" w:color="3C4741" w:themeColor="text1"/>
                </w:tcBorders>
                <w:shd w:val="clear" w:color="auto" w:fill="016574" w:themeFill="accent2"/>
              </w:tcPr>
              <w:p w14:paraId="0F0248B3" w14:textId="77777777" w:rsidR="008E461D" w:rsidRPr="00C91A34" w:rsidRDefault="008E461D" w:rsidP="00C91A34">
                <w:pPr>
                  <w:spacing w:after="0"/>
                  <w:rPr>
                    <w:rStyle w:val="normaltextrun"/>
                    <w:rFonts w:ascii="Arial" w:hAnsi="Arial" w:cs="Arial"/>
                  </w:rPr>
                </w:pPr>
              </w:p>
            </w:tc>
          </w:tr>
        </w:tbl>
        <w:p w14:paraId="569A2A83" w14:textId="76821BB1" w:rsidR="00D276C7" w:rsidRPr="00274F39" w:rsidRDefault="00D276C7" w:rsidP="00274F39">
          <w:pPr>
            <w:spacing w:after="0" w:line="240" w:lineRule="auto"/>
            <w:rPr>
              <w:rStyle w:val="normaltextrun"/>
              <w:sz w:val="20"/>
              <w:szCs w:val="20"/>
            </w:rPr>
          </w:pPr>
        </w:p>
        <w:p w14:paraId="4A6429A0" w14:textId="144B8915" w:rsidR="00277F38" w:rsidRDefault="00687957" w:rsidP="00727342">
          <w:pPr>
            <w:pStyle w:val="ListParagraph"/>
            <w:numPr>
              <w:ilvl w:val="0"/>
              <w:numId w:val="13"/>
            </w:numPr>
            <w:ind w:left="1077" w:hanging="720"/>
            <w:rPr>
              <w:rStyle w:val="normaltextrun"/>
            </w:rPr>
          </w:pPr>
          <w:r w:rsidRPr="00333800">
            <w:rPr>
              <w:rStyle w:val="normaltextrun"/>
            </w:rPr>
            <w:t>SEPA’s capital budget provided by Scottish Government for the year is £6.4m. After discussion</w:t>
          </w:r>
          <w:r w:rsidR="00EB00B3">
            <w:rPr>
              <w:rStyle w:val="normaltextrun"/>
            </w:rPr>
            <w:t>s</w:t>
          </w:r>
          <w:r w:rsidRPr="00333800">
            <w:rPr>
              <w:rStyle w:val="normaltextrun"/>
            </w:rPr>
            <w:t xml:space="preserve"> with Scottish Government colleagues and </w:t>
          </w:r>
          <w:proofErr w:type="gramStart"/>
          <w:r w:rsidRPr="00333800">
            <w:rPr>
              <w:rStyle w:val="normaltextrun"/>
            </w:rPr>
            <w:t>in light of</w:t>
          </w:r>
          <w:proofErr w:type="gramEnd"/>
          <w:r w:rsidRPr="00333800">
            <w:rPr>
              <w:rStyle w:val="normaltextrun"/>
            </w:rPr>
            <w:t xml:space="preserve"> the current savings commissions, it has been agreed to defer the capital budget by £1m to a revised total of £5.4m. SEPA has approved £</w:t>
          </w:r>
          <w:r>
            <w:rPr>
              <w:rStyle w:val="normaltextrun"/>
            </w:rPr>
            <w:t>5.</w:t>
          </w:r>
          <w:r w:rsidR="00EB00B3">
            <w:rPr>
              <w:rStyle w:val="normaltextrun"/>
            </w:rPr>
            <w:t>5</w:t>
          </w:r>
          <w:r w:rsidRPr="00333800">
            <w:rPr>
              <w:rStyle w:val="normaltextrun"/>
            </w:rPr>
            <w:t xml:space="preserve">m worth of projects which have all been assigned a confidence assessment. </w:t>
          </w:r>
          <w:r w:rsidR="00EB00B3" w:rsidRPr="00EB00B3">
            <w:rPr>
              <w:rStyle w:val="normaltextrun"/>
            </w:rPr>
            <w:t xml:space="preserve">As at the end of Quarter 3, over 80% of projects still to </w:t>
          </w:r>
          <w:r w:rsidR="00EB00B3" w:rsidRPr="00EB00B3">
            <w:rPr>
              <w:rStyle w:val="normaltextrun"/>
            </w:rPr>
            <w:lastRenderedPageBreak/>
            <w:t>deliver have been assigned a rating of high confidence of delivery by the relevant project manager.</w:t>
          </w:r>
        </w:p>
        <w:p w14:paraId="1E62837B" w14:textId="0F7791C1" w:rsidR="00F07596" w:rsidRPr="005F4DEC" w:rsidRDefault="00F07596" w:rsidP="00B25707">
          <w:pPr>
            <w:pStyle w:val="Heading2"/>
            <w:numPr>
              <w:ilvl w:val="0"/>
              <w:numId w:val="10"/>
            </w:numPr>
            <w:ind w:left="426" w:hanging="426"/>
            <w:rPr>
              <w:rStyle w:val="normaltextrun"/>
              <w:color w:val="auto"/>
              <w:sz w:val="28"/>
              <w:szCs w:val="28"/>
            </w:rPr>
          </w:pPr>
          <w:r w:rsidRPr="005F4DEC">
            <w:rPr>
              <w:rStyle w:val="normaltextrun"/>
              <w:color w:val="auto"/>
              <w:sz w:val="28"/>
              <w:szCs w:val="28"/>
            </w:rPr>
            <w:t>Statement of Financial Position</w:t>
          </w:r>
        </w:p>
        <w:p w14:paraId="0D290316" w14:textId="338ACE58" w:rsidR="00EB2DAE" w:rsidRDefault="00F07596" w:rsidP="001268D2">
          <w:pPr>
            <w:pStyle w:val="ListParagraph"/>
            <w:numPr>
              <w:ilvl w:val="1"/>
              <w:numId w:val="18"/>
            </w:numPr>
            <w:ind w:left="1077" w:hanging="652"/>
          </w:pPr>
          <w:r w:rsidRPr="00F07596">
            <w:t xml:space="preserve">The Statement of Financial Position is tabled below. </w:t>
          </w:r>
          <w:r w:rsidR="00EB2DAE">
            <w:br w:type="page"/>
          </w:r>
        </w:p>
        <w:p w14:paraId="67DDB1EB" w14:textId="00602580" w:rsidR="00CE2E1F" w:rsidRPr="00AD3A45" w:rsidRDefault="00CE2E1F" w:rsidP="00AD3A45">
          <w:pPr>
            <w:pStyle w:val="Heading4"/>
            <w:rPr>
              <w:szCs w:val="28"/>
            </w:rPr>
          </w:pPr>
          <w:r w:rsidRPr="00AD3A45">
            <w:lastRenderedPageBreak/>
            <w:t xml:space="preserve">Table </w:t>
          </w:r>
          <w:r w:rsidR="00E32B12" w:rsidRPr="00AD3A45">
            <w:t>4</w:t>
          </w:r>
          <w:r w:rsidR="009A6E23" w:rsidRPr="00AD3A45">
            <w:t>:</w:t>
          </w:r>
          <w:r w:rsidRPr="00AD3A45">
            <w:t xml:space="preserve"> Statement of Financial Position</w:t>
          </w:r>
          <w:r w:rsidR="00676624" w:rsidRPr="00AD3A45">
            <w:t xml:space="preserve"> period to 3</w:t>
          </w:r>
          <w:r w:rsidR="00EB00B3" w:rsidRPr="00AD3A45">
            <w:t>1</w:t>
          </w:r>
          <w:r w:rsidR="00676624" w:rsidRPr="00AD3A45">
            <w:t xml:space="preserve"> </w:t>
          </w:r>
          <w:r w:rsidR="00EB00B3" w:rsidRPr="00AD3A45">
            <w:t>Dec</w:t>
          </w:r>
          <w:r w:rsidR="00676624" w:rsidRPr="00AD3A45">
            <w:t>ember 2024</w:t>
          </w:r>
        </w:p>
        <w:tbl>
          <w:tblPr>
            <w:tblW w:w="10344" w:type="dxa"/>
            <w:tblCellMar>
              <w:top w:w="15" w:type="dxa"/>
              <w:bottom w:w="15" w:type="dxa"/>
            </w:tblCellMar>
            <w:tblLook w:val="04A0" w:firstRow="1" w:lastRow="0" w:firstColumn="1" w:lastColumn="0" w:noHBand="0" w:noVBand="1"/>
          </w:tblPr>
          <w:tblGrid>
            <w:gridCol w:w="6091"/>
            <w:gridCol w:w="1985"/>
            <w:gridCol w:w="2268"/>
          </w:tblGrid>
          <w:tr w:rsidR="008C4AEF" w:rsidRPr="008C4AEF" w14:paraId="35104105" w14:textId="77777777" w:rsidTr="00A72CBA">
            <w:trPr>
              <w:cantSplit/>
              <w:trHeight w:val="300"/>
              <w:tblHeader/>
            </w:trPr>
            <w:tc>
              <w:tcPr>
                <w:tcW w:w="6091" w:type="dxa"/>
                <w:tcBorders>
                  <w:top w:val="single" w:sz="4" w:space="0" w:color="auto"/>
                  <w:left w:val="single" w:sz="4" w:space="0" w:color="auto"/>
                  <w:bottom w:val="single" w:sz="4" w:space="0" w:color="auto"/>
                  <w:right w:val="single" w:sz="4" w:space="0" w:color="FFFFFF" w:themeColor="background1"/>
                </w:tcBorders>
                <w:shd w:val="clear" w:color="auto" w:fill="016574" w:themeFill="accent2"/>
              </w:tcPr>
              <w:p w14:paraId="34CEF9D7" w14:textId="4ED9F686" w:rsidR="008C4AEF" w:rsidRPr="00FE0DF5" w:rsidRDefault="008C4AEF" w:rsidP="00FE0DF5">
                <w:pPr>
                  <w:spacing w:after="0"/>
                  <w:rPr>
                    <w:rFonts w:ascii="Arial" w:eastAsia="Times New Roman" w:hAnsi="Arial" w:cs="Arial"/>
                    <w:b/>
                    <w:bCs/>
                    <w:color w:val="FFFFFF" w:themeColor="background1"/>
                    <w:lang w:eastAsia="en-GB"/>
                  </w:rPr>
                </w:pPr>
                <w:r w:rsidRPr="00FE0DF5">
                  <w:rPr>
                    <w:rFonts w:ascii="Arial" w:eastAsia="Times New Roman" w:hAnsi="Arial" w:cs="Arial"/>
                    <w:b/>
                    <w:bCs/>
                    <w:color w:val="FFFFFF" w:themeColor="background1"/>
                    <w:lang w:eastAsia="en-GB"/>
                  </w:rPr>
                  <w:t>Statement of Financial Position 31 December 2024</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16574" w:themeFill="accent2"/>
              </w:tcPr>
              <w:p w14:paraId="05CC5425" w14:textId="77777777" w:rsidR="008C4AEF" w:rsidRPr="00FE0DF5" w:rsidRDefault="008C4AEF" w:rsidP="00FE0DF5">
                <w:pPr>
                  <w:spacing w:after="0"/>
                  <w:jc w:val="right"/>
                  <w:rPr>
                    <w:rFonts w:ascii="Arial" w:eastAsia="Times New Roman" w:hAnsi="Arial" w:cs="Arial"/>
                    <w:b/>
                    <w:bCs/>
                    <w:color w:val="FFFFFF" w:themeColor="background1"/>
                    <w:lang w:eastAsia="en-GB"/>
                  </w:rPr>
                </w:pPr>
                <w:r w:rsidRPr="00FE0DF5">
                  <w:rPr>
                    <w:rFonts w:ascii="Arial" w:eastAsia="Times New Roman" w:hAnsi="Arial" w:cs="Arial"/>
                    <w:b/>
                    <w:bCs/>
                    <w:color w:val="FFFFFF" w:themeColor="background1"/>
                    <w:lang w:eastAsia="en-GB"/>
                  </w:rPr>
                  <w:t xml:space="preserve">Year to 31 March 2024 </w:t>
                </w:r>
              </w:p>
              <w:p w14:paraId="03537EA2" w14:textId="668E8CAF" w:rsidR="008C4AEF" w:rsidRPr="00FE0DF5" w:rsidRDefault="008C4AEF" w:rsidP="00FE0DF5">
                <w:pPr>
                  <w:spacing w:after="0"/>
                  <w:jc w:val="right"/>
                  <w:rPr>
                    <w:rFonts w:ascii="Arial" w:eastAsia="Times New Roman" w:hAnsi="Arial" w:cs="Arial"/>
                    <w:b/>
                    <w:bCs/>
                    <w:color w:val="FFFFFF" w:themeColor="background1"/>
                    <w:lang w:eastAsia="en-GB"/>
                  </w:rPr>
                </w:pPr>
                <w:r w:rsidRPr="00FE0DF5">
                  <w:rPr>
                    <w:rFonts w:ascii="Arial" w:eastAsia="Times New Roman" w:hAnsi="Arial" w:cs="Arial"/>
                    <w:b/>
                    <w:bCs/>
                    <w:color w:val="FFFFFF" w:themeColor="background1"/>
                    <w:lang w:eastAsia="en-GB"/>
                  </w:rPr>
                  <w:t>£</w:t>
                </w:r>
                <w:r w:rsidR="00962394" w:rsidRPr="00FE0DF5">
                  <w:rPr>
                    <w:rFonts w:ascii="Arial" w:eastAsia="Times New Roman" w:hAnsi="Arial" w:cs="Arial"/>
                    <w:b/>
                    <w:bCs/>
                    <w:color w:val="FFFFFF" w:themeColor="background1"/>
                    <w:lang w:eastAsia="en-GB"/>
                  </w:rPr>
                  <w:t>’000</w:t>
                </w:r>
              </w:p>
            </w:tc>
            <w:tc>
              <w:tcPr>
                <w:tcW w:w="2268" w:type="dxa"/>
                <w:tcBorders>
                  <w:top w:val="single" w:sz="4" w:space="0" w:color="000000"/>
                  <w:left w:val="single" w:sz="4" w:space="0" w:color="FFFFFF" w:themeColor="background1"/>
                  <w:bottom w:val="single" w:sz="4" w:space="0" w:color="auto"/>
                  <w:right w:val="single" w:sz="4" w:space="0" w:color="000000"/>
                </w:tcBorders>
                <w:shd w:val="clear" w:color="auto" w:fill="016574" w:themeFill="accent2"/>
                <w:noWrap/>
              </w:tcPr>
              <w:p w14:paraId="208DE86E" w14:textId="77777777" w:rsidR="008C4AEF" w:rsidRPr="00FE0DF5" w:rsidRDefault="00962394" w:rsidP="00FE0DF5">
                <w:pPr>
                  <w:spacing w:after="0"/>
                  <w:jc w:val="right"/>
                  <w:rPr>
                    <w:rFonts w:ascii="Arial" w:eastAsia="Times New Roman" w:hAnsi="Arial" w:cs="Arial"/>
                    <w:b/>
                    <w:bCs/>
                    <w:color w:val="FFFFFF" w:themeColor="background1"/>
                    <w:lang w:eastAsia="en-GB"/>
                  </w:rPr>
                </w:pPr>
                <w:r w:rsidRPr="00FE0DF5">
                  <w:rPr>
                    <w:rFonts w:ascii="Arial" w:eastAsia="Times New Roman" w:hAnsi="Arial" w:cs="Arial"/>
                    <w:b/>
                    <w:bCs/>
                    <w:color w:val="FFFFFF" w:themeColor="background1"/>
                    <w:lang w:eastAsia="en-GB"/>
                  </w:rPr>
                  <w:t xml:space="preserve">Period to 31 December 2024 </w:t>
                </w:r>
              </w:p>
              <w:p w14:paraId="352DB1F1" w14:textId="0B1C14D6" w:rsidR="00962394" w:rsidRPr="00FE0DF5" w:rsidRDefault="00962394" w:rsidP="00FE0DF5">
                <w:pPr>
                  <w:spacing w:after="0"/>
                  <w:jc w:val="right"/>
                  <w:rPr>
                    <w:rFonts w:ascii="Arial" w:eastAsia="Times New Roman" w:hAnsi="Arial" w:cs="Arial"/>
                    <w:color w:val="FFFFFF" w:themeColor="background1"/>
                    <w:lang w:eastAsia="en-GB"/>
                  </w:rPr>
                </w:pPr>
                <w:r w:rsidRPr="00FE0DF5">
                  <w:rPr>
                    <w:rFonts w:ascii="Arial" w:eastAsia="Times New Roman" w:hAnsi="Arial" w:cs="Arial"/>
                    <w:b/>
                    <w:bCs/>
                    <w:color w:val="FFFFFF" w:themeColor="background1"/>
                    <w:lang w:eastAsia="en-GB"/>
                  </w:rPr>
                  <w:t>£’000</w:t>
                </w:r>
              </w:p>
            </w:tc>
          </w:tr>
          <w:tr w:rsidR="008C4AEF" w:rsidRPr="008C4AEF" w14:paraId="2F92A195"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6F6BB66C" w14:textId="130367B7" w:rsidR="008C4AEF" w:rsidRPr="008C4AEF" w:rsidRDefault="008C4AEF" w:rsidP="00FE0DF5">
                <w:pPr>
                  <w:spacing w:after="0"/>
                  <w:rPr>
                    <w:rFonts w:ascii="Arial" w:eastAsia="Times New Roman" w:hAnsi="Arial" w:cs="Arial"/>
                    <w:b/>
                    <w:bCs/>
                    <w:lang w:eastAsia="en-GB"/>
                  </w:rPr>
                </w:pPr>
                <w:r w:rsidRPr="008C4AEF">
                  <w:rPr>
                    <w:rFonts w:ascii="Arial" w:eastAsia="Times New Roman" w:hAnsi="Arial" w:cs="Arial"/>
                    <w:b/>
                    <w:bCs/>
                    <w:lang w:eastAsia="en-GB"/>
                  </w:rPr>
                  <w:t>Non</w:t>
                </w:r>
                <w:r w:rsidR="00277F38">
                  <w:rPr>
                    <w:rFonts w:ascii="Arial" w:eastAsia="Times New Roman" w:hAnsi="Arial" w:cs="Arial"/>
                    <w:b/>
                    <w:bCs/>
                    <w:lang w:eastAsia="en-GB"/>
                  </w:rPr>
                  <w:t>-</w:t>
                </w:r>
                <w:r w:rsidRPr="008C4AEF">
                  <w:rPr>
                    <w:rFonts w:ascii="Arial" w:eastAsia="Times New Roman" w:hAnsi="Arial" w:cs="Arial"/>
                    <w:b/>
                    <w:bCs/>
                    <w:lang w:eastAsia="en-GB"/>
                  </w:rPr>
                  <w:t>current assets</w:t>
                </w:r>
              </w:p>
            </w:tc>
            <w:tc>
              <w:tcPr>
                <w:tcW w:w="1985" w:type="dxa"/>
                <w:tcBorders>
                  <w:top w:val="single" w:sz="4" w:space="0" w:color="auto"/>
                  <w:left w:val="single" w:sz="4" w:space="0" w:color="auto"/>
                  <w:bottom w:val="single" w:sz="4" w:space="0" w:color="auto"/>
                  <w:right w:val="single" w:sz="4" w:space="0" w:color="auto"/>
                </w:tcBorders>
                <w:hideMark/>
              </w:tcPr>
              <w:p w14:paraId="12423FCE" w14:textId="77777777" w:rsidR="008C4AEF" w:rsidRPr="008C4AEF" w:rsidRDefault="008C4AEF" w:rsidP="00FE0DF5">
                <w:pPr>
                  <w:spacing w:after="0"/>
                  <w:jc w:val="right"/>
                  <w:rPr>
                    <w:rFonts w:ascii="Arial" w:eastAsia="Times New Roman" w:hAnsi="Arial" w:cs="Arial"/>
                    <w:b/>
                    <w:bCs/>
                    <w:lang w:eastAsia="en-GB"/>
                  </w:rPr>
                </w:pPr>
              </w:p>
            </w:tc>
            <w:tc>
              <w:tcPr>
                <w:tcW w:w="2268" w:type="dxa"/>
                <w:tcBorders>
                  <w:top w:val="single" w:sz="4" w:space="0" w:color="auto"/>
                  <w:left w:val="single" w:sz="4" w:space="0" w:color="auto"/>
                  <w:bottom w:val="single" w:sz="4" w:space="0" w:color="auto"/>
                  <w:right w:val="single" w:sz="4" w:space="0" w:color="auto"/>
                </w:tcBorders>
                <w:noWrap/>
                <w:hideMark/>
              </w:tcPr>
              <w:p w14:paraId="12966AFA" w14:textId="77777777" w:rsidR="008C4AEF" w:rsidRPr="008C4AEF" w:rsidRDefault="008C4AEF" w:rsidP="00FE0DF5">
                <w:pPr>
                  <w:spacing w:after="0"/>
                  <w:jc w:val="right"/>
                  <w:rPr>
                    <w:rFonts w:ascii="Arial" w:eastAsia="Times New Roman" w:hAnsi="Arial" w:cs="Arial"/>
                    <w:lang w:eastAsia="en-GB"/>
                  </w:rPr>
                </w:pPr>
              </w:p>
            </w:tc>
          </w:tr>
          <w:tr w:rsidR="008C4AEF" w:rsidRPr="008C4AEF" w14:paraId="160D3EFB"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274DA3C7"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Property, plant and equipment</w:t>
                </w:r>
              </w:p>
            </w:tc>
            <w:tc>
              <w:tcPr>
                <w:tcW w:w="1985" w:type="dxa"/>
                <w:tcBorders>
                  <w:top w:val="single" w:sz="4" w:space="0" w:color="auto"/>
                  <w:left w:val="single" w:sz="4" w:space="0" w:color="auto"/>
                  <w:bottom w:val="single" w:sz="4" w:space="0" w:color="auto"/>
                  <w:right w:val="single" w:sz="4" w:space="0" w:color="auto"/>
                </w:tcBorders>
                <w:noWrap/>
                <w:hideMark/>
              </w:tcPr>
              <w:p w14:paraId="6890CA2E"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42,377</w:t>
                </w:r>
              </w:p>
            </w:tc>
            <w:tc>
              <w:tcPr>
                <w:tcW w:w="2268" w:type="dxa"/>
                <w:tcBorders>
                  <w:top w:val="single" w:sz="4" w:space="0" w:color="auto"/>
                  <w:left w:val="single" w:sz="4" w:space="0" w:color="auto"/>
                  <w:bottom w:val="single" w:sz="4" w:space="0" w:color="auto"/>
                  <w:right w:val="single" w:sz="4" w:space="0" w:color="auto"/>
                </w:tcBorders>
                <w:noWrap/>
                <w:hideMark/>
              </w:tcPr>
              <w:p w14:paraId="15A92C18"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38,024</w:t>
                </w:r>
              </w:p>
            </w:tc>
          </w:tr>
          <w:tr w:rsidR="008C4AEF" w:rsidRPr="008C4AEF" w14:paraId="1930E322"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1535E7BF"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Intangible assets</w:t>
                </w:r>
              </w:p>
            </w:tc>
            <w:tc>
              <w:tcPr>
                <w:tcW w:w="1985" w:type="dxa"/>
                <w:tcBorders>
                  <w:top w:val="single" w:sz="4" w:space="0" w:color="auto"/>
                  <w:left w:val="single" w:sz="4" w:space="0" w:color="auto"/>
                  <w:bottom w:val="single" w:sz="4" w:space="0" w:color="auto"/>
                  <w:right w:val="single" w:sz="4" w:space="0" w:color="auto"/>
                </w:tcBorders>
                <w:noWrap/>
                <w:hideMark/>
              </w:tcPr>
              <w:p w14:paraId="50084594"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2,402</w:t>
                </w:r>
              </w:p>
            </w:tc>
            <w:tc>
              <w:tcPr>
                <w:tcW w:w="2268" w:type="dxa"/>
                <w:tcBorders>
                  <w:top w:val="single" w:sz="4" w:space="0" w:color="auto"/>
                  <w:left w:val="single" w:sz="4" w:space="0" w:color="auto"/>
                  <w:bottom w:val="single" w:sz="4" w:space="0" w:color="auto"/>
                  <w:right w:val="single" w:sz="4" w:space="0" w:color="auto"/>
                </w:tcBorders>
                <w:noWrap/>
                <w:hideMark/>
              </w:tcPr>
              <w:p w14:paraId="68622BA2"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2,073</w:t>
                </w:r>
              </w:p>
            </w:tc>
          </w:tr>
          <w:tr w:rsidR="008C4AEF" w:rsidRPr="008C4AEF" w14:paraId="740EF2BC"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03865DCE"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Assets under construction</w:t>
                </w:r>
              </w:p>
            </w:tc>
            <w:tc>
              <w:tcPr>
                <w:tcW w:w="1985" w:type="dxa"/>
                <w:tcBorders>
                  <w:top w:val="single" w:sz="4" w:space="0" w:color="auto"/>
                  <w:left w:val="single" w:sz="4" w:space="0" w:color="auto"/>
                  <w:bottom w:val="single" w:sz="4" w:space="0" w:color="auto"/>
                  <w:right w:val="single" w:sz="4" w:space="0" w:color="auto"/>
                </w:tcBorders>
                <w:noWrap/>
                <w:hideMark/>
              </w:tcPr>
              <w:p w14:paraId="54C96221"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2,807</w:t>
                </w:r>
              </w:p>
            </w:tc>
            <w:tc>
              <w:tcPr>
                <w:tcW w:w="2268" w:type="dxa"/>
                <w:tcBorders>
                  <w:top w:val="single" w:sz="4" w:space="0" w:color="auto"/>
                  <w:left w:val="single" w:sz="4" w:space="0" w:color="auto"/>
                  <w:bottom w:val="single" w:sz="4" w:space="0" w:color="auto"/>
                  <w:right w:val="single" w:sz="4" w:space="0" w:color="auto"/>
                </w:tcBorders>
                <w:noWrap/>
                <w:hideMark/>
              </w:tcPr>
              <w:p w14:paraId="4CC671F7"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2,807</w:t>
                </w:r>
              </w:p>
            </w:tc>
          </w:tr>
          <w:tr w:rsidR="008C4AEF" w:rsidRPr="008C4AEF" w14:paraId="6CE78ADF"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7C83069C"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Employee retirement benefits</w:t>
                </w:r>
              </w:p>
            </w:tc>
            <w:tc>
              <w:tcPr>
                <w:tcW w:w="1985" w:type="dxa"/>
                <w:tcBorders>
                  <w:top w:val="single" w:sz="4" w:space="0" w:color="auto"/>
                  <w:left w:val="single" w:sz="4" w:space="0" w:color="auto"/>
                  <w:bottom w:val="single" w:sz="4" w:space="0" w:color="auto"/>
                  <w:right w:val="single" w:sz="4" w:space="0" w:color="auto"/>
                </w:tcBorders>
                <w:noWrap/>
                <w:hideMark/>
              </w:tcPr>
              <w:p w14:paraId="49A199AA"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21,527</w:t>
                </w:r>
              </w:p>
            </w:tc>
            <w:tc>
              <w:tcPr>
                <w:tcW w:w="2268" w:type="dxa"/>
                <w:tcBorders>
                  <w:top w:val="single" w:sz="4" w:space="0" w:color="auto"/>
                  <w:left w:val="single" w:sz="4" w:space="0" w:color="auto"/>
                  <w:bottom w:val="single" w:sz="4" w:space="0" w:color="auto"/>
                  <w:right w:val="single" w:sz="4" w:space="0" w:color="auto"/>
                </w:tcBorders>
                <w:noWrap/>
                <w:hideMark/>
              </w:tcPr>
              <w:p w14:paraId="5790E67F"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21,527</w:t>
                </w:r>
              </w:p>
            </w:tc>
          </w:tr>
          <w:tr w:rsidR="00962394" w:rsidRPr="008C4AEF" w14:paraId="4D68BF29"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shd w:val="clear" w:color="000000" w:fill="016574"/>
                <w:hideMark/>
              </w:tcPr>
              <w:p w14:paraId="09C78D11" w14:textId="3CF23E8E" w:rsidR="008C4AEF" w:rsidRPr="008C4AEF" w:rsidRDefault="008C4AEF" w:rsidP="00FE0DF5">
                <w:pPr>
                  <w:spacing w:after="0"/>
                  <w:rPr>
                    <w:rFonts w:ascii="Arial" w:eastAsia="Times New Roman" w:hAnsi="Arial" w:cs="Arial"/>
                    <w:b/>
                    <w:bCs/>
                    <w:color w:val="FFFFFF"/>
                    <w:lang w:eastAsia="en-GB"/>
                  </w:rPr>
                </w:pPr>
                <w:r w:rsidRPr="008C4AEF">
                  <w:rPr>
                    <w:rFonts w:ascii="Arial" w:eastAsia="Times New Roman" w:hAnsi="Arial" w:cs="Arial"/>
                    <w:b/>
                    <w:bCs/>
                    <w:color w:val="FFFFFF"/>
                    <w:lang w:eastAsia="en-GB"/>
                  </w:rPr>
                  <w:t>Total non</w:t>
                </w:r>
                <w:r w:rsidR="00962394" w:rsidRPr="00FE0DF5">
                  <w:rPr>
                    <w:rFonts w:ascii="Arial" w:eastAsia="Times New Roman" w:hAnsi="Arial" w:cs="Arial"/>
                    <w:b/>
                    <w:bCs/>
                    <w:color w:val="FFFFFF"/>
                    <w:lang w:eastAsia="en-GB"/>
                  </w:rPr>
                  <w:t>-</w:t>
                </w:r>
                <w:r w:rsidRPr="008C4AEF">
                  <w:rPr>
                    <w:rFonts w:ascii="Arial" w:eastAsia="Times New Roman" w:hAnsi="Arial" w:cs="Arial"/>
                    <w:b/>
                    <w:bCs/>
                    <w:color w:val="FFFFFF"/>
                    <w:lang w:eastAsia="en-GB"/>
                  </w:rPr>
                  <w:t xml:space="preserve">current assets </w:t>
                </w:r>
              </w:p>
            </w:tc>
            <w:tc>
              <w:tcPr>
                <w:tcW w:w="1985" w:type="dxa"/>
                <w:tcBorders>
                  <w:top w:val="single" w:sz="4" w:space="0" w:color="auto"/>
                  <w:left w:val="single" w:sz="4" w:space="0" w:color="auto"/>
                  <w:bottom w:val="single" w:sz="4" w:space="0" w:color="auto"/>
                  <w:right w:val="single" w:sz="4" w:space="0" w:color="auto"/>
                </w:tcBorders>
                <w:shd w:val="clear" w:color="000000" w:fill="016574"/>
                <w:hideMark/>
              </w:tcPr>
              <w:p w14:paraId="477B88FC"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69,113</w:t>
                </w:r>
              </w:p>
            </w:tc>
            <w:tc>
              <w:tcPr>
                <w:tcW w:w="2268" w:type="dxa"/>
                <w:tcBorders>
                  <w:top w:val="single" w:sz="4" w:space="0" w:color="auto"/>
                  <w:left w:val="single" w:sz="4" w:space="0" w:color="auto"/>
                  <w:bottom w:val="single" w:sz="4" w:space="0" w:color="auto"/>
                  <w:right w:val="single" w:sz="4" w:space="0" w:color="auto"/>
                </w:tcBorders>
                <w:shd w:val="clear" w:color="000000" w:fill="016574"/>
                <w:hideMark/>
              </w:tcPr>
              <w:p w14:paraId="69431425"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64,431</w:t>
                </w:r>
              </w:p>
            </w:tc>
          </w:tr>
          <w:tr w:rsidR="008C4AEF" w:rsidRPr="008C4AEF" w14:paraId="47B017AC"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4F25DD57" w14:textId="77777777" w:rsidR="008C4AEF" w:rsidRPr="008C4AEF" w:rsidRDefault="008C4AEF" w:rsidP="00FE0DF5">
                <w:pPr>
                  <w:spacing w:after="0"/>
                  <w:rPr>
                    <w:rFonts w:ascii="Arial" w:eastAsia="Times New Roman" w:hAnsi="Arial" w:cs="Arial"/>
                    <w:b/>
                    <w:bCs/>
                    <w:lang w:eastAsia="en-GB"/>
                  </w:rPr>
                </w:pPr>
                <w:r w:rsidRPr="008C4AEF">
                  <w:rPr>
                    <w:rFonts w:ascii="Arial" w:eastAsia="Times New Roman" w:hAnsi="Arial" w:cs="Arial"/>
                    <w:b/>
                    <w:bCs/>
                    <w:lang w:eastAsia="en-GB"/>
                  </w:rPr>
                  <w:t>Current assets</w:t>
                </w:r>
              </w:p>
            </w:tc>
            <w:tc>
              <w:tcPr>
                <w:tcW w:w="1985" w:type="dxa"/>
                <w:tcBorders>
                  <w:top w:val="single" w:sz="4" w:space="0" w:color="auto"/>
                  <w:left w:val="single" w:sz="4" w:space="0" w:color="auto"/>
                  <w:bottom w:val="single" w:sz="4" w:space="0" w:color="auto"/>
                  <w:right w:val="single" w:sz="4" w:space="0" w:color="auto"/>
                </w:tcBorders>
                <w:noWrap/>
                <w:hideMark/>
              </w:tcPr>
              <w:p w14:paraId="7AA93D60" w14:textId="77777777" w:rsidR="008C4AEF" w:rsidRPr="008C4AEF" w:rsidRDefault="008C4AEF" w:rsidP="00FE0DF5">
                <w:pPr>
                  <w:spacing w:after="0"/>
                  <w:jc w:val="right"/>
                  <w:rPr>
                    <w:rFonts w:ascii="Arial" w:eastAsia="Times New Roman" w:hAnsi="Arial" w:cs="Arial"/>
                    <w:b/>
                    <w:bCs/>
                    <w:lang w:eastAsia="en-GB"/>
                  </w:rPr>
                </w:pPr>
              </w:p>
            </w:tc>
            <w:tc>
              <w:tcPr>
                <w:tcW w:w="2268" w:type="dxa"/>
                <w:tcBorders>
                  <w:top w:val="single" w:sz="4" w:space="0" w:color="auto"/>
                  <w:left w:val="single" w:sz="4" w:space="0" w:color="auto"/>
                  <w:bottom w:val="single" w:sz="4" w:space="0" w:color="auto"/>
                  <w:right w:val="single" w:sz="4" w:space="0" w:color="auto"/>
                </w:tcBorders>
                <w:noWrap/>
                <w:hideMark/>
              </w:tcPr>
              <w:p w14:paraId="49A485DC" w14:textId="77777777" w:rsidR="008C4AEF" w:rsidRPr="008C4AEF" w:rsidRDefault="008C4AEF" w:rsidP="00FE0DF5">
                <w:pPr>
                  <w:spacing w:after="0"/>
                  <w:jc w:val="right"/>
                  <w:rPr>
                    <w:rFonts w:ascii="Arial" w:eastAsia="Times New Roman" w:hAnsi="Arial" w:cs="Arial"/>
                    <w:lang w:eastAsia="en-GB"/>
                  </w:rPr>
                </w:pPr>
              </w:p>
            </w:tc>
          </w:tr>
          <w:tr w:rsidR="008C4AEF" w:rsidRPr="008C4AEF" w14:paraId="3200A249"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4988F7A7"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Trade and other receivables</w:t>
                </w:r>
              </w:p>
            </w:tc>
            <w:tc>
              <w:tcPr>
                <w:tcW w:w="1985" w:type="dxa"/>
                <w:tcBorders>
                  <w:top w:val="single" w:sz="4" w:space="0" w:color="auto"/>
                  <w:left w:val="single" w:sz="4" w:space="0" w:color="auto"/>
                  <w:bottom w:val="single" w:sz="4" w:space="0" w:color="auto"/>
                  <w:right w:val="single" w:sz="4" w:space="0" w:color="auto"/>
                </w:tcBorders>
                <w:noWrap/>
                <w:hideMark/>
              </w:tcPr>
              <w:p w14:paraId="2691972A"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4,189</w:t>
                </w:r>
              </w:p>
            </w:tc>
            <w:tc>
              <w:tcPr>
                <w:tcW w:w="2268" w:type="dxa"/>
                <w:tcBorders>
                  <w:top w:val="single" w:sz="4" w:space="0" w:color="auto"/>
                  <w:left w:val="single" w:sz="4" w:space="0" w:color="auto"/>
                  <w:bottom w:val="single" w:sz="4" w:space="0" w:color="auto"/>
                  <w:right w:val="single" w:sz="4" w:space="0" w:color="auto"/>
                </w:tcBorders>
                <w:noWrap/>
                <w:hideMark/>
              </w:tcPr>
              <w:p w14:paraId="3A60E366"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2,795</w:t>
                </w:r>
              </w:p>
            </w:tc>
          </w:tr>
          <w:tr w:rsidR="008C4AEF" w:rsidRPr="008C4AEF" w14:paraId="3E3B4EFC"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5D5EA961"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Cash and cash equivalents</w:t>
                </w:r>
              </w:p>
            </w:tc>
            <w:tc>
              <w:tcPr>
                <w:tcW w:w="1985" w:type="dxa"/>
                <w:tcBorders>
                  <w:top w:val="single" w:sz="4" w:space="0" w:color="auto"/>
                  <w:left w:val="single" w:sz="4" w:space="0" w:color="auto"/>
                  <w:bottom w:val="single" w:sz="4" w:space="0" w:color="auto"/>
                  <w:right w:val="single" w:sz="4" w:space="0" w:color="auto"/>
                </w:tcBorders>
                <w:noWrap/>
                <w:hideMark/>
              </w:tcPr>
              <w:p w14:paraId="1394C66F"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899</w:t>
                </w:r>
              </w:p>
            </w:tc>
            <w:tc>
              <w:tcPr>
                <w:tcW w:w="2268" w:type="dxa"/>
                <w:tcBorders>
                  <w:top w:val="single" w:sz="4" w:space="0" w:color="auto"/>
                  <w:left w:val="single" w:sz="4" w:space="0" w:color="auto"/>
                  <w:bottom w:val="single" w:sz="4" w:space="0" w:color="auto"/>
                  <w:right w:val="single" w:sz="4" w:space="0" w:color="auto"/>
                </w:tcBorders>
                <w:noWrap/>
                <w:hideMark/>
              </w:tcPr>
              <w:p w14:paraId="4D8D3BC8"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2,070</w:t>
                </w:r>
              </w:p>
            </w:tc>
          </w:tr>
          <w:tr w:rsidR="00EB2DAE" w:rsidRPr="008C4AEF" w14:paraId="46864ECD" w14:textId="77777777" w:rsidTr="00A72CBA">
            <w:trPr>
              <w:cantSplit/>
              <w:trHeight w:val="300"/>
            </w:trPr>
            <w:tc>
              <w:tcPr>
                <w:tcW w:w="6091" w:type="dxa"/>
                <w:tcBorders>
                  <w:top w:val="single" w:sz="4" w:space="0" w:color="auto"/>
                  <w:left w:val="single" w:sz="4" w:space="0" w:color="auto"/>
                  <w:bottom w:val="single" w:sz="4" w:space="0" w:color="auto"/>
                  <w:right w:val="single" w:sz="4" w:space="0" w:color="FFFFFF" w:themeColor="background1"/>
                </w:tcBorders>
                <w:shd w:val="clear" w:color="000000" w:fill="016574"/>
                <w:hideMark/>
              </w:tcPr>
              <w:p w14:paraId="0451DF89" w14:textId="77777777" w:rsidR="008C4AEF" w:rsidRPr="008C4AEF" w:rsidRDefault="008C4AEF" w:rsidP="00FE0DF5">
                <w:pPr>
                  <w:spacing w:after="0"/>
                  <w:rPr>
                    <w:rFonts w:ascii="Arial" w:eastAsia="Times New Roman" w:hAnsi="Arial" w:cs="Arial"/>
                    <w:b/>
                    <w:bCs/>
                    <w:color w:val="FFFFFF"/>
                    <w:lang w:eastAsia="en-GB"/>
                  </w:rPr>
                </w:pPr>
                <w:r w:rsidRPr="008C4AEF">
                  <w:rPr>
                    <w:rFonts w:ascii="Arial" w:eastAsia="Times New Roman" w:hAnsi="Arial" w:cs="Arial"/>
                    <w:b/>
                    <w:bCs/>
                    <w:color w:val="FFFFFF"/>
                    <w:lang w:eastAsia="en-GB"/>
                  </w:rPr>
                  <w:t>Total current assets</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hideMark/>
              </w:tcPr>
              <w:p w14:paraId="53F930E8"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5,088</w:t>
                </w:r>
              </w:p>
            </w:tc>
            <w:tc>
              <w:tcPr>
                <w:tcW w:w="2268" w:type="dxa"/>
                <w:tcBorders>
                  <w:top w:val="single" w:sz="4" w:space="0" w:color="auto"/>
                  <w:left w:val="single" w:sz="4" w:space="0" w:color="FFFFFF" w:themeColor="background1"/>
                  <w:bottom w:val="single" w:sz="4" w:space="0" w:color="auto"/>
                  <w:right w:val="single" w:sz="4" w:space="0" w:color="000000"/>
                </w:tcBorders>
                <w:shd w:val="clear" w:color="000000" w:fill="016574"/>
                <w:hideMark/>
              </w:tcPr>
              <w:p w14:paraId="19D61F95"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4,865</w:t>
                </w:r>
              </w:p>
            </w:tc>
          </w:tr>
          <w:tr w:rsidR="00EB2DAE" w:rsidRPr="008C4AEF" w14:paraId="20A7BC96" w14:textId="77777777" w:rsidTr="00A72CBA">
            <w:trPr>
              <w:cantSplit/>
              <w:trHeight w:val="300"/>
            </w:trPr>
            <w:tc>
              <w:tcPr>
                <w:tcW w:w="6091" w:type="dxa"/>
                <w:tcBorders>
                  <w:top w:val="single" w:sz="4" w:space="0" w:color="auto"/>
                  <w:left w:val="single" w:sz="4" w:space="0" w:color="auto"/>
                  <w:bottom w:val="single" w:sz="4" w:space="0" w:color="auto"/>
                  <w:right w:val="single" w:sz="4" w:space="0" w:color="FFFFFF" w:themeColor="background1"/>
                </w:tcBorders>
                <w:shd w:val="clear" w:color="000000" w:fill="016574"/>
                <w:hideMark/>
              </w:tcPr>
              <w:p w14:paraId="2D317D43" w14:textId="77777777" w:rsidR="008C4AEF" w:rsidRPr="008C4AEF" w:rsidRDefault="008C4AEF" w:rsidP="00FE0DF5">
                <w:pPr>
                  <w:spacing w:after="0"/>
                  <w:rPr>
                    <w:rFonts w:ascii="Arial" w:eastAsia="Times New Roman" w:hAnsi="Arial" w:cs="Arial"/>
                    <w:b/>
                    <w:bCs/>
                    <w:color w:val="FFFFFF"/>
                    <w:lang w:eastAsia="en-GB"/>
                  </w:rPr>
                </w:pPr>
                <w:r w:rsidRPr="008C4AEF">
                  <w:rPr>
                    <w:rFonts w:ascii="Arial" w:eastAsia="Times New Roman" w:hAnsi="Arial" w:cs="Arial"/>
                    <w:b/>
                    <w:bCs/>
                    <w:color w:val="FFFFFF"/>
                    <w:lang w:eastAsia="en-GB"/>
                  </w:rPr>
                  <w:t>Total assets</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hideMark/>
              </w:tcPr>
              <w:p w14:paraId="5E9F4A08"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74,201</w:t>
                </w:r>
              </w:p>
            </w:tc>
            <w:tc>
              <w:tcPr>
                <w:tcW w:w="2268" w:type="dxa"/>
                <w:tcBorders>
                  <w:top w:val="single" w:sz="4" w:space="0" w:color="auto"/>
                  <w:left w:val="single" w:sz="4" w:space="0" w:color="FFFFFF" w:themeColor="background1"/>
                  <w:bottom w:val="single" w:sz="4" w:space="0" w:color="auto"/>
                  <w:right w:val="single" w:sz="4" w:space="0" w:color="000000"/>
                </w:tcBorders>
                <w:shd w:val="clear" w:color="000000" w:fill="016574"/>
                <w:hideMark/>
              </w:tcPr>
              <w:p w14:paraId="1FE7F4D1"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69,296</w:t>
                </w:r>
              </w:p>
            </w:tc>
          </w:tr>
          <w:tr w:rsidR="008C4AEF" w:rsidRPr="008C4AEF" w14:paraId="29200273"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6A405568" w14:textId="77777777" w:rsidR="008C4AEF" w:rsidRPr="008C4AEF" w:rsidRDefault="008C4AEF" w:rsidP="00FE0DF5">
                <w:pPr>
                  <w:spacing w:after="0"/>
                  <w:rPr>
                    <w:rFonts w:ascii="Arial" w:eastAsia="Times New Roman" w:hAnsi="Arial" w:cs="Arial"/>
                    <w:b/>
                    <w:bCs/>
                    <w:lang w:eastAsia="en-GB"/>
                  </w:rPr>
                </w:pPr>
                <w:r w:rsidRPr="008C4AEF">
                  <w:rPr>
                    <w:rFonts w:ascii="Arial" w:eastAsia="Times New Roman" w:hAnsi="Arial" w:cs="Arial"/>
                    <w:b/>
                    <w:bCs/>
                    <w:lang w:eastAsia="en-GB"/>
                  </w:rPr>
                  <w:t>Current Liabilities</w:t>
                </w:r>
              </w:p>
            </w:tc>
            <w:tc>
              <w:tcPr>
                <w:tcW w:w="1985" w:type="dxa"/>
                <w:tcBorders>
                  <w:top w:val="single" w:sz="4" w:space="0" w:color="auto"/>
                  <w:left w:val="single" w:sz="4" w:space="0" w:color="auto"/>
                  <w:bottom w:val="single" w:sz="4" w:space="0" w:color="auto"/>
                  <w:right w:val="single" w:sz="4" w:space="0" w:color="auto"/>
                </w:tcBorders>
                <w:hideMark/>
              </w:tcPr>
              <w:p w14:paraId="41196AD8" w14:textId="77777777" w:rsidR="008C4AEF" w:rsidRPr="008C4AEF" w:rsidRDefault="008C4AEF" w:rsidP="00FE0DF5">
                <w:pPr>
                  <w:spacing w:after="0"/>
                  <w:jc w:val="right"/>
                  <w:rPr>
                    <w:rFonts w:ascii="Arial" w:eastAsia="Times New Roman" w:hAnsi="Arial" w:cs="Arial"/>
                    <w:b/>
                    <w:bCs/>
                    <w:lang w:eastAsia="en-GB"/>
                  </w:rPr>
                </w:pPr>
              </w:p>
            </w:tc>
            <w:tc>
              <w:tcPr>
                <w:tcW w:w="2268" w:type="dxa"/>
                <w:tcBorders>
                  <w:top w:val="single" w:sz="4" w:space="0" w:color="auto"/>
                  <w:left w:val="single" w:sz="4" w:space="0" w:color="auto"/>
                  <w:bottom w:val="single" w:sz="4" w:space="0" w:color="auto"/>
                  <w:right w:val="single" w:sz="4" w:space="0" w:color="auto"/>
                </w:tcBorders>
                <w:noWrap/>
                <w:hideMark/>
              </w:tcPr>
              <w:p w14:paraId="0724C82C" w14:textId="77777777" w:rsidR="008C4AEF" w:rsidRPr="008C4AEF" w:rsidRDefault="008C4AEF" w:rsidP="00FE0DF5">
                <w:pPr>
                  <w:spacing w:after="0"/>
                  <w:jc w:val="right"/>
                  <w:rPr>
                    <w:rFonts w:ascii="Arial" w:eastAsia="Times New Roman" w:hAnsi="Arial" w:cs="Arial"/>
                    <w:lang w:eastAsia="en-GB"/>
                  </w:rPr>
                </w:pPr>
              </w:p>
            </w:tc>
          </w:tr>
          <w:tr w:rsidR="008C4AEF" w:rsidRPr="008C4AEF" w14:paraId="75C6CDD4"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4C0AADAC"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Trade and other payables</w:t>
                </w:r>
              </w:p>
            </w:tc>
            <w:tc>
              <w:tcPr>
                <w:tcW w:w="1985" w:type="dxa"/>
                <w:tcBorders>
                  <w:top w:val="single" w:sz="4" w:space="0" w:color="auto"/>
                  <w:left w:val="single" w:sz="4" w:space="0" w:color="auto"/>
                  <w:bottom w:val="single" w:sz="4" w:space="0" w:color="auto"/>
                  <w:right w:val="single" w:sz="4" w:space="0" w:color="auto"/>
                </w:tcBorders>
                <w:noWrap/>
                <w:hideMark/>
              </w:tcPr>
              <w:p w14:paraId="50B58CA7"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(11,206)</w:t>
                </w:r>
              </w:p>
            </w:tc>
            <w:tc>
              <w:tcPr>
                <w:tcW w:w="2268" w:type="dxa"/>
                <w:tcBorders>
                  <w:top w:val="single" w:sz="4" w:space="0" w:color="auto"/>
                  <w:left w:val="single" w:sz="4" w:space="0" w:color="000000"/>
                  <w:bottom w:val="single" w:sz="4" w:space="0" w:color="auto"/>
                  <w:right w:val="single" w:sz="4" w:space="0" w:color="auto"/>
                </w:tcBorders>
                <w:noWrap/>
                <w:hideMark/>
              </w:tcPr>
              <w:p w14:paraId="5FE1D575"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(4,471)</w:t>
                </w:r>
              </w:p>
            </w:tc>
          </w:tr>
          <w:tr w:rsidR="008C4AEF" w:rsidRPr="008C4AEF" w14:paraId="13B4CCFC"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66D34688"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Provisions</w:t>
                </w:r>
              </w:p>
            </w:tc>
            <w:tc>
              <w:tcPr>
                <w:tcW w:w="1985" w:type="dxa"/>
                <w:tcBorders>
                  <w:top w:val="single" w:sz="4" w:space="0" w:color="auto"/>
                  <w:left w:val="single" w:sz="4" w:space="0" w:color="auto"/>
                  <w:bottom w:val="single" w:sz="4" w:space="0" w:color="auto"/>
                  <w:right w:val="single" w:sz="4" w:space="0" w:color="auto"/>
                </w:tcBorders>
                <w:noWrap/>
                <w:hideMark/>
              </w:tcPr>
              <w:p w14:paraId="5245CDCF"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(214)</w:t>
                </w:r>
              </w:p>
            </w:tc>
            <w:tc>
              <w:tcPr>
                <w:tcW w:w="2268" w:type="dxa"/>
                <w:tcBorders>
                  <w:top w:val="single" w:sz="4" w:space="0" w:color="auto"/>
                  <w:left w:val="single" w:sz="4" w:space="0" w:color="000000"/>
                  <w:bottom w:val="single" w:sz="4" w:space="0" w:color="auto"/>
                  <w:right w:val="single" w:sz="4" w:space="0" w:color="auto"/>
                </w:tcBorders>
                <w:noWrap/>
                <w:hideMark/>
              </w:tcPr>
              <w:p w14:paraId="5AF56872"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(214)</w:t>
                </w:r>
              </w:p>
            </w:tc>
          </w:tr>
          <w:tr w:rsidR="00EB2DAE" w:rsidRPr="008C4AEF" w14:paraId="0F6D0AC7" w14:textId="77777777" w:rsidTr="00A72CBA">
            <w:trPr>
              <w:cantSplit/>
              <w:trHeight w:val="300"/>
            </w:trPr>
            <w:tc>
              <w:tcPr>
                <w:tcW w:w="6091" w:type="dxa"/>
                <w:tcBorders>
                  <w:top w:val="single" w:sz="4" w:space="0" w:color="auto"/>
                  <w:left w:val="single" w:sz="4" w:space="0" w:color="auto"/>
                  <w:bottom w:val="single" w:sz="4" w:space="0" w:color="auto"/>
                  <w:right w:val="single" w:sz="4" w:space="0" w:color="FFFFFF" w:themeColor="background1"/>
                </w:tcBorders>
                <w:shd w:val="clear" w:color="000000" w:fill="016574"/>
                <w:hideMark/>
              </w:tcPr>
              <w:p w14:paraId="1A28A4C9" w14:textId="77777777" w:rsidR="008C4AEF" w:rsidRPr="008C4AEF" w:rsidRDefault="008C4AEF" w:rsidP="00FE0DF5">
                <w:pPr>
                  <w:spacing w:after="0"/>
                  <w:rPr>
                    <w:rFonts w:ascii="Arial" w:eastAsia="Times New Roman" w:hAnsi="Arial" w:cs="Arial"/>
                    <w:b/>
                    <w:bCs/>
                    <w:color w:val="FFFFFF"/>
                    <w:lang w:eastAsia="en-GB"/>
                  </w:rPr>
                </w:pPr>
                <w:r w:rsidRPr="008C4AEF">
                  <w:rPr>
                    <w:rFonts w:ascii="Arial" w:eastAsia="Times New Roman" w:hAnsi="Arial" w:cs="Arial"/>
                    <w:b/>
                    <w:bCs/>
                    <w:color w:val="FFFFFF"/>
                    <w:lang w:eastAsia="en-GB"/>
                  </w:rPr>
                  <w:t>Total current liabilities</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hideMark/>
              </w:tcPr>
              <w:p w14:paraId="24466034"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(11,420)</w:t>
                </w:r>
              </w:p>
            </w:tc>
            <w:tc>
              <w:tcPr>
                <w:tcW w:w="2268" w:type="dxa"/>
                <w:tcBorders>
                  <w:top w:val="single" w:sz="4" w:space="0" w:color="auto"/>
                  <w:left w:val="single" w:sz="4" w:space="0" w:color="FFFFFF" w:themeColor="background1"/>
                  <w:bottom w:val="single" w:sz="4" w:space="0" w:color="auto"/>
                  <w:right w:val="single" w:sz="4" w:space="0" w:color="000000"/>
                </w:tcBorders>
                <w:shd w:val="clear" w:color="000000" w:fill="016574"/>
                <w:hideMark/>
              </w:tcPr>
              <w:p w14:paraId="3AE572AC"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(4,685)</w:t>
                </w:r>
              </w:p>
            </w:tc>
          </w:tr>
          <w:tr w:rsidR="00EB2DAE" w:rsidRPr="008C4AEF" w14:paraId="585CC46A" w14:textId="77777777" w:rsidTr="00A72CBA">
            <w:trPr>
              <w:cantSplit/>
              <w:trHeight w:val="300"/>
            </w:trPr>
            <w:tc>
              <w:tcPr>
                <w:tcW w:w="6091" w:type="dxa"/>
                <w:tcBorders>
                  <w:top w:val="single" w:sz="4" w:space="0" w:color="auto"/>
                  <w:left w:val="single" w:sz="4" w:space="0" w:color="auto"/>
                  <w:bottom w:val="single" w:sz="4" w:space="0" w:color="auto"/>
                  <w:right w:val="single" w:sz="4" w:space="0" w:color="FFFFFF" w:themeColor="background1"/>
                </w:tcBorders>
                <w:shd w:val="clear" w:color="000000" w:fill="016574"/>
                <w:hideMark/>
              </w:tcPr>
              <w:p w14:paraId="02B3094A" w14:textId="77777777" w:rsidR="008C4AEF" w:rsidRPr="008C4AEF" w:rsidRDefault="008C4AEF" w:rsidP="00FE0DF5">
                <w:pPr>
                  <w:spacing w:after="0"/>
                  <w:rPr>
                    <w:rFonts w:ascii="Arial" w:eastAsia="Times New Roman" w:hAnsi="Arial" w:cs="Arial"/>
                    <w:b/>
                    <w:bCs/>
                    <w:color w:val="FFFFFF"/>
                    <w:lang w:eastAsia="en-GB"/>
                  </w:rPr>
                </w:pPr>
                <w:r w:rsidRPr="008C4AEF">
                  <w:rPr>
                    <w:rFonts w:ascii="Arial" w:eastAsia="Times New Roman" w:hAnsi="Arial" w:cs="Arial"/>
                    <w:b/>
                    <w:bCs/>
                    <w:color w:val="FFFFFF"/>
                    <w:lang w:eastAsia="en-GB"/>
                  </w:rPr>
                  <w:t xml:space="preserve">Total assets </w:t>
                </w:r>
                <w:proofErr w:type="gramStart"/>
                <w:r w:rsidRPr="008C4AEF">
                  <w:rPr>
                    <w:rFonts w:ascii="Arial" w:eastAsia="Times New Roman" w:hAnsi="Arial" w:cs="Arial"/>
                    <w:b/>
                    <w:bCs/>
                    <w:color w:val="FFFFFF"/>
                    <w:lang w:eastAsia="en-GB"/>
                  </w:rPr>
                  <w:t>less</w:t>
                </w:r>
                <w:proofErr w:type="gramEnd"/>
                <w:r w:rsidRPr="008C4AEF">
                  <w:rPr>
                    <w:rFonts w:ascii="Arial" w:eastAsia="Times New Roman" w:hAnsi="Arial" w:cs="Arial"/>
                    <w:b/>
                    <w:bCs/>
                    <w:color w:val="FFFFFF"/>
                    <w:lang w:eastAsia="en-GB"/>
                  </w:rPr>
                  <w:t xml:space="preserve"> current liabilities</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hideMark/>
              </w:tcPr>
              <w:p w14:paraId="2977FB48"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62,781</w:t>
                </w:r>
              </w:p>
            </w:tc>
            <w:tc>
              <w:tcPr>
                <w:tcW w:w="2268" w:type="dxa"/>
                <w:tcBorders>
                  <w:top w:val="single" w:sz="4" w:space="0" w:color="auto"/>
                  <w:left w:val="single" w:sz="4" w:space="0" w:color="FFFFFF" w:themeColor="background1"/>
                  <w:bottom w:val="single" w:sz="4" w:space="0" w:color="auto"/>
                  <w:right w:val="single" w:sz="4" w:space="0" w:color="000000"/>
                </w:tcBorders>
                <w:shd w:val="clear" w:color="000000" w:fill="016574"/>
                <w:hideMark/>
              </w:tcPr>
              <w:p w14:paraId="7AEFB0C1"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64,611</w:t>
                </w:r>
              </w:p>
            </w:tc>
          </w:tr>
          <w:tr w:rsidR="008C4AEF" w:rsidRPr="008C4AEF" w14:paraId="7688D7AB"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524CDC9E" w14:textId="77777777" w:rsidR="008C4AEF" w:rsidRPr="008C4AEF" w:rsidRDefault="008C4AEF" w:rsidP="00FE0DF5">
                <w:pPr>
                  <w:spacing w:after="0"/>
                  <w:rPr>
                    <w:rFonts w:ascii="Arial" w:eastAsia="Times New Roman" w:hAnsi="Arial" w:cs="Arial"/>
                    <w:b/>
                    <w:bCs/>
                    <w:lang w:eastAsia="en-GB"/>
                  </w:rPr>
                </w:pPr>
                <w:proofErr w:type="spellStart"/>
                <w:proofErr w:type="gramStart"/>
                <w:r w:rsidRPr="008C4AEF">
                  <w:rPr>
                    <w:rFonts w:ascii="Arial" w:eastAsia="Times New Roman" w:hAnsi="Arial" w:cs="Arial"/>
                    <w:b/>
                    <w:bCs/>
                    <w:lang w:eastAsia="en-GB"/>
                  </w:rPr>
                  <w:t>Non current</w:t>
                </w:r>
                <w:proofErr w:type="spellEnd"/>
                <w:proofErr w:type="gramEnd"/>
                <w:r w:rsidRPr="008C4AEF">
                  <w:rPr>
                    <w:rFonts w:ascii="Arial" w:eastAsia="Times New Roman" w:hAnsi="Arial" w:cs="Arial"/>
                    <w:b/>
                    <w:bCs/>
                    <w:lang w:eastAsia="en-GB"/>
                  </w:rPr>
                  <w:t xml:space="preserve"> liabilities</w:t>
                </w:r>
              </w:p>
            </w:tc>
            <w:tc>
              <w:tcPr>
                <w:tcW w:w="1985" w:type="dxa"/>
                <w:tcBorders>
                  <w:top w:val="single" w:sz="4" w:space="0" w:color="auto"/>
                  <w:left w:val="single" w:sz="4" w:space="0" w:color="auto"/>
                  <w:bottom w:val="single" w:sz="4" w:space="0" w:color="auto"/>
                  <w:right w:val="single" w:sz="4" w:space="0" w:color="auto"/>
                </w:tcBorders>
                <w:hideMark/>
              </w:tcPr>
              <w:p w14:paraId="69B88B4A" w14:textId="77777777" w:rsidR="008C4AEF" w:rsidRPr="008C4AEF" w:rsidRDefault="008C4AEF" w:rsidP="00FE0DF5">
                <w:pPr>
                  <w:spacing w:after="0"/>
                  <w:jc w:val="right"/>
                  <w:rPr>
                    <w:rFonts w:ascii="Arial" w:eastAsia="Times New Roman" w:hAnsi="Arial" w:cs="Arial"/>
                    <w:b/>
                    <w:bCs/>
                    <w:lang w:eastAsia="en-GB"/>
                  </w:rPr>
                </w:pPr>
              </w:p>
            </w:tc>
            <w:tc>
              <w:tcPr>
                <w:tcW w:w="2268" w:type="dxa"/>
                <w:tcBorders>
                  <w:top w:val="single" w:sz="4" w:space="0" w:color="auto"/>
                  <w:left w:val="single" w:sz="4" w:space="0" w:color="auto"/>
                  <w:bottom w:val="single" w:sz="4" w:space="0" w:color="auto"/>
                  <w:right w:val="single" w:sz="4" w:space="0" w:color="auto"/>
                </w:tcBorders>
                <w:noWrap/>
                <w:hideMark/>
              </w:tcPr>
              <w:p w14:paraId="67C47351" w14:textId="77777777" w:rsidR="008C4AEF" w:rsidRPr="008C4AEF" w:rsidRDefault="008C4AEF" w:rsidP="00FE0DF5">
                <w:pPr>
                  <w:spacing w:after="0"/>
                  <w:jc w:val="right"/>
                  <w:rPr>
                    <w:rFonts w:ascii="Arial" w:eastAsia="Times New Roman" w:hAnsi="Arial" w:cs="Arial"/>
                    <w:lang w:eastAsia="en-GB"/>
                  </w:rPr>
                </w:pPr>
              </w:p>
            </w:tc>
          </w:tr>
          <w:tr w:rsidR="008C4AEF" w:rsidRPr="008C4AEF" w14:paraId="1A77148C" w14:textId="77777777" w:rsidTr="00A72CBA">
            <w:trPr>
              <w:cantSplit/>
              <w:trHeight w:val="600"/>
            </w:trPr>
            <w:tc>
              <w:tcPr>
                <w:tcW w:w="6091" w:type="dxa"/>
                <w:tcBorders>
                  <w:top w:val="single" w:sz="4" w:space="0" w:color="auto"/>
                  <w:left w:val="single" w:sz="4" w:space="0" w:color="auto"/>
                  <w:bottom w:val="single" w:sz="4" w:space="0" w:color="auto"/>
                  <w:right w:val="single" w:sz="4" w:space="0" w:color="auto"/>
                </w:tcBorders>
                <w:hideMark/>
              </w:tcPr>
              <w:p w14:paraId="7AC6B4E0"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Provisions for Liabilities and Charges &gt;1 year</w:t>
                </w:r>
              </w:p>
            </w:tc>
            <w:tc>
              <w:tcPr>
                <w:tcW w:w="1985" w:type="dxa"/>
                <w:tcBorders>
                  <w:top w:val="single" w:sz="4" w:space="0" w:color="auto"/>
                  <w:left w:val="single" w:sz="4" w:space="0" w:color="auto"/>
                  <w:bottom w:val="single" w:sz="4" w:space="0" w:color="auto"/>
                  <w:right w:val="single" w:sz="4" w:space="0" w:color="auto"/>
                </w:tcBorders>
                <w:noWrap/>
                <w:hideMark/>
              </w:tcPr>
              <w:p w14:paraId="3415FC06"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(6,022)</w:t>
                </w:r>
              </w:p>
            </w:tc>
            <w:tc>
              <w:tcPr>
                <w:tcW w:w="2268" w:type="dxa"/>
                <w:tcBorders>
                  <w:top w:val="single" w:sz="4" w:space="0" w:color="auto"/>
                  <w:left w:val="single" w:sz="4" w:space="0" w:color="000000"/>
                  <w:bottom w:val="single" w:sz="4" w:space="0" w:color="auto"/>
                  <w:right w:val="single" w:sz="4" w:space="0" w:color="auto"/>
                </w:tcBorders>
                <w:noWrap/>
                <w:hideMark/>
              </w:tcPr>
              <w:p w14:paraId="4A723564"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(6,022)</w:t>
                </w:r>
              </w:p>
            </w:tc>
          </w:tr>
          <w:tr w:rsidR="008C4AEF" w:rsidRPr="008C4AEF" w14:paraId="40C313E4"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655C02D1"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 xml:space="preserve">Future Lease Payments </w:t>
                </w:r>
              </w:p>
            </w:tc>
            <w:tc>
              <w:tcPr>
                <w:tcW w:w="1985" w:type="dxa"/>
                <w:tcBorders>
                  <w:top w:val="single" w:sz="4" w:space="0" w:color="auto"/>
                  <w:left w:val="single" w:sz="4" w:space="0" w:color="auto"/>
                  <w:bottom w:val="single" w:sz="4" w:space="0" w:color="auto"/>
                  <w:right w:val="single" w:sz="4" w:space="0" w:color="auto"/>
                </w:tcBorders>
                <w:noWrap/>
                <w:hideMark/>
              </w:tcPr>
              <w:p w14:paraId="15E50277"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(7,881)</w:t>
                </w:r>
              </w:p>
            </w:tc>
            <w:tc>
              <w:tcPr>
                <w:tcW w:w="2268" w:type="dxa"/>
                <w:tcBorders>
                  <w:top w:val="single" w:sz="4" w:space="0" w:color="auto"/>
                  <w:left w:val="single" w:sz="4" w:space="0" w:color="000000"/>
                  <w:bottom w:val="single" w:sz="4" w:space="0" w:color="auto"/>
                  <w:right w:val="single" w:sz="4" w:space="0" w:color="auto"/>
                </w:tcBorders>
                <w:noWrap/>
                <w:hideMark/>
              </w:tcPr>
              <w:p w14:paraId="0D9C5059"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(7,881)</w:t>
                </w:r>
              </w:p>
            </w:tc>
          </w:tr>
          <w:tr w:rsidR="00EB2DAE" w:rsidRPr="008C4AEF" w14:paraId="7CBC339D" w14:textId="77777777" w:rsidTr="00A72CBA">
            <w:trPr>
              <w:cantSplit/>
              <w:trHeight w:val="300"/>
            </w:trPr>
            <w:tc>
              <w:tcPr>
                <w:tcW w:w="6091" w:type="dxa"/>
                <w:tcBorders>
                  <w:top w:val="single" w:sz="4" w:space="0" w:color="auto"/>
                  <w:left w:val="single" w:sz="4" w:space="0" w:color="auto"/>
                  <w:bottom w:val="single" w:sz="4" w:space="0" w:color="auto"/>
                  <w:right w:val="single" w:sz="4" w:space="0" w:color="FFFFFF" w:themeColor="background1"/>
                </w:tcBorders>
                <w:shd w:val="clear" w:color="000000" w:fill="016574"/>
                <w:hideMark/>
              </w:tcPr>
              <w:p w14:paraId="16DED617" w14:textId="77777777" w:rsidR="008C4AEF" w:rsidRPr="008C4AEF" w:rsidRDefault="008C4AEF" w:rsidP="00FE0DF5">
                <w:pPr>
                  <w:spacing w:after="0"/>
                  <w:rPr>
                    <w:rFonts w:ascii="Arial" w:eastAsia="Times New Roman" w:hAnsi="Arial" w:cs="Arial"/>
                    <w:b/>
                    <w:bCs/>
                    <w:color w:val="FFFFFF"/>
                    <w:lang w:eastAsia="en-GB"/>
                  </w:rPr>
                </w:pPr>
                <w:r w:rsidRPr="008C4AEF">
                  <w:rPr>
                    <w:rFonts w:ascii="Arial" w:eastAsia="Times New Roman" w:hAnsi="Arial" w:cs="Arial"/>
                    <w:b/>
                    <w:bCs/>
                    <w:color w:val="FFFFFF"/>
                    <w:lang w:eastAsia="en-GB"/>
                  </w:rPr>
                  <w:t>Total non-current liabilities</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hideMark/>
              </w:tcPr>
              <w:p w14:paraId="7DC7F609"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(13,903)</w:t>
                </w:r>
              </w:p>
            </w:tc>
            <w:tc>
              <w:tcPr>
                <w:tcW w:w="2268" w:type="dxa"/>
                <w:tcBorders>
                  <w:top w:val="single" w:sz="4" w:space="0" w:color="auto"/>
                  <w:left w:val="single" w:sz="4" w:space="0" w:color="FFFFFF" w:themeColor="background1"/>
                  <w:bottom w:val="single" w:sz="4" w:space="0" w:color="auto"/>
                  <w:right w:val="single" w:sz="4" w:space="0" w:color="000000"/>
                </w:tcBorders>
                <w:shd w:val="clear" w:color="000000" w:fill="016574"/>
                <w:hideMark/>
              </w:tcPr>
              <w:p w14:paraId="7B36B49F"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(13,903)</w:t>
                </w:r>
              </w:p>
            </w:tc>
          </w:tr>
          <w:tr w:rsidR="00EB2DAE" w:rsidRPr="008C4AEF" w14:paraId="4E9C9B70" w14:textId="77777777" w:rsidTr="00A72CBA">
            <w:trPr>
              <w:cantSplit/>
              <w:trHeight w:val="300"/>
            </w:trPr>
            <w:tc>
              <w:tcPr>
                <w:tcW w:w="6091" w:type="dxa"/>
                <w:tcBorders>
                  <w:top w:val="single" w:sz="4" w:space="0" w:color="auto"/>
                  <w:left w:val="single" w:sz="4" w:space="0" w:color="auto"/>
                  <w:bottom w:val="single" w:sz="4" w:space="0" w:color="auto"/>
                  <w:right w:val="single" w:sz="4" w:space="0" w:color="FFFFFF" w:themeColor="background1"/>
                </w:tcBorders>
                <w:shd w:val="clear" w:color="000000" w:fill="016574"/>
                <w:hideMark/>
              </w:tcPr>
              <w:p w14:paraId="745927AB" w14:textId="77777777" w:rsidR="008C4AEF" w:rsidRPr="008C4AEF" w:rsidRDefault="008C4AEF" w:rsidP="00FE0DF5">
                <w:pPr>
                  <w:spacing w:after="0"/>
                  <w:rPr>
                    <w:rFonts w:ascii="Arial" w:eastAsia="Times New Roman" w:hAnsi="Arial" w:cs="Arial"/>
                    <w:b/>
                    <w:bCs/>
                    <w:color w:val="FFFFFF"/>
                    <w:lang w:eastAsia="en-GB"/>
                  </w:rPr>
                </w:pPr>
                <w:r w:rsidRPr="008C4AEF">
                  <w:rPr>
                    <w:rFonts w:ascii="Arial" w:eastAsia="Times New Roman" w:hAnsi="Arial" w:cs="Arial"/>
                    <w:b/>
                    <w:bCs/>
                    <w:color w:val="FFFFFF"/>
                    <w:lang w:eastAsia="en-GB"/>
                  </w:rPr>
                  <w:t xml:space="preserve">Total Assets </w:t>
                </w:r>
                <w:proofErr w:type="gramStart"/>
                <w:r w:rsidRPr="008C4AEF">
                  <w:rPr>
                    <w:rFonts w:ascii="Arial" w:eastAsia="Times New Roman" w:hAnsi="Arial" w:cs="Arial"/>
                    <w:b/>
                    <w:bCs/>
                    <w:color w:val="FFFFFF"/>
                    <w:lang w:eastAsia="en-GB"/>
                  </w:rPr>
                  <w:t>less</w:t>
                </w:r>
                <w:proofErr w:type="gramEnd"/>
                <w:r w:rsidRPr="008C4AEF">
                  <w:rPr>
                    <w:rFonts w:ascii="Arial" w:eastAsia="Times New Roman" w:hAnsi="Arial" w:cs="Arial"/>
                    <w:b/>
                    <w:bCs/>
                    <w:color w:val="FFFFFF"/>
                    <w:lang w:eastAsia="en-GB"/>
                  </w:rPr>
                  <w:t xml:space="preserve"> total liabilities</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hideMark/>
              </w:tcPr>
              <w:p w14:paraId="1B53C0B0"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48,878</w:t>
                </w:r>
              </w:p>
            </w:tc>
            <w:tc>
              <w:tcPr>
                <w:tcW w:w="2268" w:type="dxa"/>
                <w:tcBorders>
                  <w:top w:val="single" w:sz="4" w:space="0" w:color="auto"/>
                  <w:left w:val="single" w:sz="4" w:space="0" w:color="FFFFFF" w:themeColor="background1"/>
                  <w:bottom w:val="single" w:sz="4" w:space="0" w:color="auto"/>
                  <w:right w:val="single" w:sz="4" w:space="0" w:color="000000"/>
                </w:tcBorders>
                <w:shd w:val="clear" w:color="000000" w:fill="016574"/>
                <w:hideMark/>
              </w:tcPr>
              <w:p w14:paraId="7713D343"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50,708</w:t>
                </w:r>
              </w:p>
            </w:tc>
          </w:tr>
          <w:tr w:rsidR="008C4AEF" w:rsidRPr="008C4AEF" w14:paraId="0FA9E67C" w14:textId="77777777" w:rsidTr="00A72CBA">
            <w:trPr>
              <w:cantSplit/>
              <w:trHeight w:val="615"/>
            </w:trPr>
            <w:tc>
              <w:tcPr>
                <w:tcW w:w="6091" w:type="dxa"/>
                <w:tcBorders>
                  <w:top w:val="single" w:sz="4" w:space="0" w:color="auto"/>
                  <w:left w:val="single" w:sz="4" w:space="0" w:color="auto"/>
                  <w:bottom w:val="single" w:sz="4" w:space="0" w:color="auto"/>
                  <w:right w:val="single" w:sz="4" w:space="0" w:color="auto"/>
                </w:tcBorders>
                <w:hideMark/>
              </w:tcPr>
              <w:p w14:paraId="40714D4A" w14:textId="77777777" w:rsidR="008C4AEF" w:rsidRPr="008C4AEF" w:rsidRDefault="008C4AEF" w:rsidP="00FE0DF5">
                <w:pPr>
                  <w:spacing w:after="0"/>
                  <w:rPr>
                    <w:rFonts w:ascii="Arial" w:eastAsia="Times New Roman" w:hAnsi="Arial" w:cs="Arial"/>
                    <w:b/>
                    <w:bCs/>
                    <w:lang w:eastAsia="en-GB"/>
                  </w:rPr>
                </w:pPr>
                <w:r w:rsidRPr="008C4AEF">
                  <w:rPr>
                    <w:rFonts w:ascii="Arial" w:eastAsia="Times New Roman" w:hAnsi="Arial" w:cs="Arial"/>
                    <w:b/>
                    <w:bCs/>
                    <w:lang w:eastAsia="en-GB"/>
                  </w:rPr>
                  <w:t>Taxpayers' equity and other reserves</w:t>
                </w:r>
              </w:p>
            </w:tc>
            <w:tc>
              <w:tcPr>
                <w:tcW w:w="1985" w:type="dxa"/>
                <w:tcBorders>
                  <w:top w:val="single" w:sz="4" w:space="0" w:color="auto"/>
                  <w:left w:val="single" w:sz="4" w:space="0" w:color="auto"/>
                  <w:bottom w:val="single" w:sz="4" w:space="0" w:color="auto"/>
                  <w:right w:val="single" w:sz="4" w:space="0" w:color="auto"/>
                </w:tcBorders>
                <w:hideMark/>
              </w:tcPr>
              <w:p w14:paraId="55AEE141" w14:textId="77777777" w:rsidR="008C4AEF" w:rsidRPr="008C4AEF" w:rsidRDefault="008C4AEF" w:rsidP="00FE0DF5">
                <w:pPr>
                  <w:spacing w:after="0"/>
                  <w:jc w:val="right"/>
                  <w:rPr>
                    <w:rFonts w:ascii="Arial" w:eastAsia="Times New Roman" w:hAnsi="Arial" w:cs="Arial"/>
                    <w:b/>
                    <w:bCs/>
                    <w:lang w:eastAsia="en-GB"/>
                  </w:rPr>
                </w:pPr>
              </w:p>
            </w:tc>
            <w:tc>
              <w:tcPr>
                <w:tcW w:w="2268" w:type="dxa"/>
                <w:tcBorders>
                  <w:top w:val="single" w:sz="4" w:space="0" w:color="auto"/>
                  <w:left w:val="single" w:sz="4" w:space="0" w:color="auto"/>
                  <w:bottom w:val="single" w:sz="4" w:space="0" w:color="auto"/>
                  <w:right w:val="single" w:sz="4" w:space="0" w:color="auto"/>
                </w:tcBorders>
                <w:noWrap/>
                <w:hideMark/>
              </w:tcPr>
              <w:p w14:paraId="31045E7E" w14:textId="77777777" w:rsidR="008C4AEF" w:rsidRPr="008C4AEF" w:rsidRDefault="008C4AEF" w:rsidP="00FE0DF5">
                <w:pPr>
                  <w:spacing w:after="0"/>
                  <w:jc w:val="right"/>
                  <w:rPr>
                    <w:rFonts w:ascii="Arial" w:eastAsia="Times New Roman" w:hAnsi="Arial" w:cs="Arial"/>
                    <w:lang w:eastAsia="en-GB"/>
                  </w:rPr>
                </w:pPr>
              </w:p>
            </w:tc>
          </w:tr>
          <w:tr w:rsidR="008C4AEF" w:rsidRPr="008C4AEF" w14:paraId="2CC259EF"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03FBED4E"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General Fund</w:t>
                </w:r>
              </w:p>
            </w:tc>
            <w:tc>
              <w:tcPr>
                <w:tcW w:w="1985" w:type="dxa"/>
                <w:tcBorders>
                  <w:top w:val="single" w:sz="4" w:space="0" w:color="auto"/>
                  <w:left w:val="single" w:sz="4" w:space="0" w:color="auto"/>
                  <w:bottom w:val="single" w:sz="4" w:space="0" w:color="auto"/>
                  <w:right w:val="single" w:sz="4" w:space="0" w:color="auto"/>
                </w:tcBorders>
                <w:noWrap/>
                <w:hideMark/>
              </w:tcPr>
              <w:p w14:paraId="72CB7D09"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30,544</w:t>
                </w:r>
              </w:p>
            </w:tc>
            <w:tc>
              <w:tcPr>
                <w:tcW w:w="2268" w:type="dxa"/>
                <w:tcBorders>
                  <w:top w:val="single" w:sz="4" w:space="0" w:color="auto"/>
                  <w:left w:val="single" w:sz="4" w:space="0" w:color="000000"/>
                  <w:bottom w:val="single" w:sz="4" w:space="0" w:color="auto"/>
                  <w:right w:val="single" w:sz="4" w:space="0" w:color="auto"/>
                </w:tcBorders>
                <w:noWrap/>
                <w:hideMark/>
              </w:tcPr>
              <w:p w14:paraId="0388A8DA"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32,374</w:t>
                </w:r>
              </w:p>
            </w:tc>
          </w:tr>
          <w:tr w:rsidR="008C4AEF" w:rsidRPr="008C4AEF" w14:paraId="470A5064" w14:textId="77777777" w:rsidTr="00A72CBA">
            <w:trPr>
              <w:cantSplit/>
              <w:trHeight w:val="300"/>
            </w:trPr>
            <w:tc>
              <w:tcPr>
                <w:tcW w:w="6091" w:type="dxa"/>
                <w:tcBorders>
                  <w:top w:val="single" w:sz="4" w:space="0" w:color="auto"/>
                  <w:left w:val="single" w:sz="4" w:space="0" w:color="auto"/>
                  <w:bottom w:val="single" w:sz="4" w:space="0" w:color="auto"/>
                  <w:right w:val="single" w:sz="4" w:space="0" w:color="auto"/>
                </w:tcBorders>
                <w:hideMark/>
              </w:tcPr>
              <w:p w14:paraId="3700FC24" w14:textId="77777777" w:rsidR="008C4AEF" w:rsidRPr="008C4AEF" w:rsidRDefault="008C4AEF" w:rsidP="00FE0DF5">
                <w:pPr>
                  <w:spacing w:after="0"/>
                  <w:rPr>
                    <w:rFonts w:ascii="Arial" w:eastAsia="Times New Roman" w:hAnsi="Arial" w:cs="Arial"/>
                    <w:lang w:eastAsia="en-GB"/>
                  </w:rPr>
                </w:pPr>
                <w:r w:rsidRPr="008C4AEF">
                  <w:rPr>
                    <w:rFonts w:ascii="Arial" w:eastAsia="Times New Roman" w:hAnsi="Arial" w:cs="Arial"/>
                    <w:lang w:eastAsia="en-GB"/>
                  </w:rPr>
                  <w:t>Revaluation Reserve</w:t>
                </w:r>
              </w:p>
            </w:tc>
            <w:tc>
              <w:tcPr>
                <w:tcW w:w="1985" w:type="dxa"/>
                <w:tcBorders>
                  <w:top w:val="single" w:sz="4" w:space="0" w:color="auto"/>
                  <w:left w:val="single" w:sz="4" w:space="0" w:color="auto"/>
                  <w:bottom w:val="single" w:sz="4" w:space="0" w:color="auto"/>
                  <w:right w:val="single" w:sz="4" w:space="0" w:color="auto"/>
                </w:tcBorders>
                <w:noWrap/>
                <w:hideMark/>
              </w:tcPr>
              <w:p w14:paraId="3BD5D482" w14:textId="77777777" w:rsidR="008C4AEF" w:rsidRPr="008C4AEF" w:rsidRDefault="008C4AEF" w:rsidP="00FE0DF5">
                <w:pPr>
                  <w:spacing w:after="0"/>
                  <w:jc w:val="right"/>
                  <w:rPr>
                    <w:rFonts w:ascii="Arial" w:eastAsia="Times New Roman" w:hAnsi="Arial" w:cs="Arial"/>
                    <w:lang w:eastAsia="en-GB"/>
                  </w:rPr>
                </w:pPr>
                <w:r w:rsidRPr="008C4AEF">
                  <w:rPr>
                    <w:rFonts w:ascii="Arial" w:eastAsia="Times New Roman" w:hAnsi="Arial" w:cs="Arial"/>
                    <w:lang w:eastAsia="en-GB"/>
                  </w:rPr>
                  <w:t>18,334</w:t>
                </w:r>
              </w:p>
            </w:tc>
            <w:tc>
              <w:tcPr>
                <w:tcW w:w="2268" w:type="dxa"/>
                <w:tcBorders>
                  <w:top w:val="single" w:sz="4" w:space="0" w:color="auto"/>
                  <w:left w:val="single" w:sz="4" w:space="0" w:color="000000"/>
                  <w:bottom w:val="single" w:sz="4" w:space="0" w:color="auto"/>
                  <w:right w:val="single" w:sz="4" w:space="0" w:color="auto"/>
                </w:tcBorders>
                <w:noWrap/>
                <w:hideMark/>
              </w:tcPr>
              <w:p w14:paraId="15465A7E" w14:textId="77777777" w:rsidR="008C4AEF" w:rsidRPr="008C4AEF" w:rsidRDefault="008C4AEF" w:rsidP="00FE0DF5">
                <w:pPr>
                  <w:spacing w:after="0"/>
                  <w:jc w:val="right"/>
                  <w:rPr>
                    <w:rFonts w:ascii="Arial" w:eastAsia="Times New Roman" w:hAnsi="Arial" w:cs="Arial"/>
                    <w:color w:val="000000"/>
                    <w:lang w:eastAsia="en-GB"/>
                  </w:rPr>
                </w:pPr>
                <w:r w:rsidRPr="008C4AEF">
                  <w:rPr>
                    <w:rFonts w:ascii="Arial" w:eastAsia="Times New Roman" w:hAnsi="Arial" w:cs="Arial"/>
                    <w:color w:val="000000"/>
                    <w:lang w:eastAsia="en-GB"/>
                  </w:rPr>
                  <w:t>18,334</w:t>
                </w:r>
              </w:p>
            </w:tc>
          </w:tr>
          <w:tr w:rsidR="00EB2DAE" w:rsidRPr="008C4AEF" w14:paraId="730CBCD5" w14:textId="77777777" w:rsidTr="00A72CBA">
            <w:trPr>
              <w:cantSplit/>
              <w:trHeight w:val="300"/>
            </w:trPr>
            <w:tc>
              <w:tcPr>
                <w:tcW w:w="6091" w:type="dxa"/>
                <w:tcBorders>
                  <w:top w:val="single" w:sz="4" w:space="0" w:color="auto"/>
                  <w:left w:val="single" w:sz="4" w:space="0" w:color="auto"/>
                  <w:bottom w:val="single" w:sz="4" w:space="0" w:color="auto"/>
                  <w:right w:val="single" w:sz="4" w:space="0" w:color="FFFFFF" w:themeColor="background1"/>
                </w:tcBorders>
                <w:shd w:val="clear" w:color="000000" w:fill="016574"/>
                <w:hideMark/>
              </w:tcPr>
              <w:p w14:paraId="71BAE424" w14:textId="46C597D3" w:rsidR="008C4AEF" w:rsidRPr="008C4AEF" w:rsidRDefault="008C4AEF" w:rsidP="00FE0DF5">
                <w:pPr>
                  <w:spacing w:after="0"/>
                  <w:rPr>
                    <w:rFonts w:ascii="Arial" w:eastAsia="Times New Roman" w:hAnsi="Arial" w:cs="Arial"/>
                    <w:b/>
                    <w:bCs/>
                    <w:color w:val="FFFFFF"/>
                    <w:lang w:eastAsia="en-GB"/>
                  </w:rPr>
                </w:pPr>
                <w:r w:rsidRPr="008C4AEF">
                  <w:rPr>
                    <w:rFonts w:ascii="Arial" w:eastAsia="Times New Roman" w:hAnsi="Arial" w:cs="Arial"/>
                    <w:b/>
                    <w:bCs/>
                    <w:color w:val="FFFFFF"/>
                    <w:lang w:eastAsia="en-GB"/>
                  </w:rPr>
                  <w:t>Total Tax</w:t>
                </w:r>
                <w:r w:rsidR="00FE0DF5">
                  <w:rPr>
                    <w:rFonts w:ascii="Arial" w:eastAsia="Times New Roman" w:hAnsi="Arial" w:cs="Arial"/>
                    <w:b/>
                    <w:bCs/>
                    <w:color w:val="FFFFFF"/>
                    <w:lang w:eastAsia="en-GB"/>
                  </w:rPr>
                  <w:t>p</w:t>
                </w:r>
                <w:r w:rsidRPr="008C4AEF">
                  <w:rPr>
                    <w:rFonts w:ascii="Arial" w:eastAsia="Times New Roman" w:hAnsi="Arial" w:cs="Arial"/>
                    <w:b/>
                    <w:bCs/>
                    <w:color w:val="FFFFFF"/>
                    <w:lang w:eastAsia="en-GB"/>
                  </w:rPr>
                  <w:t>ayers</w:t>
                </w:r>
                <w:r w:rsidR="00277F38">
                  <w:rPr>
                    <w:rFonts w:ascii="Arial" w:eastAsia="Times New Roman" w:hAnsi="Arial" w:cs="Arial"/>
                    <w:b/>
                    <w:bCs/>
                    <w:color w:val="FFFFFF"/>
                    <w:lang w:eastAsia="en-GB"/>
                  </w:rPr>
                  <w:t>’</w:t>
                </w:r>
                <w:r w:rsidRPr="008C4AEF">
                  <w:rPr>
                    <w:rFonts w:ascii="Arial" w:eastAsia="Times New Roman" w:hAnsi="Arial" w:cs="Arial"/>
                    <w:b/>
                    <w:bCs/>
                    <w:color w:val="FFFFFF"/>
                    <w:lang w:eastAsia="en-GB"/>
                  </w:rPr>
                  <w:t xml:space="preserve"> Equity</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16574"/>
                <w:hideMark/>
              </w:tcPr>
              <w:p w14:paraId="29CF34C9"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48,878</w:t>
                </w:r>
              </w:p>
            </w:tc>
            <w:tc>
              <w:tcPr>
                <w:tcW w:w="2268" w:type="dxa"/>
                <w:tcBorders>
                  <w:top w:val="single" w:sz="4" w:space="0" w:color="auto"/>
                  <w:left w:val="single" w:sz="4" w:space="0" w:color="FFFFFF" w:themeColor="background1"/>
                  <w:bottom w:val="single" w:sz="4" w:space="0" w:color="000000"/>
                  <w:right w:val="single" w:sz="4" w:space="0" w:color="000000"/>
                </w:tcBorders>
                <w:shd w:val="clear" w:color="000000" w:fill="016574"/>
                <w:hideMark/>
              </w:tcPr>
              <w:p w14:paraId="0D28D8AA" w14:textId="77777777" w:rsidR="008C4AEF" w:rsidRPr="008C4AEF" w:rsidRDefault="008C4AEF" w:rsidP="00FE0DF5">
                <w:pPr>
                  <w:spacing w:after="0"/>
                  <w:jc w:val="right"/>
                  <w:rPr>
                    <w:rFonts w:ascii="Arial" w:eastAsia="Times New Roman" w:hAnsi="Arial" w:cs="Arial"/>
                    <w:b/>
                    <w:bCs/>
                    <w:color w:val="FFFFFF"/>
                    <w:lang w:eastAsia="en-GB"/>
                  </w:rPr>
                </w:pPr>
                <w:r w:rsidRPr="008C4AEF">
                  <w:rPr>
                    <w:rFonts w:ascii="Arial" w:eastAsia="Times New Roman" w:hAnsi="Arial" w:cs="Arial"/>
                    <w:b/>
                    <w:bCs/>
                    <w:color w:val="FFFFFF"/>
                    <w:lang w:eastAsia="en-GB"/>
                  </w:rPr>
                  <w:t>50,708</w:t>
                </w:r>
              </w:p>
            </w:tc>
          </w:tr>
        </w:tbl>
        <w:p w14:paraId="60FAE5B7" w14:textId="77777777" w:rsidR="00EB2DAE" w:rsidRDefault="00EB2DAE" w:rsidP="00EB2DAE">
          <w:pPr>
            <w:pStyle w:val="Heading2"/>
            <w:ind w:left="426"/>
            <w:rPr>
              <w:rStyle w:val="normaltextrun"/>
              <w:color w:val="auto"/>
              <w:sz w:val="28"/>
              <w:szCs w:val="28"/>
            </w:rPr>
          </w:pPr>
        </w:p>
        <w:p w14:paraId="3D37E36A" w14:textId="03A16060" w:rsidR="007D55F8" w:rsidRPr="005F4DEC" w:rsidRDefault="007D55F8" w:rsidP="00D73CE7">
          <w:pPr>
            <w:pStyle w:val="Heading2"/>
            <w:numPr>
              <w:ilvl w:val="0"/>
              <w:numId w:val="10"/>
            </w:numPr>
            <w:ind w:left="426" w:hanging="426"/>
            <w:rPr>
              <w:rStyle w:val="normaltextrun"/>
              <w:color w:val="auto"/>
              <w:sz w:val="28"/>
              <w:szCs w:val="28"/>
            </w:rPr>
          </w:pPr>
          <w:r w:rsidRPr="005F4DEC">
            <w:rPr>
              <w:rStyle w:val="normaltextrun"/>
              <w:color w:val="auto"/>
              <w:sz w:val="28"/>
              <w:szCs w:val="28"/>
            </w:rPr>
            <w:t>Recommendation</w:t>
          </w:r>
        </w:p>
        <w:p w14:paraId="4B1A37C2" w14:textId="7A95493A" w:rsidR="007331AA" w:rsidRDefault="005077F1" w:rsidP="007331AA">
          <w:pPr>
            <w:pStyle w:val="ListParagraph"/>
            <w:numPr>
              <w:ilvl w:val="0"/>
              <w:numId w:val="17"/>
            </w:numPr>
            <w:ind w:left="1077" w:hanging="652"/>
            <w:contextualSpacing w:val="0"/>
          </w:pPr>
          <w:r>
            <w:t xml:space="preserve">The </w:t>
          </w:r>
          <w:r w:rsidR="00A37265">
            <w:t>Board</w:t>
          </w:r>
          <w:r w:rsidR="00BB4B4B">
            <w:t xml:space="preserve"> </w:t>
          </w:r>
          <w:r>
            <w:t>are asked to</w:t>
          </w:r>
          <w:r w:rsidR="007331AA">
            <w:t xml:space="preserve"> n</w:t>
          </w:r>
          <w:r w:rsidRPr="004B68DB">
            <w:t>ote SEPA’s financial performance for the period ending 3</w:t>
          </w:r>
          <w:r w:rsidR="00EB00B3">
            <w:t>1</w:t>
          </w:r>
          <w:r w:rsidRPr="004B68DB">
            <w:t xml:space="preserve"> </w:t>
          </w:r>
          <w:r w:rsidR="00EB00B3">
            <w:t>Dec</w:t>
          </w:r>
          <w:r w:rsidR="00851B87">
            <w:t>ember</w:t>
          </w:r>
          <w:r w:rsidR="007331AA">
            <w:t>.</w:t>
          </w:r>
        </w:p>
        <w:p w14:paraId="55281D91" w14:textId="0E9539DF" w:rsidR="009215DE" w:rsidRDefault="003D4485" w:rsidP="0052464C">
          <w:pPr>
            <w:ind w:left="425"/>
            <w:rPr>
              <w:color w:val="016574" w:themeColor="accent6"/>
              <w:szCs w:val="40"/>
            </w:rPr>
          </w:pPr>
          <w:r w:rsidRPr="00FA460F">
            <w:rPr>
              <w:rStyle w:val="normaltextrun"/>
            </w:rPr>
            <w:t>END</w:t>
          </w:r>
          <w:r w:rsidRPr="00FA460F">
            <w:rPr>
              <w:rStyle w:val="eop"/>
            </w:rPr>
            <w:t> </w:t>
          </w:r>
          <w:r w:rsidR="00281BB1" w:rsidRPr="00EA297B">
            <w:rPr>
              <w:noProof/>
            </w:rPr>
            <mc:AlternateContent>
              <mc:Choice Requires="wps">
                <w:drawing>
                  <wp:anchor distT="0" distB="0" distL="114300" distR="114300" simplePos="0" relativeHeight="251658240" behindDoc="0" locked="1" layoutInCell="1" allowOverlap="1" wp14:anchorId="17CDE28A" wp14:editId="3C59B6B1">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left:0;text-align:left;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9215DE" w:rsidSect="0052464C">
      <w:pgSz w:w="11900" w:h="16840" w:code="9"/>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1D10" w14:textId="77777777" w:rsidR="00A5669C" w:rsidRDefault="00A5669C" w:rsidP="00660C79">
      <w:pPr>
        <w:spacing w:line="240" w:lineRule="auto"/>
      </w:pPr>
      <w:r>
        <w:separator/>
      </w:r>
    </w:p>
  </w:endnote>
  <w:endnote w:type="continuationSeparator" w:id="0">
    <w:p w14:paraId="476C4C9C" w14:textId="77777777" w:rsidR="00A5669C" w:rsidRDefault="00A5669C" w:rsidP="00660C79">
      <w:pPr>
        <w:spacing w:line="240" w:lineRule="auto"/>
      </w:pPr>
      <w:r>
        <w:continuationSeparator/>
      </w:r>
    </w:p>
  </w:endnote>
  <w:endnote w:type="continuationNotice" w:id="1">
    <w:p w14:paraId="142BAFB6" w14:textId="77777777" w:rsidR="00A5669C" w:rsidRDefault="00A56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3F0B5487" w:rsidR="00EC6A73" w:rsidRDefault="006F0FBD">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30B695F6" wp14:editId="78C7047C">
              <wp:simplePos x="635" y="635"/>
              <wp:positionH relativeFrom="page">
                <wp:align>center</wp:align>
              </wp:positionH>
              <wp:positionV relativeFrom="page">
                <wp:align>bottom</wp:align>
              </wp:positionV>
              <wp:extent cx="459740" cy="422910"/>
              <wp:effectExtent l="0" t="0" r="16510" b="0"/>
              <wp:wrapNone/>
              <wp:docPr id="199953897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1F54E96" w14:textId="0AD4901C"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695F6" id="_x0000_t202" coordsize="21600,21600" o:spt="202" path="m,l,21600r21600,l21600,xe">
              <v:stroke joinstyle="miter"/>
              <v:path gradientshapeok="t" o:connecttype="rect"/>
            </v:shapetype>
            <v:shape id="Text Box 13" o:spid="_x0000_s1029" type="#_x0000_t202" alt="OFFICIAL" style="position:absolute;margin-left:0;margin-top:0;width:36.2pt;height:33.3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textbox style="mso-fit-shape-to-text:t" inset="0,0,0,15pt">
                <w:txbxContent>
                  <w:p w14:paraId="11F54E96" w14:textId="0AD4901C"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v:textbox>
              <w10:wrap anchorx="page" anchory="page"/>
            </v:shape>
          </w:pict>
        </mc:Fallback>
      </mc:AlternateContent>
    </w:r>
    <w:sdt>
      <w:sdtPr>
        <w:rPr>
          <w:rStyle w:val="PageNumber"/>
        </w:rPr>
        <w:id w:val="378977036"/>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58110250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610F4E96" w:rsidR="00917BB1" w:rsidRDefault="006F0FBD" w:rsidP="00917BB1">
    <w:pPr>
      <w:pStyle w:val="Footer"/>
      <w:ind w:right="360"/>
    </w:pPr>
    <w:r>
      <w:rPr>
        <w:noProof/>
      </w:rPr>
      <mc:AlternateContent>
        <mc:Choice Requires="wps">
          <w:drawing>
            <wp:anchor distT="0" distB="0" distL="0" distR="0" simplePos="0" relativeHeight="251664389" behindDoc="0" locked="0" layoutInCell="1" allowOverlap="1" wp14:anchorId="2346B38D" wp14:editId="64C319F7">
              <wp:simplePos x="457200" y="9588500"/>
              <wp:positionH relativeFrom="page">
                <wp:align>center</wp:align>
              </wp:positionH>
              <wp:positionV relativeFrom="page">
                <wp:align>bottom</wp:align>
              </wp:positionV>
              <wp:extent cx="459740" cy="422910"/>
              <wp:effectExtent l="0" t="0" r="16510" b="0"/>
              <wp:wrapNone/>
              <wp:docPr id="129885120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E50EB29" w14:textId="315A8034"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46B38D" id="_x0000_t202" coordsize="21600,21600" o:spt="202" path="m,l,21600r21600,l21600,xe">
              <v:stroke joinstyle="miter"/>
              <v:path gradientshapeok="t" o:connecttype="rect"/>
            </v:shapetype>
            <v:shape id="Text Box 14" o:spid="_x0000_s1030" type="#_x0000_t202" alt="OFFICIAL" style="position:absolute;margin-left:0;margin-top:0;width:36.2pt;height:33.3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textbox style="mso-fit-shape-to-text:t" inset="0,0,0,15pt">
                <w:txbxContent>
                  <w:p w14:paraId="6E50EB29" w14:textId="315A8034"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1011598658"/>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272594166" name="Picture 1272594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54CD14EE" w:rsidR="002369CA" w:rsidRDefault="006F0FBD">
    <w:pPr>
      <w:pStyle w:val="Footer"/>
    </w:pPr>
    <w:r>
      <w:rPr>
        <w:noProof/>
      </w:rPr>
      <mc:AlternateContent>
        <mc:Choice Requires="wps">
          <w:drawing>
            <wp:anchor distT="0" distB="0" distL="0" distR="0" simplePos="0" relativeHeight="251662341" behindDoc="0" locked="0" layoutInCell="1" allowOverlap="1" wp14:anchorId="5AA8E2AC" wp14:editId="60046B82">
              <wp:simplePos x="635" y="635"/>
              <wp:positionH relativeFrom="page">
                <wp:align>center</wp:align>
              </wp:positionH>
              <wp:positionV relativeFrom="page">
                <wp:align>bottom</wp:align>
              </wp:positionV>
              <wp:extent cx="459740" cy="422910"/>
              <wp:effectExtent l="0" t="0" r="16510" b="0"/>
              <wp:wrapNone/>
              <wp:docPr id="20082696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37F43D8" w14:textId="345A947B"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A8E2AC" id="_x0000_t202" coordsize="21600,21600" o:spt="202" path="m,l,21600r21600,l21600,xe">
              <v:stroke joinstyle="miter"/>
              <v:path gradientshapeok="t" o:connecttype="rect"/>
            </v:shapetype>
            <v:shape id="Text Box 12" o:spid="_x0000_s1032" type="#_x0000_t202" alt="OFFICIAL" style="position:absolute;margin-left:0;margin-top:0;width:36.2pt;height:33.3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textbox style="mso-fit-shape-to-text:t" inset="0,0,0,15pt">
                <w:txbxContent>
                  <w:p w14:paraId="337F43D8" w14:textId="345A947B"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A068" w14:textId="77777777" w:rsidR="00A5669C" w:rsidRDefault="00A5669C" w:rsidP="00660C79">
      <w:pPr>
        <w:spacing w:line="240" w:lineRule="auto"/>
      </w:pPr>
      <w:r>
        <w:separator/>
      </w:r>
    </w:p>
  </w:footnote>
  <w:footnote w:type="continuationSeparator" w:id="0">
    <w:p w14:paraId="211A3712" w14:textId="77777777" w:rsidR="00A5669C" w:rsidRDefault="00A5669C" w:rsidP="00660C79">
      <w:pPr>
        <w:spacing w:line="240" w:lineRule="auto"/>
      </w:pPr>
      <w:r>
        <w:continuationSeparator/>
      </w:r>
    </w:p>
  </w:footnote>
  <w:footnote w:type="continuationNotice" w:id="1">
    <w:p w14:paraId="1B8C1606" w14:textId="77777777" w:rsidR="00A5669C" w:rsidRDefault="00A56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519F1B75" w:rsidR="00D804A9" w:rsidRDefault="006F0FBD">
    <w:pPr>
      <w:pStyle w:val="Header"/>
    </w:pPr>
    <w:r>
      <w:rPr>
        <w:noProof/>
      </w:rPr>
      <mc:AlternateContent>
        <mc:Choice Requires="wps">
          <w:drawing>
            <wp:anchor distT="0" distB="0" distL="0" distR="0" simplePos="0" relativeHeight="251660293" behindDoc="0" locked="0" layoutInCell="1" allowOverlap="1" wp14:anchorId="5FED2E0B" wp14:editId="693C87B9">
              <wp:simplePos x="635" y="635"/>
              <wp:positionH relativeFrom="page">
                <wp:align>center</wp:align>
              </wp:positionH>
              <wp:positionV relativeFrom="page">
                <wp:align>top</wp:align>
              </wp:positionV>
              <wp:extent cx="459740" cy="422910"/>
              <wp:effectExtent l="0" t="0" r="16510" b="15240"/>
              <wp:wrapNone/>
              <wp:docPr id="146288073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90C0FC7" w14:textId="3EC62966"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ED2E0B" id="_x0000_t202" coordsize="21600,21600" o:spt="202" path="m,l,21600r21600,l21600,xe">
              <v:stroke joinstyle="miter"/>
              <v:path gradientshapeok="t" o:connecttype="rect"/>
            </v:shapetype>
            <v:shape id="Text Box 10" o:spid="_x0000_s1027" type="#_x0000_t202" alt="OFFICIAL" style="position:absolute;margin-left:0;margin-top:0;width:36.2pt;height:33.3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textbox style="mso-fit-shape-to-text:t" inset="0,15pt,0,0">
                <w:txbxContent>
                  <w:p w14:paraId="590C0FC7" w14:textId="3EC62966"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0D72031D" w:rsidR="00114EA4" w:rsidRDefault="006F0FBD" w:rsidP="00114EA4">
    <w:pPr>
      <w:pStyle w:val="BodyText1"/>
      <w:jc w:val="right"/>
    </w:pPr>
    <w:r>
      <w:rPr>
        <w:noProof/>
      </w:rPr>
      <mc:AlternateContent>
        <mc:Choice Requires="wps">
          <w:drawing>
            <wp:anchor distT="0" distB="0" distL="0" distR="0" simplePos="0" relativeHeight="251661317" behindDoc="0" locked="0" layoutInCell="1" allowOverlap="1" wp14:anchorId="69EE2568" wp14:editId="31216474">
              <wp:simplePos x="457200" y="508000"/>
              <wp:positionH relativeFrom="page">
                <wp:align>center</wp:align>
              </wp:positionH>
              <wp:positionV relativeFrom="page">
                <wp:align>top</wp:align>
              </wp:positionV>
              <wp:extent cx="459740" cy="422910"/>
              <wp:effectExtent l="0" t="0" r="16510" b="15240"/>
              <wp:wrapNone/>
              <wp:docPr id="85108813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8B17DBB" w14:textId="5C314939"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E2568" id="_x0000_t202" coordsize="21600,21600" o:spt="202" path="m,l,21600r21600,l21600,xe">
              <v:stroke joinstyle="miter"/>
              <v:path gradientshapeok="t" o:connecttype="rect"/>
            </v:shapetype>
            <v:shape id="Text Box 11" o:spid="_x0000_s1028" type="#_x0000_t202" alt="OFFICIAL" style="position:absolute;left:0;text-align:left;margin-left:0;margin-top:0;width:36.2pt;height:33.3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textbox style="mso-fit-shape-to-text:t" inset="0,15pt,0,0">
                <w:txbxContent>
                  <w:p w14:paraId="48B17DBB" w14:textId="5C314939"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v:textbox>
              <w10:wrap anchorx="page" anchory="page"/>
            </v:shape>
          </w:pict>
        </mc:Fallback>
      </mc:AlternateContent>
    </w:r>
    <w:r w:rsidR="00114EA4">
      <w:tab/>
    </w:r>
    <w:r w:rsidR="00114EA4">
      <w:tab/>
    </w:r>
    <w:r w:rsidR="00114EA4">
      <w:tab/>
    </w:r>
    <w:r w:rsidR="00114EA4">
      <w:tab/>
    </w:r>
    <w:r w:rsidR="00CB2B55">
      <w:t>Ref</w:t>
    </w:r>
    <w:r w:rsidR="00114EA4" w:rsidRPr="007906F3">
      <w:t xml:space="preserve"> </w:t>
    </w:r>
    <w:r w:rsidR="00AB3736" w:rsidRPr="000C736E">
      <w:t>24-25</w:t>
    </w:r>
    <w:r w:rsidR="00851BC2">
      <w:t>/</w:t>
    </w:r>
    <w:r w:rsidR="00DA6284">
      <w:t>052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44B0D783" w:rsidR="002369CA" w:rsidRDefault="006F0FBD" w:rsidP="00D61975">
    <w:pPr>
      <w:pStyle w:val="BodyText1"/>
      <w:jc w:val="right"/>
    </w:pPr>
    <w:r>
      <w:rPr>
        <w:noProof/>
      </w:rPr>
      <mc:AlternateContent>
        <mc:Choice Requires="wps">
          <w:drawing>
            <wp:anchor distT="0" distB="0" distL="0" distR="0" simplePos="0" relativeHeight="251659269" behindDoc="0" locked="0" layoutInCell="1" allowOverlap="1" wp14:anchorId="4F489E12" wp14:editId="1F7B16B2">
              <wp:simplePos x="635" y="635"/>
              <wp:positionH relativeFrom="page">
                <wp:align>center</wp:align>
              </wp:positionH>
              <wp:positionV relativeFrom="page">
                <wp:align>top</wp:align>
              </wp:positionV>
              <wp:extent cx="459740" cy="422910"/>
              <wp:effectExtent l="0" t="0" r="16510" b="15240"/>
              <wp:wrapNone/>
              <wp:docPr id="85506178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F021016" w14:textId="0D30106F"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89E12" id="_x0000_t202" coordsize="21600,21600" o:spt="202" path="m,l,21600r21600,l21600,xe">
              <v:stroke joinstyle="miter"/>
              <v:path gradientshapeok="t" o:connecttype="rect"/>
            </v:shapetype>
            <v:shape id="Text Box 9" o:spid="_x0000_s1031" type="#_x0000_t202" alt="OFFICIAL" style="position:absolute;left:0;text-align:left;margin-left:0;margin-top:0;width:36.2pt;height:33.3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textbox style="mso-fit-shape-to-text:t" inset="0,15pt,0,0">
                <w:txbxContent>
                  <w:p w14:paraId="7F021016" w14:textId="0D30106F" w:rsidR="006F0FBD" w:rsidRPr="006F0FBD" w:rsidRDefault="006F0FBD" w:rsidP="006F0FBD">
                    <w:pPr>
                      <w:spacing w:after="0"/>
                      <w:rPr>
                        <w:rFonts w:ascii="Calibri" w:eastAsia="Calibri" w:hAnsi="Calibri" w:cs="Calibri"/>
                        <w:noProof/>
                        <w:color w:val="0000FF"/>
                        <w:sz w:val="20"/>
                        <w:szCs w:val="20"/>
                      </w:rPr>
                    </w:pPr>
                    <w:r w:rsidRPr="006F0FBD">
                      <w:rPr>
                        <w:rFonts w:ascii="Calibri" w:eastAsia="Calibri" w:hAnsi="Calibri" w:cs="Calibri"/>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w:t>
    </w:r>
    <w:proofErr w:type="gramStart"/>
    <w:r w:rsidR="00D61975" w:rsidRPr="007906F3">
      <w:t>CLT  XX</w:t>
    </w:r>
    <w:proofErr w:type="gramEnd"/>
    <w:r w:rsidR="00D61975" w:rsidRPr="007906F3">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ACF"/>
    <w:multiLevelType w:val="multilevel"/>
    <w:tmpl w:val="8F60E4A6"/>
    <w:lvl w:ilvl="0">
      <w:start w:val="1"/>
      <w:numFmt w:val="decimal"/>
      <w:lvlText w:val="%1."/>
      <w:lvlJc w:val="left"/>
      <w:pPr>
        <w:ind w:left="360" w:hanging="360"/>
      </w:pPr>
    </w:lvl>
    <w:lvl w:ilvl="1">
      <w:start w:val="1"/>
      <w:numFmt w:val="decimal"/>
      <w:lvlText w:val="3.%2 "/>
      <w:lvlJc w:val="left"/>
      <w:pPr>
        <w:ind w:left="720" w:hanging="360"/>
      </w:pPr>
      <w:rPr>
        <w:rFonts w:ascii="Arial" w:hAnsi="Arial" w:hint="default"/>
        <w:b w:val="0"/>
        <w:i w:val="0"/>
        <w:sz w:val="24"/>
        <w:szCs w:val="24"/>
        <w:u w:val="none"/>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B1D98"/>
    <w:multiLevelType w:val="multilevel"/>
    <w:tmpl w:val="372A8D18"/>
    <w:lvl w:ilvl="0">
      <w:start w:val="1"/>
      <w:numFmt w:val="decimal"/>
      <w:lvlText w:val="%1."/>
      <w:lvlJc w:val="left"/>
      <w:pPr>
        <w:ind w:left="360" w:hanging="360"/>
      </w:pPr>
    </w:lvl>
    <w:lvl w:ilvl="1">
      <w:start w:val="1"/>
      <w:numFmt w:val="decimal"/>
      <w:lvlText w:val="2.%2 "/>
      <w:lvlJc w:val="left"/>
      <w:pPr>
        <w:ind w:left="785" w:hanging="360"/>
      </w:pPr>
      <w:rPr>
        <w:rFonts w:ascii="Arial" w:hAnsi="Arial" w:hint="default"/>
        <w:b w:val="0"/>
        <w:i w:val="0"/>
        <w:color w:val="3C4741" w:themeColor="text1"/>
        <w:sz w:val="24"/>
        <w:szCs w:val="24"/>
        <w:u w:val="none"/>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CE5B39"/>
    <w:multiLevelType w:val="multilevel"/>
    <w:tmpl w:val="A30458D4"/>
    <w:lvl w:ilvl="0">
      <w:start w:val="1"/>
      <w:numFmt w:val="bullet"/>
      <w:lvlText w:val=""/>
      <w:lvlJc w:val="left"/>
      <w:pPr>
        <w:ind w:left="1437" w:hanging="360"/>
      </w:pPr>
      <w:rPr>
        <w:rFonts w:ascii="Symbol" w:hAnsi="Symbol" w:hint="default"/>
      </w:rPr>
    </w:lvl>
    <w:lvl w:ilvl="1">
      <w:start w:val="1"/>
      <w:numFmt w:val="decimal"/>
      <w:lvlText w:val="%1.%2."/>
      <w:lvlJc w:val="left"/>
      <w:pPr>
        <w:ind w:left="1869" w:hanging="432"/>
      </w:pPr>
      <w:rPr>
        <w:b w:val="0"/>
        <w:bCs w:val="0"/>
        <w:color w:val="auto"/>
        <w:sz w:val="24"/>
        <w:szCs w:val="24"/>
      </w:rPr>
    </w:lvl>
    <w:lvl w:ilvl="2">
      <w:start w:val="1"/>
      <w:numFmt w:val="decimal"/>
      <w:lvlText w:val="%1.%2.%3."/>
      <w:lvlJc w:val="left"/>
      <w:pPr>
        <w:ind w:left="2301" w:hanging="504"/>
      </w:pPr>
    </w:lvl>
    <w:lvl w:ilvl="3">
      <w:start w:val="1"/>
      <w:numFmt w:val="decimal"/>
      <w:lvlText w:val="%1.%2.%3.%4."/>
      <w:lvlJc w:val="left"/>
      <w:pPr>
        <w:ind w:left="2805" w:hanging="648"/>
      </w:pPr>
    </w:lvl>
    <w:lvl w:ilvl="4">
      <w:start w:val="1"/>
      <w:numFmt w:val="decimal"/>
      <w:lvlText w:val="%1.%2.%3.%4.%5."/>
      <w:lvlJc w:val="left"/>
      <w:pPr>
        <w:ind w:left="3309" w:hanging="792"/>
      </w:pPr>
    </w:lvl>
    <w:lvl w:ilvl="5">
      <w:start w:val="1"/>
      <w:numFmt w:val="decimal"/>
      <w:lvlText w:val="%1.%2.%3.%4.%5.%6."/>
      <w:lvlJc w:val="left"/>
      <w:pPr>
        <w:ind w:left="3813" w:hanging="936"/>
      </w:pPr>
    </w:lvl>
    <w:lvl w:ilvl="6">
      <w:start w:val="1"/>
      <w:numFmt w:val="decimal"/>
      <w:lvlText w:val="%1.%2.%3.%4.%5.%6.%7."/>
      <w:lvlJc w:val="left"/>
      <w:pPr>
        <w:ind w:left="4317" w:hanging="1080"/>
      </w:pPr>
    </w:lvl>
    <w:lvl w:ilvl="7">
      <w:start w:val="1"/>
      <w:numFmt w:val="decimal"/>
      <w:lvlText w:val="%1.%2.%3.%4.%5.%6.%7.%8."/>
      <w:lvlJc w:val="left"/>
      <w:pPr>
        <w:ind w:left="4821" w:hanging="1224"/>
      </w:pPr>
    </w:lvl>
    <w:lvl w:ilvl="8">
      <w:start w:val="1"/>
      <w:numFmt w:val="decimal"/>
      <w:lvlText w:val="%1.%2.%3.%4.%5.%6.%7.%8.%9."/>
      <w:lvlJc w:val="left"/>
      <w:pPr>
        <w:ind w:left="5397" w:hanging="1440"/>
      </w:pPr>
    </w:lvl>
  </w:abstractNum>
  <w:abstractNum w:abstractNumId="3" w15:restartNumberingAfterBreak="0">
    <w:nsid w:val="12237FC6"/>
    <w:multiLevelType w:val="multilevel"/>
    <w:tmpl w:val="B83C5C24"/>
    <w:lvl w:ilvl="0">
      <w:start w:val="1"/>
      <w:numFmt w:val="decimal"/>
      <w:lvlText w:val="%1."/>
      <w:lvlJc w:val="left"/>
      <w:pPr>
        <w:ind w:left="360" w:hanging="360"/>
      </w:pPr>
    </w:lvl>
    <w:lvl w:ilvl="1">
      <w:start w:val="1"/>
      <w:numFmt w:val="decimal"/>
      <w:lvlText w:val="6.%2 "/>
      <w:lvlJc w:val="left"/>
      <w:pPr>
        <w:ind w:left="720" w:hanging="360"/>
      </w:pPr>
      <w:rPr>
        <w:rFonts w:ascii="Arial" w:hAnsi="Arial" w:hint="default"/>
        <w:b w:val="0"/>
        <w:i w:val="0"/>
        <w:sz w:val="24"/>
        <w:szCs w:val="24"/>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D74A88"/>
    <w:multiLevelType w:val="hybridMultilevel"/>
    <w:tmpl w:val="1B8AC7A0"/>
    <w:lvl w:ilvl="0" w:tplc="00E47E32">
      <w:start w:val="1"/>
      <w:numFmt w:val="decimal"/>
      <w:lvlText w:val="3.%1 "/>
      <w:lvlJc w:val="left"/>
      <w:pPr>
        <w:ind w:left="2280" w:hanging="360"/>
      </w:pPr>
      <w:rPr>
        <w:rFonts w:ascii="Arial" w:hAnsi="Arial" w:hint="default"/>
        <w:b w:val="0"/>
        <w:i w:val="0"/>
        <w:color w:val="3C4741" w:themeColor="text1"/>
        <w:sz w:val="24"/>
        <w:szCs w:val="24"/>
        <w:u w:val="none"/>
      </w:r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5" w15:restartNumberingAfterBreak="0">
    <w:nsid w:val="257D546B"/>
    <w:multiLevelType w:val="multilevel"/>
    <w:tmpl w:val="4B881A14"/>
    <w:lvl w:ilvl="0">
      <w:start w:val="1"/>
      <w:numFmt w:val="decimal"/>
      <w:lvlText w:val="%1."/>
      <w:lvlJc w:val="left"/>
      <w:pPr>
        <w:ind w:left="360" w:hanging="360"/>
      </w:pPr>
    </w:lvl>
    <w:lvl w:ilvl="1">
      <w:start w:val="1"/>
      <w:numFmt w:val="decimal"/>
      <w:lvlText w:val="7.%2 "/>
      <w:lvlJc w:val="left"/>
      <w:pPr>
        <w:ind w:left="720" w:hanging="360"/>
      </w:pPr>
      <w:rPr>
        <w:rFonts w:ascii="Arial" w:hAnsi="Arial" w:hint="default"/>
        <w:b w:val="0"/>
        <w:i w:val="0"/>
        <w:color w:val="auto"/>
        <w:sz w:val="24"/>
        <w:szCs w:val="2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FE4844"/>
    <w:multiLevelType w:val="hybridMultilevel"/>
    <w:tmpl w:val="243A1C0A"/>
    <w:lvl w:ilvl="0" w:tplc="1A629A90">
      <w:start w:val="1"/>
      <w:numFmt w:val="decimal"/>
      <w:lvlText w:val="4.%1 "/>
      <w:lvlJc w:val="left"/>
      <w:pPr>
        <w:ind w:left="720" w:hanging="360"/>
      </w:pPr>
      <w:rPr>
        <w:rFonts w:ascii="Arial" w:hAnsi="Arial" w:hint="default"/>
        <w:b w:val="0"/>
        <w:i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41B8E"/>
    <w:multiLevelType w:val="hybridMultilevel"/>
    <w:tmpl w:val="2E44542E"/>
    <w:lvl w:ilvl="0" w:tplc="08090001">
      <w:start w:val="1"/>
      <w:numFmt w:val="bullet"/>
      <w:lvlText w:val=""/>
      <w:lvlJc w:val="left"/>
      <w:pPr>
        <w:ind w:left="1778"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B0DFC"/>
    <w:multiLevelType w:val="hybridMultilevel"/>
    <w:tmpl w:val="3C34EC3E"/>
    <w:lvl w:ilvl="0" w:tplc="66182356">
      <w:start w:val="1"/>
      <w:numFmt w:val="decimal"/>
      <w:lvlText w:val="2.%1 "/>
      <w:lvlJc w:val="left"/>
      <w:pPr>
        <w:ind w:left="360" w:hanging="360"/>
      </w:pPr>
      <w:rPr>
        <w:rFonts w:ascii="Arial" w:hAnsi="Arial" w:hint="default"/>
        <w:b w:val="0"/>
        <w:i w:val="0"/>
        <w:color w:val="3C4741" w:themeColor="text1"/>
        <w:sz w:val="24"/>
        <w:szCs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E777FA"/>
    <w:multiLevelType w:val="hybridMultilevel"/>
    <w:tmpl w:val="FFF05288"/>
    <w:lvl w:ilvl="0" w:tplc="1512D5F2">
      <w:start w:val="1"/>
      <w:numFmt w:val="decimal"/>
      <w:lvlText w:val="%1. "/>
      <w:lvlJc w:val="left"/>
      <w:pPr>
        <w:ind w:left="720" w:hanging="360"/>
      </w:pPr>
      <w:rPr>
        <w:rFonts w:ascii="Arial Bold" w:hAnsi="Arial Bold" w:hint="default"/>
        <w:b/>
        <w:i w:val="0"/>
        <w:color w:val="auto"/>
        <w:sz w:val="3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13DF2"/>
    <w:multiLevelType w:val="multilevel"/>
    <w:tmpl w:val="D3CCF418"/>
    <w:lvl w:ilvl="0">
      <w:start w:val="1"/>
      <w:numFmt w:val="bullet"/>
      <w:lvlText w:val=""/>
      <w:lvlJc w:val="left"/>
      <w:pPr>
        <w:ind w:left="360" w:hanging="360"/>
      </w:pPr>
      <w:rPr>
        <w:rFonts w:ascii="Symbol" w:hAnsi="Symbol" w:hint="default"/>
        <w:b w:val="0"/>
        <w:i w:val="0"/>
        <w:color w:val="auto"/>
        <w:sz w:val="24"/>
        <w:szCs w:val="20"/>
        <w:u w:val="no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3439A6"/>
    <w:multiLevelType w:val="multilevel"/>
    <w:tmpl w:val="CDAE404A"/>
    <w:lvl w:ilvl="0">
      <w:start w:val="1"/>
      <w:numFmt w:val="decimal"/>
      <w:lvlText w:val="7.%1 "/>
      <w:lvlJc w:val="left"/>
      <w:pPr>
        <w:ind w:left="360" w:hanging="360"/>
      </w:pPr>
      <w:rPr>
        <w:rFonts w:ascii="Arial" w:hAnsi="Arial" w:hint="default"/>
        <w:b w:val="0"/>
        <w:i w:val="0"/>
        <w:color w:val="auto"/>
        <w:sz w:val="24"/>
        <w:szCs w:val="20"/>
        <w:u w:val="no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A4530"/>
    <w:multiLevelType w:val="multilevel"/>
    <w:tmpl w:val="AC0E382C"/>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D07690"/>
    <w:multiLevelType w:val="multilevel"/>
    <w:tmpl w:val="E1425838"/>
    <w:lvl w:ilvl="0">
      <w:start w:val="1"/>
      <w:numFmt w:val="decimal"/>
      <w:lvlText w:val="%1."/>
      <w:lvlJc w:val="left"/>
      <w:pPr>
        <w:ind w:left="360" w:hanging="360"/>
      </w:pPr>
    </w:lvl>
    <w:lvl w:ilvl="1">
      <w:start w:val="1"/>
      <w:numFmt w:val="decimal"/>
      <w:lvlText w:val="5.%2 "/>
      <w:lvlJc w:val="left"/>
      <w:pPr>
        <w:ind w:left="720" w:hanging="360"/>
      </w:pPr>
      <w:rPr>
        <w:rFonts w:ascii="Arial" w:hAnsi="Arial" w:hint="default"/>
        <w:b w:val="0"/>
        <w:i w:val="0"/>
        <w:sz w:val="24"/>
        <w:szCs w:val="24"/>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5B3D8C"/>
    <w:multiLevelType w:val="multilevel"/>
    <w:tmpl w:val="DE7E473E"/>
    <w:lvl w:ilvl="0">
      <w:start w:val="1"/>
      <w:numFmt w:val="decimal"/>
      <w:lvlText w:val="%1."/>
      <w:lvlJc w:val="left"/>
      <w:pPr>
        <w:ind w:left="360" w:hanging="360"/>
      </w:pPr>
    </w:lvl>
    <w:lvl w:ilvl="1">
      <w:start w:val="1"/>
      <w:numFmt w:val="decimal"/>
      <w:lvlText w:val="5.%2 "/>
      <w:lvlJc w:val="left"/>
      <w:pPr>
        <w:ind w:left="720" w:hanging="360"/>
      </w:pPr>
      <w:rPr>
        <w:rFonts w:ascii="Arial" w:hAnsi="Arial" w:hint="default"/>
        <w:b w:val="0"/>
        <w:i w:val="0"/>
        <w:sz w:val="24"/>
        <w:szCs w:val="24"/>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607A1E"/>
    <w:multiLevelType w:val="hybridMultilevel"/>
    <w:tmpl w:val="BF48B58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6" w15:restartNumberingAfterBreak="0">
    <w:nsid w:val="5E86073B"/>
    <w:multiLevelType w:val="hybridMultilevel"/>
    <w:tmpl w:val="754092B2"/>
    <w:lvl w:ilvl="0" w:tplc="41385A6C">
      <w:start w:val="1"/>
      <w:numFmt w:val="decimal"/>
      <w:lvlText w:val="1.%1 "/>
      <w:lvlJc w:val="left"/>
      <w:pPr>
        <w:ind w:left="1077" w:hanging="360"/>
      </w:pPr>
      <w:rPr>
        <w:rFonts w:ascii="Arial" w:hAnsi="Arial" w:hint="default"/>
        <w:b w:val="0"/>
        <w:i w:val="0"/>
        <w:sz w:val="24"/>
        <w:szCs w:val="24"/>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15:restartNumberingAfterBreak="0">
    <w:nsid w:val="6F4A2EB0"/>
    <w:multiLevelType w:val="multilevel"/>
    <w:tmpl w:val="C6FEB612"/>
    <w:lvl w:ilvl="0">
      <w:start w:val="1"/>
      <w:numFmt w:val="decimal"/>
      <w:lvlText w:val="6.%1 "/>
      <w:lvlJc w:val="left"/>
      <w:pPr>
        <w:ind w:left="360" w:hanging="360"/>
      </w:pPr>
      <w:rPr>
        <w:rFonts w:ascii="Arial" w:hAnsi="Arial" w:hint="default"/>
        <w:b w:val="0"/>
        <w:i w:val="0"/>
        <w:color w:val="auto"/>
        <w:sz w:val="24"/>
        <w:szCs w:val="24"/>
        <w:u w:val="no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7915854">
    <w:abstractNumId w:val="12"/>
  </w:num>
  <w:num w:numId="2" w16cid:durableId="190805060">
    <w:abstractNumId w:val="7"/>
  </w:num>
  <w:num w:numId="3" w16cid:durableId="1518278002">
    <w:abstractNumId w:val="11"/>
  </w:num>
  <w:num w:numId="4" w16cid:durableId="1081173705">
    <w:abstractNumId w:val="10"/>
  </w:num>
  <w:num w:numId="5" w16cid:durableId="1174034072">
    <w:abstractNumId w:val="15"/>
  </w:num>
  <w:num w:numId="6" w16cid:durableId="945426324">
    <w:abstractNumId w:val="16"/>
  </w:num>
  <w:num w:numId="7" w16cid:durableId="282660628">
    <w:abstractNumId w:val="1"/>
  </w:num>
  <w:num w:numId="8" w16cid:durableId="2053458780">
    <w:abstractNumId w:val="0"/>
  </w:num>
  <w:num w:numId="9" w16cid:durableId="1789160924">
    <w:abstractNumId w:val="2"/>
  </w:num>
  <w:num w:numId="10" w16cid:durableId="1920869419">
    <w:abstractNumId w:val="9"/>
  </w:num>
  <w:num w:numId="11" w16cid:durableId="1491873906">
    <w:abstractNumId w:val="8"/>
  </w:num>
  <w:num w:numId="12" w16cid:durableId="154959139">
    <w:abstractNumId w:val="4"/>
  </w:num>
  <w:num w:numId="13" w16cid:durableId="1167551476">
    <w:abstractNumId w:val="6"/>
  </w:num>
  <w:num w:numId="14" w16cid:durableId="1883519719">
    <w:abstractNumId w:val="14"/>
  </w:num>
  <w:num w:numId="15" w16cid:durableId="293681074">
    <w:abstractNumId w:val="3"/>
  </w:num>
  <w:num w:numId="16" w16cid:durableId="1161432759">
    <w:abstractNumId w:val="5"/>
  </w:num>
  <w:num w:numId="17" w16cid:durableId="1103380546">
    <w:abstractNumId w:val="17"/>
  </w:num>
  <w:num w:numId="18" w16cid:durableId="8573070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00C2"/>
    <w:rsid w:val="00001C38"/>
    <w:rsid w:val="00001C68"/>
    <w:rsid w:val="00001EBE"/>
    <w:rsid w:val="0000202F"/>
    <w:rsid w:val="0000234C"/>
    <w:rsid w:val="00010187"/>
    <w:rsid w:val="00011125"/>
    <w:rsid w:val="00012804"/>
    <w:rsid w:val="000146EF"/>
    <w:rsid w:val="00014AAC"/>
    <w:rsid w:val="0001601E"/>
    <w:rsid w:val="00017179"/>
    <w:rsid w:val="000211FA"/>
    <w:rsid w:val="0002328D"/>
    <w:rsid w:val="0002524E"/>
    <w:rsid w:val="00025E37"/>
    <w:rsid w:val="000271F6"/>
    <w:rsid w:val="00031D91"/>
    <w:rsid w:val="00032294"/>
    <w:rsid w:val="00032829"/>
    <w:rsid w:val="0003379B"/>
    <w:rsid w:val="00035CF1"/>
    <w:rsid w:val="00036D24"/>
    <w:rsid w:val="00040561"/>
    <w:rsid w:val="000409DC"/>
    <w:rsid w:val="0004319A"/>
    <w:rsid w:val="000449BF"/>
    <w:rsid w:val="00045861"/>
    <w:rsid w:val="00047DD3"/>
    <w:rsid w:val="00050388"/>
    <w:rsid w:val="000510F7"/>
    <w:rsid w:val="000518F0"/>
    <w:rsid w:val="000541A2"/>
    <w:rsid w:val="00054C36"/>
    <w:rsid w:val="00056DCE"/>
    <w:rsid w:val="000571A4"/>
    <w:rsid w:val="000576FF"/>
    <w:rsid w:val="00060A61"/>
    <w:rsid w:val="00060D7A"/>
    <w:rsid w:val="00060F87"/>
    <w:rsid w:val="000617B9"/>
    <w:rsid w:val="000621F5"/>
    <w:rsid w:val="00063E13"/>
    <w:rsid w:val="00064888"/>
    <w:rsid w:val="00066826"/>
    <w:rsid w:val="00067FD0"/>
    <w:rsid w:val="0007068C"/>
    <w:rsid w:val="00070937"/>
    <w:rsid w:val="00073E06"/>
    <w:rsid w:val="00074D5E"/>
    <w:rsid w:val="00076CB4"/>
    <w:rsid w:val="00080965"/>
    <w:rsid w:val="00081AA6"/>
    <w:rsid w:val="00083802"/>
    <w:rsid w:val="00083E80"/>
    <w:rsid w:val="00084787"/>
    <w:rsid w:val="00087C79"/>
    <w:rsid w:val="00091F73"/>
    <w:rsid w:val="000928F2"/>
    <w:rsid w:val="0009421D"/>
    <w:rsid w:val="000A1645"/>
    <w:rsid w:val="000A19A7"/>
    <w:rsid w:val="000A2D17"/>
    <w:rsid w:val="000A422E"/>
    <w:rsid w:val="000A4F02"/>
    <w:rsid w:val="000B1D30"/>
    <w:rsid w:val="000B2E42"/>
    <w:rsid w:val="000B33A5"/>
    <w:rsid w:val="000B363A"/>
    <w:rsid w:val="000B36BD"/>
    <w:rsid w:val="000B4D5C"/>
    <w:rsid w:val="000B7559"/>
    <w:rsid w:val="000B7C9B"/>
    <w:rsid w:val="000C2690"/>
    <w:rsid w:val="000C27CC"/>
    <w:rsid w:val="000C40DE"/>
    <w:rsid w:val="000C736E"/>
    <w:rsid w:val="000D0A86"/>
    <w:rsid w:val="000D2490"/>
    <w:rsid w:val="000D2F7B"/>
    <w:rsid w:val="000D3901"/>
    <w:rsid w:val="000D477C"/>
    <w:rsid w:val="000D6B11"/>
    <w:rsid w:val="000E0D15"/>
    <w:rsid w:val="000E2E35"/>
    <w:rsid w:val="000E3B54"/>
    <w:rsid w:val="000E43D8"/>
    <w:rsid w:val="000E6CE8"/>
    <w:rsid w:val="000F09CE"/>
    <w:rsid w:val="000F38A7"/>
    <w:rsid w:val="000F47DB"/>
    <w:rsid w:val="000F4E1A"/>
    <w:rsid w:val="000F609C"/>
    <w:rsid w:val="00102348"/>
    <w:rsid w:val="00102B9E"/>
    <w:rsid w:val="00103B18"/>
    <w:rsid w:val="00104CBC"/>
    <w:rsid w:val="00105F31"/>
    <w:rsid w:val="00110772"/>
    <w:rsid w:val="00111C2A"/>
    <w:rsid w:val="001130AC"/>
    <w:rsid w:val="00113311"/>
    <w:rsid w:val="00114405"/>
    <w:rsid w:val="00114EA4"/>
    <w:rsid w:val="0011522E"/>
    <w:rsid w:val="00117D26"/>
    <w:rsid w:val="00117FBF"/>
    <w:rsid w:val="0012243D"/>
    <w:rsid w:val="00123C67"/>
    <w:rsid w:val="00126384"/>
    <w:rsid w:val="00126493"/>
    <w:rsid w:val="001268D2"/>
    <w:rsid w:val="00126E64"/>
    <w:rsid w:val="00132FED"/>
    <w:rsid w:val="001355B3"/>
    <w:rsid w:val="00136FD6"/>
    <w:rsid w:val="00140CF7"/>
    <w:rsid w:val="00141856"/>
    <w:rsid w:val="001428B3"/>
    <w:rsid w:val="001430E9"/>
    <w:rsid w:val="00143C8C"/>
    <w:rsid w:val="00143DC2"/>
    <w:rsid w:val="00145980"/>
    <w:rsid w:val="00146A34"/>
    <w:rsid w:val="00146E97"/>
    <w:rsid w:val="001560B4"/>
    <w:rsid w:val="001561B7"/>
    <w:rsid w:val="00156645"/>
    <w:rsid w:val="00156FCD"/>
    <w:rsid w:val="001610BE"/>
    <w:rsid w:val="00162A77"/>
    <w:rsid w:val="0016495D"/>
    <w:rsid w:val="00164D17"/>
    <w:rsid w:val="00166DE5"/>
    <w:rsid w:val="001674F9"/>
    <w:rsid w:val="00170572"/>
    <w:rsid w:val="00172AE4"/>
    <w:rsid w:val="00173C40"/>
    <w:rsid w:val="00173DF7"/>
    <w:rsid w:val="001748A6"/>
    <w:rsid w:val="0017563E"/>
    <w:rsid w:val="00175C35"/>
    <w:rsid w:val="001774FA"/>
    <w:rsid w:val="001818BA"/>
    <w:rsid w:val="0018225B"/>
    <w:rsid w:val="00183BEC"/>
    <w:rsid w:val="001861B8"/>
    <w:rsid w:val="00186FB4"/>
    <w:rsid w:val="00191B9C"/>
    <w:rsid w:val="001945CB"/>
    <w:rsid w:val="00196A57"/>
    <w:rsid w:val="001A1592"/>
    <w:rsid w:val="001A4710"/>
    <w:rsid w:val="001A6498"/>
    <w:rsid w:val="001A68A5"/>
    <w:rsid w:val="001A7ED9"/>
    <w:rsid w:val="001B13AD"/>
    <w:rsid w:val="001B151D"/>
    <w:rsid w:val="001B29FB"/>
    <w:rsid w:val="001B507E"/>
    <w:rsid w:val="001B6955"/>
    <w:rsid w:val="001B7818"/>
    <w:rsid w:val="001C055C"/>
    <w:rsid w:val="001C0A8B"/>
    <w:rsid w:val="001C0DE9"/>
    <w:rsid w:val="001C473F"/>
    <w:rsid w:val="001C4755"/>
    <w:rsid w:val="001C4AE0"/>
    <w:rsid w:val="001C4E04"/>
    <w:rsid w:val="001C5F7F"/>
    <w:rsid w:val="001C6502"/>
    <w:rsid w:val="001C6C85"/>
    <w:rsid w:val="001D0BE1"/>
    <w:rsid w:val="001D24C0"/>
    <w:rsid w:val="001D58A8"/>
    <w:rsid w:val="001D6E2A"/>
    <w:rsid w:val="001D7121"/>
    <w:rsid w:val="001E0110"/>
    <w:rsid w:val="001E1F47"/>
    <w:rsid w:val="001E2C80"/>
    <w:rsid w:val="001E2D44"/>
    <w:rsid w:val="001E30F5"/>
    <w:rsid w:val="001E4173"/>
    <w:rsid w:val="001E5A1C"/>
    <w:rsid w:val="001E755D"/>
    <w:rsid w:val="001F0F80"/>
    <w:rsid w:val="001F1233"/>
    <w:rsid w:val="001F15DF"/>
    <w:rsid w:val="001F164A"/>
    <w:rsid w:val="001F5346"/>
    <w:rsid w:val="001F5EC0"/>
    <w:rsid w:val="001F6445"/>
    <w:rsid w:val="00210F45"/>
    <w:rsid w:val="00215245"/>
    <w:rsid w:val="00215F32"/>
    <w:rsid w:val="00216206"/>
    <w:rsid w:val="0021634A"/>
    <w:rsid w:val="00216B45"/>
    <w:rsid w:val="00217023"/>
    <w:rsid w:val="00217CA0"/>
    <w:rsid w:val="00220D2B"/>
    <w:rsid w:val="00220D94"/>
    <w:rsid w:val="0022653B"/>
    <w:rsid w:val="00226E93"/>
    <w:rsid w:val="00227B9E"/>
    <w:rsid w:val="00227C94"/>
    <w:rsid w:val="0023301C"/>
    <w:rsid w:val="002357D0"/>
    <w:rsid w:val="00236552"/>
    <w:rsid w:val="002369CA"/>
    <w:rsid w:val="00240128"/>
    <w:rsid w:val="002405EB"/>
    <w:rsid w:val="00240F31"/>
    <w:rsid w:val="00242C67"/>
    <w:rsid w:val="00244AA5"/>
    <w:rsid w:val="002463CD"/>
    <w:rsid w:val="002573C3"/>
    <w:rsid w:val="0026025F"/>
    <w:rsid w:val="002624AE"/>
    <w:rsid w:val="00266303"/>
    <w:rsid w:val="00266A9D"/>
    <w:rsid w:val="00266CD2"/>
    <w:rsid w:val="00267E73"/>
    <w:rsid w:val="0027212B"/>
    <w:rsid w:val="00274F39"/>
    <w:rsid w:val="00275BD8"/>
    <w:rsid w:val="00277F38"/>
    <w:rsid w:val="00281612"/>
    <w:rsid w:val="00281BB1"/>
    <w:rsid w:val="00282BC2"/>
    <w:rsid w:val="002830DD"/>
    <w:rsid w:val="00283469"/>
    <w:rsid w:val="002838FA"/>
    <w:rsid w:val="002846ED"/>
    <w:rsid w:val="00291622"/>
    <w:rsid w:val="00295B24"/>
    <w:rsid w:val="002977F7"/>
    <w:rsid w:val="002A089D"/>
    <w:rsid w:val="002A13FA"/>
    <w:rsid w:val="002A1971"/>
    <w:rsid w:val="002A2620"/>
    <w:rsid w:val="002A2649"/>
    <w:rsid w:val="002A2AF9"/>
    <w:rsid w:val="002A3853"/>
    <w:rsid w:val="002A3B21"/>
    <w:rsid w:val="002A4F2D"/>
    <w:rsid w:val="002B00D8"/>
    <w:rsid w:val="002B0F70"/>
    <w:rsid w:val="002B147A"/>
    <w:rsid w:val="002B27F3"/>
    <w:rsid w:val="002B2AFF"/>
    <w:rsid w:val="002B2DA8"/>
    <w:rsid w:val="002B6EAA"/>
    <w:rsid w:val="002B7CBC"/>
    <w:rsid w:val="002C0E44"/>
    <w:rsid w:val="002C37BB"/>
    <w:rsid w:val="002C59C1"/>
    <w:rsid w:val="002C7710"/>
    <w:rsid w:val="002C791B"/>
    <w:rsid w:val="002C7A28"/>
    <w:rsid w:val="002D0702"/>
    <w:rsid w:val="002D1EB3"/>
    <w:rsid w:val="002D2A6A"/>
    <w:rsid w:val="002D2D1B"/>
    <w:rsid w:val="002D2F6E"/>
    <w:rsid w:val="002D4664"/>
    <w:rsid w:val="002D5503"/>
    <w:rsid w:val="002D5A78"/>
    <w:rsid w:val="002D5BC3"/>
    <w:rsid w:val="002D5F06"/>
    <w:rsid w:val="002D7B91"/>
    <w:rsid w:val="002D7D07"/>
    <w:rsid w:val="002E136C"/>
    <w:rsid w:val="002E24A5"/>
    <w:rsid w:val="002E2B17"/>
    <w:rsid w:val="002E4C06"/>
    <w:rsid w:val="002E5221"/>
    <w:rsid w:val="002E711B"/>
    <w:rsid w:val="002F0119"/>
    <w:rsid w:val="002F09A9"/>
    <w:rsid w:val="002F3CAF"/>
    <w:rsid w:val="002F4A43"/>
    <w:rsid w:val="00300318"/>
    <w:rsid w:val="00300739"/>
    <w:rsid w:val="0030096D"/>
    <w:rsid w:val="00301F3D"/>
    <w:rsid w:val="00302825"/>
    <w:rsid w:val="00303485"/>
    <w:rsid w:val="00303F43"/>
    <w:rsid w:val="0030479F"/>
    <w:rsid w:val="00304DFC"/>
    <w:rsid w:val="00305E90"/>
    <w:rsid w:val="003060C6"/>
    <w:rsid w:val="0031420B"/>
    <w:rsid w:val="003143E6"/>
    <w:rsid w:val="00314BED"/>
    <w:rsid w:val="00315599"/>
    <w:rsid w:val="00317618"/>
    <w:rsid w:val="00317CA2"/>
    <w:rsid w:val="00320BAC"/>
    <w:rsid w:val="00322BE5"/>
    <w:rsid w:val="003231A1"/>
    <w:rsid w:val="0032537D"/>
    <w:rsid w:val="00326085"/>
    <w:rsid w:val="003304C3"/>
    <w:rsid w:val="00330C6C"/>
    <w:rsid w:val="00331196"/>
    <w:rsid w:val="00331DD1"/>
    <w:rsid w:val="0033354C"/>
    <w:rsid w:val="00333800"/>
    <w:rsid w:val="003339A3"/>
    <w:rsid w:val="00335C1B"/>
    <w:rsid w:val="00336FCE"/>
    <w:rsid w:val="00336FE2"/>
    <w:rsid w:val="00340BCB"/>
    <w:rsid w:val="00341E41"/>
    <w:rsid w:val="003420DC"/>
    <w:rsid w:val="003436D2"/>
    <w:rsid w:val="003446E6"/>
    <w:rsid w:val="003456F4"/>
    <w:rsid w:val="00346555"/>
    <w:rsid w:val="0035219F"/>
    <w:rsid w:val="003522DB"/>
    <w:rsid w:val="003529CF"/>
    <w:rsid w:val="00352EFC"/>
    <w:rsid w:val="0035392A"/>
    <w:rsid w:val="00353CB8"/>
    <w:rsid w:val="0035508B"/>
    <w:rsid w:val="00355F15"/>
    <w:rsid w:val="00356F80"/>
    <w:rsid w:val="00356FDA"/>
    <w:rsid w:val="003606E0"/>
    <w:rsid w:val="0036280E"/>
    <w:rsid w:val="00363F05"/>
    <w:rsid w:val="003661A7"/>
    <w:rsid w:val="00366275"/>
    <w:rsid w:val="00366FC4"/>
    <w:rsid w:val="003674F0"/>
    <w:rsid w:val="00370041"/>
    <w:rsid w:val="00370EA1"/>
    <w:rsid w:val="00371370"/>
    <w:rsid w:val="003729F1"/>
    <w:rsid w:val="00372D50"/>
    <w:rsid w:val="0037374C"/>
    <w:rsid w:val="00376C0C"/>
    <w:rsid w:val="003811F6"/>
    <w:rsid w:val="00381444"/>
    <w:rsid w:val="00381630"/>
    <w:rsid w:val="00385817"/>
    <w:rsid w:val="00385D88"/>
    <w:rsid w:val="003868A0"/>
    <w:rsid w:val="00392329"/>
    <w:rsid w:val="003923E9"/>
    <w:rsid w:val="0039297A"/>
    <w:rsid w:val="00393D56"/>
    <w:rsid w:val="00394103"/>
    <w:rsid w:val="003943BC"/>
    <w:rsid w:val="00394FFA"/>
    <w:rsid w:val="00395770"/>
    <w:rsid w:val="00397338"/>
    <w:rsid w:val="003A1121"/>
    <w:rsid w:val="003A2A27"/>
    <w:rsid w:val="003A3411"/>
    <w:rsid w:val="003A45BF"/>
    <w:rsid w:val="003A48D3"/>
    <w:rsid w:val="003A4EBD"/>
    <w:rsid w:val="003A6CB5"/>
    <w:rsid w:val="003A6EBB"/>
    <w:rsid w:val="003A788D"/>
    <w:rsid w:val="003B2722"/>
    <w:rsid w:val="003B3596"/>
    <w:rsid w:val="003B3DE5"/>
    <w:rsid w:val="003B43A4"/>
    <w:rsid w:val="003B48FB"/>
    <w:rsid w:val="003B52C2"/>
    <w:rsid w:val="003B5BC9"/>
    <w:rsid w:val="003C190D"/>
    <w:rsid w:val="003C1BBD"/>
    <w:rsid w:val="003C328B"/>
    <w:rsid w:val="003D11D8"/>
    <w:rsid w:val="003D2DFF"/>
    <w:rsid w:val="003D4042"/>
    <w:rsid w:val="003D4485"/>
    <w:rsid w:val="003D4EF9"/>
    <w:rsid w:val="003D5982"/>
    <w:rsid w:val="003D6CFD"/>
    <w:rsid w:val="003D78E1"/>
    <w:rsid w:val="003E109A"/>
    <w:rsid w:val="003E2251"/>
    <w:rsid w:val="003E518D"/>
    <w:rsid w:val="003E64C1"/>
    <w:rsid w:val="003E64E3"/>
    <w:rsid w:val="003E77C7"/>
    <w:rsid w:val="003F14F4"/>
    <w:rsid w:val="003F1ACE"/>
    <w:rsid w:val="003F309D"/>
    <w:rsid w:val="003F361C"/>
    <w:rsid w:val="003F4DBF"/>
    <w:rsid w:val="003F4FA7"/>
    <w:rsid w:val="003F5384"/>
    <w:rsid w:val="003F5AAA"/>
    <w:rsid w:val="003F5D9C"/>
    <w:rsid w:val="003F7AC9"/>
    <w:rsid w:val="003F7F20"/>
    <w:rsid w:val="00401ED9"/>
    <w:rsid w:val="0040278B"/>
    <w:rsid w:val="004057BA"/>
    <w:rsid w:val="004073BC"/>
    <w:rsid w:val="00410D5F"/>
    <w:rsid w:val="00411B57"/>
    <w:rsid w:val="00412609"/>
    <w:rsid w:val="00414481"/>
    <w:rsid w:val="0041478E"/>
    <w:rsid w:val="00415351"/>
    <w:rsid w:val="004159A1"/>
    <w:rsid w:val="00415D11"/>
    <w:rsid w:val="00417165"/>
    <w:rsid w:val="00421664"/>
    <w:rsid w:val="004228B0"/>
    <w:rsid w:val="004230FE"/>
    <w:rsid w:val="00423645"/>
    <w:rsid w:val="00425A01"/>
    <w:rsid w:val="00425E5D"/>
    <w:rsid w:val="00426AAC"/>
    <w:rsid w:val="00431CBB"/>
    <w:rsid w:val="00433B4A"/>
    <w:rsid w:val="00434D74"/>
    <w:rsid w:val="00434EED"/>
    <w:rsid w:val="0043658F"/>
    <w:rsid w:val="00437C2A"/>
    <w:rsid w:val="00440EE6"/>
    <w:rsid w:val="00443917"/>
    <w:rsid w:val="00444202"/>
    <w:rsid w:val="00444AA1"/>
    <w:rsid w:val="00445BD6"/>
    <w:rsid w:val="00447DA9"/>
    <w:rsid w:val="00447ECC"/>
    <w:rsid w:val="00447FC7"/>
    <w:rsid w:val="00450B36"/>
    <w:rsid w:val="00450EF6"/>
    <w:rsid w:val="00452605"/>
    <w:rsid w:val="00454685"/>
    <w:rsid w:val="004547E7"/>
    <w:rsid w:val="004564D4"/>
    <w:rsid w:val="0045663E"/>
    <w:rsid w:val="00457732"/>
    <w:rsid w:val="00457A57"/>
    <w:rsid w:val="00465271"/>
    <w:rsid w:val="00465FA6"/>
    <w:rsid w:val="00466323"/>
    <w:rsid w:val="00466921"/>
    <w:rsid w:val="00466D27"/>
    <w:rsid w:val="00466D9A"/>
    <w:rsid w:val="00467079"/>
    <w:rsid w:val="0046716C"/>
    <w:rsid w:val="00470982"/>
    <w:rsid w:val="00476F79"/>
    <w:rsid w:val="004810A8"/>
    <w:rsid w:val="00481F92"/>
    <w:rsid w:val="00482171"/>
    <w:rsid w:val="004822EE"/>
    <w:rsid w:val="00486654"/>
    <w:rsid w:val="00486D4B"/>
    <w:rsid w:val="00486DEA"/>
    <w:rsid w:val="00490633"/>
    <w:rsid w:val="0049099B"/>
    <w:rsid w:val="00490E02"/>
    <w:rsid w:val="00493368"/>
    <w:rsid w:val="00493444"/>
    <w:rsid w:val="0049527B"/>
    <w:rsid w:val="0049543E"/>
    <w:rsid w:val="004A28A2"/>
    <w:rsid w:val="004A2DED"/>
    <w:rsid w:val="004A31D0"/>
    <w:rsid w:val="004A33E3"/>
    <w:rsid w:val="004A4E88"/>
    <w:rsid w:val="004A5813"/>
    <w:rsid w:val="004B1656"/>
    <w:rsid w:val="004B6785"/>
    <w:rsid w:val="004B68DB"/>
    <w:rsid w:val="004C1117"/>
    <w:rsid w:val="004C1AD5"/>
    <w:rsid w:val="004C4F97"/>
    <w:rsid w:val="004C541F"/>
    <w:rsid w:val="004C67D2"/>
    <w:rsid w:val="004C73AD"/>
    <w:rsid w:val="004D01BE"/>
    <w:rsid w:val="004D105E"/>
    <w:rsid w:val="004D2D80"/>
    <w:rsid w:val="004D30C5"/>
    <w:rsid w:val="004D46DA"/>
    <w:rsid w:val="004D524C"/>
    <w:rsid w:val="004D65CA"/>
    <w:rsid w:val="004D6DB1"/>
    <w:rsid w:val="004D7BC3"/>
    <w:rsid w:val="004E0229"/>
    <w:rsid w:val="004E21FC"/>
    <w:rsid w:val="004E3881"/>
    <w:rsid w:val="004E3D85"/>
    <w:rsid w:val="004E4AB5"/>
    <w:rsid w:val="004E51B4"/>
    <w:rsid w:val="004E57AE"/>
    <w:rsid w:val="004E5D5A"/>
    <w:rsid w:val="004F02FF"/>
    <w:rsid w:val="004F042E"/>
    <w:rsid w:val="004F0FDE"/>
    <w:rsid w:val="004F6CA0"/>
    <w:rsid w:val="004F727A"/>
    <w:rsid w:val="00500D92"/>
    <w:rsid w:val="00502DFA"/>
    <w:rsid w:val="00503104"/>
    <w:rsid w:val="00505DCB"/>
    <w:rsid w:val="00505F63"/>
    <w:rsid w:val="005062BA"/>
    <w:rsid w:val="005077F1"/>
    <w:rsid w:val="00507FAE"/>
    <w:rsid w:val="00515444"/>
    <w:rsid w:val="00515968"/>
    <w:rsid w:val="00515DD5"/>
    <w:rsid w:val="00517BC9"/>
    <w:rsid w:val="00520E41"/>
    <w:rsid w:val="0052464C"/>
    <w:rsid w:val="00524D0C"/>
    <w:rsid w:val="005269F4"/>
    <w:rsid w:val="00527652"/>
    <w:rsid w:val="005278CD"/>
    <w:rsid w:val="00530D30"/>
    <w:rsid w:val="00532664"/>
    <w:rsid w:val="00533FA7"/>
    <w:rsid w:val="005350F7"/>
    <w:rsid w:val="00535131"/>
    <w:rsid w:val="00535334"/>
    <w:rsid w:val="0053561A"/>
    <w:rsid w:val="00535A1E"/>
    <w:rsid w:val="005446FE"/>
    <w:rsid w:val="005447C3"/>
    <w:rsid w:val="00546352"/>
    <w:rsid w:val="00546937"/>
    <w:rsid w:val="00556BFE"/>
    <w:rsid w:val="005640BE"/>
    <w:rsid w:val="00565AE1"/>
    <w:rsid w:val="00565E92"/>
    <w:rsid w:val="00567475"/>
    <w:rsid w:val="005759EF"/>
    <w:rsid w:val="0057622B"/>
    <w:rsid w:val="00581D77"/>
    <w:rsid w:val="00583247"/>
    <w:rsid w:val="00585128"/>
    <w:rsid w:val="00585E31"/>
    <w:rsid w:val="00586804"/>
    <w:rsid w:val="005871FD"/>
    <w:rsid w:val="005900AA"/>
    <w:rsid w:val="0059120A"/>
    <w:rsid w:val="00593ED0"/>
    <w:rsid w:val="005943BC"/>
    <w:rsid w:val="00595E65"/>
    <w:rsid w:val="00596806"/>
    <w:rsid w:val="005A0CE5"/>
    <w:rsid w:val="005A1710"/>
    <w:rsid w:val="005A355E"/>
    <w:rsid w:val="005A5F04"/>
    <w:rsid w:val="005A6885"/>
    <w:rsid w:val="005A7736"/>
    <w:rsid w:val="005B1870"/>
    <w:rsid w:val="005B2F46"/>
    <w:rsid w:val="005B4A41"/>
    <w:rsid w:val="005B52BB"/>
    <w:rsid w:val="005B67F7"/>
    <w:rsid w:val="005B6D94"/>
    <w:rsid w:val="005B781E"/>
    <w:rsid w:val="005C10EE"/>
    <w:rsid w:val="005C32A9"/>
    <w:rsid w:val="005C3595"/>
    <w:rsid w:val="005C5A91"/>
    <w:rsid w:val="005C63A6"/>
    <w:rsid w:val="005C6CD2"/>
    <w:rsid w:val="005D0463"/>
    <w:rsid w:val="005D1213"/>
    <w:rsid w:val="005D3ABD"/>
    <w:rsid w:val="005D6257"/>
    <w:rsid w:val="005D66B8"/>
    <w:rsid w:val="005D7437"/>
    <w:rsid w:val="005E131A"/>
    <w:rsid w:val="005E358F"/>
    <w:rsid w:val="005F0657"/>
    <w:rsid w:val="005F0F7F"/>
    <w:rsid w:val="005F1C12"/>
    <w:rsid w:val="005F354C"/>
    <w:rsid w:val="005F4AB2"/>
    <w:rsid w:val="005F4CB9"/>
    <w:rsid w:val="005F4DEC"/>
    <w:rsid w:val="005F5BC3"/>
    <w:rsid w:val="005F60C6"/>
    <w:rsid w:val="005F7803"/>
    <w:rsid w:val="005F7BE4"/>
    <w:rsid w:val="0060048E"/>
    <w:rsid w:val="0060151D"/>
    <w:rsid w:val="00601ADE"/>
    <w:rsid w:val="006033C2"/>
    <w:rsid w:val="006033E7"/>
    <w:rsid w:val="00603CDD"/>
    <w:rsid w:val="0060487E"/>
    <w:rsid w:val="006072B7"/>
    <w:rsid w:val="00607B68"/>
    <w:rsid w:val="00610A58"/>
    <w:rsid w:val="00611667"/>
    <w:rsid w:val="006123BE"/>
    <w:rsid w:val="00614621"/>
    <w:rsid w:val="00615A93"/>
    <w:rsid w:val="00615FCA"/>
    <w:rsid w:val="00620FCB"/>
    <w:rsid w:val="00622135"/>
    <w:rsid w:val="0062283E"/>
    <w:rsid w:val="00623DDE"/>
    <w:rsid w:val="006243FF"/>
    <w:rsid w:val="00624F48"/>
    <w:rsid w:val="00625640"/>
    <w:rsid w:val="006256AB"/>
    <w:rsid w:val="00625798"/>
    <w:rsid w:val="006270A8"/>
    <w:rsid w:val="00631B3F"/>
    <w:rsid w:val="006334AA"/>
    <w:rsid w:val="00634B20"/>
    <w:rsid w:val="0063599E"/>
    <w:rsid w:val="00637A83"/>
    <w:rsid w:val="00642A86"/>
    <w:rsid w:val="006458F3"/>
    <w:rsid w:val="00646086"/>
    <w:rsid w:val="00650880"/>
    <w:rsid w:val="006511BB"/>
    <w:rsid w:val="00652AAF"/>
    <w:rsid w:val="00653457"/>
    <w:rsid w:val="00654130"/>
    <w:rsid w:val="00654AB8"/>
    <w:rsid w:val="00660A3C"/>
    <w:rsid w:val="00660C79"/>
    <w:rsid w:val="006640A3"/>
    <w:rsid w:val="0066488F"/>
    <w:rsid w:val="00665BCF"/>
    <w:rsid w:val="00674469"/>
    <w:rsid w:val="00674BA2"/>
    <w:rsid w:val="00676624"/>
    <w:rsid w:val="0067697A"/>
    <w:rsid w:val="0067771D"/>
    <w:rsid w:val="006811C5"/>
    <w:rsid w:val="00682425"/>
    <w:rsid w:val="0068279D"/>
    <w:rsid w:val="00687957"/>
    <w:rsid w:val="00692743"/>
    <w:rsid w:val="00694A22"/>
    <w:rsid w:val="0069561A"/>
    <w:rsid w:val="00696572"/>
    <w:rsid w:val="00696921"/>
    <w:rsid w:val="00696C96"/>
    <w:rsid w:val="00696E39"/>
    <w:rsid w:val="006A143F"/>
    <w:rsid w:val="006A524D"/>
    <w:rsid w:val="006A57D6"/>
    <w:rsid w:val="006A71B4"/>
    <w:rsid w:val="006A7854"/>
    <w:rsid w:val="006B0E94"/>
    <w:rsid w:val="006B29E3"/>
    <w:rsid w:val="006B36FD"/>
    <w:rsid w:val="006B4414"/>
    <w:rsid w:val="006B4423"/>
    <w:rsid w:val="006B4657"/>
    <w:rsid w:val="006B4AE1"/>
    <w:rsid w:val="006B5152"/>
    <w:rsid w:val="006B5890"/>
    <w:rsid w:val="006B5892"/>
    <w:rsid w:val="006B7592"/>
    <w:rsid w:val="006B771F"/>
    <w:rsid w:val="006C1DDF"/>
    <w:rsid w:val="006C200D"/>
    <w:rsid w:val="006C2596"/>
    <w:rsid w:val="006C2D18"/>
    <w:rsid w:val="006C340A"/>
    <w:rsid w:val="006C5765"/>
    <w:rsid w:val="006C591E"/>
    <w:rsid w:val="006C5981"/>
    <w:rsid w:val="006C6ACB"/>
    <w:rsid w:val="006C6F7A"/>
    <w:rsid w:val="006C7F1F"/>
    <w:rsid w:val="006D077D"/>
    <w:rsid w:val="006D0F97"/>
    <w:rsid w:val="006D16CE"/>
    <w:rsid w:val="006D33C4"/>
    <w:rsid w:val="006D6BFF"/>
    <w:rsid w:val="006D71A0"/>
    <w:rsid w:val="006E3B4E"/>
    <w:rsid w:val="006E6475"/>
    <w:rsid w:val="006E6DFA"/>
    <w:rsid w:val="006E7286"/>
    <w:rsid w:val="006E7470"/>
    <w:rsid w:val="006E7CF2"/>
    <w:rsid w:val="006F041A"/>
    <w:rsid w:val="006F0FBD"/>
    <w:rsid w:val="006F4C72"/>
    <w:rsid w:val="006F72E4"/>
    <w:rsid w:val="007008E8"/>
    <w:rsid w:val="00703B2E"/>
    <w:rsid w:val="00707004"/>
    <w:rsid w:val="0070729A"/>
    <w:rsid w:val="0070789C"/>
    <w:rsid w:val="00707C31"/>
    <w:rsid w:val="0071021B"/>
    <w:rsid w:val="0071039D"/>
    <w:rsid w:val="007115AE"/>
    <w:rsid w:val="007142B5"/>
    <w:rsid w:val="00714AB8"/>
    <w:rsid w:val="00714CF2"/>
    <w:rsid w:val="00714D14"/>
    <w:rsid w:val="00714F3B"/>
    <w:rsid w:val="007161A2"/>
    <w:rsid w:val="00717E44"/>
    <w:rsid w:val="00722297"/>
    <w:rsid w:val="00724844"/>
    <w:rsid w:val="00725FD3"/>
    <w:rsid w:val="00726768"/>
    <w:rsid w:val="00727342"/>
    <w:rsid w:val="00727DB3"/>
    <w:rsid w:val="007322E8"/>
    <w:rsid w:val="007331AA"/>
    <w:rsid w:val="00734518"/>
    <w:rsid w:val="00736CCA"/>
    <w:rsid w:val="00736DD8"/>
    <w:rsid w:val="00737496"/>
    <w:rsid w:val="00740625"/>
    <w:rsid w:val="00744996"/>
    <w:rsid w:val="00750438"/>
    <w:rsid w:val="007522FE"/>
    <w:rsid w:val="0075234E"/>
    <w:rsid w:val="00752B88"/>
    <w:rsid w:val="00752EDF"/>
    <w:rsid w:val="007533F4"/>
    <w:rsid w:val="00755565"/>
    <w:rsid w:val="00755868"/>
    <w:rsid w:val="00756918"/>
    <w:rsid w:val="00756A8F"/>
    <w:rsid w:val="007570C0"/>
    <w:rsid w:val="00760F9A"/>
    <w:rsid w:val="007623F9"/>
    <w:rsid w:val="00766162"/>
    <w:rsid w:val="00767E7D"/>
    <w:rsid w:val="00771A5C"/>
    <w:rsid w:val="007721C4"/>
    <w:rsid w:val="007740F4"/>
    <w:rsid w:val="00774B43"/>
    <w:rsid w:val="00775299"/>
    <w:rsid w:val="00775766"/>
    <w:rsid w:val="00776148"/>
    <w:rsid w:val="00776A7D"/>
    <w:rsid w:val="0078096C"/>
    <w:rsid w:val="00780F0E"/>
    <w:rsid w:val="007814CA"/>
    <w:rsid w:val="007814EC"/>
    <w:rsid w:val="007816B5"/>
    <w:rsid w:val="00785385"/>
    <w:rsid w:val="00786EE8"/>
    <w:rsid w:val="00787405"/>
    <w:rsid w:val="00791183"/>
    <w:rsid w:val="007944A3"/>
    <w:rsid w:val="0079556B"/>
    <w:rsid w:val="007966F4"/>
    <w:rsid w:val="0079678F"/>
    <w:rsid w:val="0079710B"/>
    <w:rsid w:val="0079724A"/>
    <w:rsid w:val="007A0F34"/>
    <w:rsid w:val="007A17B4"/>
    <w:rsid w:val="007A2D14"/>
    <w:rsid w:val="007A2F1A"/>
    <w:rsid w:val="007A33CE"/>
    <w:rsid w:val="007A5A9D"/>
    <w:rsid w:val="007A5E9A"/>
    <w:rsid w:val="007A613C"/>
    <w:rsid w:val="007A61A4"/>
    <w:rsid w:val="007A63F1"/>
    <w:rsid w:val="007B0211"/>
    <w:rsid w:val="007B0F5D"/>
    <w:rsid w:val="007B14B2"/>
    <w:rsid w:val="007B779C"/>
    <w:rsid w:val="007B7A99"/>
    <w:rsid w:val="007C0BB5"/>
    <w:rsid w:val="007C2D66"/>
    <w:rsid w:val="007C3145"/>
    <w:rsid w:val="007C3F12"/>
    <w:rsid w:val="007C3F40"/>
    <w:rsid w:val="007C45D5"/>
    <w:rsid w:val="007C5434"/>
    <w:rsid w:val="007C73DB"/>
    <w:rsid w:val="007D3126"/>
    <w:rsid w:val="007D441B"/>
    <w:rsid w:val="007D4AD2"/>
    <w:rsid w:val="007D4D17"/>
    <w:rsid w:val="007D55F8"/>
    <w:rsid w:val="007E3012"/>
    <w:rsid w:val="007E7F64"/>
    <w:rsid w:val="007F2C92"/>
    <w:rsid w:val="007F2C93"/>
    <w:rsid w:val="007F2D5C"/>
    <w:rsid w:val="007F3C3F"/>
    <w:rsid w:val="007F3FD1"/>
    <w:rsid w:val="007F4C8C"/>
    <w:rsid w:val="00801105"/>
    <w:rsid w:val="0080188B"/>
    <w:rsid w:val="00805EB2"/>
    <w:rsid w:val="00806045"/>
    <w:rsid w:val="00806D54"/>
    <w:rsid w:val="00807CC9"/>
    <w:rsid w:val="00810B13"/>
    <w:rsid w:val="00811E4F"/>
    <w:rsid w:val="00812557"/>
    <w:rsid w:val="00813FCC"/>
    <w:rsid w:val="00814525"/>
    <w:rsid w:val="0081566E"/>
    <w:rsid w:val="00816907"/>
    <w:rsid w:val="00820899"/>
    <w:rsid w:val="00821186"/>
    <w:rsid w:val="008215AD"/>
    <w:rsid w:val="008229AD"/>
    <w:rsid w:val="00823FCF"/>
    <w:rsid w:val="00825DAE"/>
    <w:rsid w:val="00827F88"/>
    <w:rsid w:val="00834621"/>
    <w:rsid w:val="00835E60"/>
    <w:rsid w:val="008418B0"/>
    <w:rsid w:val="00841CF1"/>
    <w:rsid w:val="00842FE6"/>
    <w:rsid w:val="008440BB"/>
    <w:rsid w:val="0084413A"/>
    <w:rsid w:val="00845A85"/>
    <w:rsid w:val="0084662E"/>
    <w:rsid w:val="008477FE"/>
    <w:rsid w:val="00851B87"/>
    <w:rsid w:val="00851BC2"/>
    <w:rsid w:val="00855206"/>
    <w:rsid w:val="00861B46"/>
    <w:rsid w:val="00863BC7"/>
    <w:rsid w:val="00864109"/>
    <w:rsid w:val="008644E0"/>
    <w:rsid w:val="00865BC0"/>
    <w:rsid w:val="0086749A"/>
    <w:rsid w:val="00867A16"/>
    <w:rsid w:val="0087031D"/>
    <w:rsid w:val="00872792"/>
    <w:rsid w:val="00873501"/>
    <w:rsid w:val="00873F87"/>
    <w:rsid w:val="00874140"/>
    <w:rsid w:val="00874C36"/>
    <w:rsid w:val="00875FEB"/>
    <w:rsid w:val="00876EC0"/>
    <w:rsid w:val="00880730"/>
    <w:rsid w:val="008828D0"/>
    <w:rsid w:val="00884637"/>
    <w:rsid w:val="00884BF2"/>
    <w:rsid w:val="00887710"/>
    <w:rsid w:val="008923F3"/>
    <w:rsid w:val="008940F1"/>
    <w:rsid w:val="00895CF7"/>
    <w:rsid w:val="008A1B80"/>
    <w:rsid w:val="008A3E79"/>
    <w:rsid w:val="008A5264"/>
    <w:rsid w:val="008A53DF"/>
    <w:rsid w:val="008A5426"/>
    <w:rsid w:val="008A6391"/>
    <w:rsid w:val="008A7005"/>
    <w:rsid w:val="008B02A3"/>
    <w:rsid w:val="008B1F16"/>
    <w:rsid w:val="008B2FC2"/>
    <w:rsid w:val="008B44A1"/>
    <w:rsid w:val="008B6729"/>
    <w:rsid w:val="008C1A73"/>
    <w:rsid w:val="008C2233"/>
    <w:rsid w:val="008C23C7"/>
    <w:rsid w:val="008C4AEF"/>
    <w:rsid w:val="008C5544"/>
    <w:rsid w:val="008C5FC1"/>
    <w:rsid w:val="008C6666"/>
    <w:rsid w:val="008D0622"/>
    <w:rsid w:val="008D0775"/>
    <w:rsid w:val="008D10D0"/>
    <w:rsid w:val="008D113C"/>
    <w:rsid w:val="008D132E"/>
    <w:rsid w:val="008D1A8F"/>
    <w:rsid w:val="008D376F"/>
    <w:rsid w:val="008D38F5"/>
    <w:rsid w:val="008D5022"/>
    <w:rsid w:val="008D5351"/>
    <w:rsid w:val="008D5426"/>
    <w:rsid w:val="008D69AA"/>
    <w:rsid w:val="008D7613"/>
    <w:rsid w:val="008E03D3"/>
    <w:rsid w:val="008E04EB"/>
    <w:rsid w:val="008E0810"/>
    <w:rsid w:val="008E2322"/>
    <w:rsid w:val="008E2A19"/>
    <w:rsid w:val="008E2B3D"/>
    <w:rsid w:val="008E38DB"/>
    <w:rsid w:val="008E461D"/>
    <w:rsid w:val="008E7D0E"/>
    <w:rsid w:val="008F1790"/>
    <w:rsid w:val="008F2D92"/>
    <w:rsid w:val="008F30BD"/>
    <w:rsid w:val="008F44F1"/>
    <w:rsid w:val="008F4894"/>
    <w:rsid w:val="008F5034"/>
    <w:rsid w:val="008F7666"/>
    <w:rsid w:val="0090169E"/>
    <w:rsid w:val="009031B6"/>
    <w:rsid w:val="009038A7"/>
    <w:rsid w:val="009038BC"/>
    <w:rsid w:val="009045D3"/>
    <w:rsid w:val="00904A04"/>
    <w:rsid w:val="00905CAB"/>
    <w:rsid w:val="00912C7C"/>
    <w:rsid w:val="0091478F"/>
    <w:rsid w:val="00914955"/>
    <w:rsid w:val="00915801"/>
    <w:rsid w:val="009175A8"/>
    <w:rsid w:val="009179BE"/>
    <w:rsid w:val="00917BB1"/>
    <w:rsid w:val="00917DCE"/>
    <w:rsid w:val="00920AFA"/>
    <w:rsid w:val="009215DE"/>
    <w:rsid w:val="00922D0C"/>
    <w:rsid w:val="009274A1"/>
    <w:rsid w:val="0093456D"/>
    <w:rsid w:val="0093462B"/>
    <w:rsid w:val="00934AD5"/>
    <w:rsid w:val="00934B59"/>
    <w:rsid w:val="0093578D"/>
    <w:rsid w:val="00936057"/>
    <w:rsid w:val="00936258"/>
    <w:rsid w:val="00937F58"/>
    <w:rsid w:val="00940DA4"/>
    <w:rsid w:val="00945F39"/>
    <w:rsid w:val="00946A43"/>
    <w:rsid w:val="00947516"/>
    <w:rsid w:val="00947C54"/>
    <w:rsid w:val="009501E5"/>
    <w:rsid w:val="00954194"/>
    <w:rsid w:val="00957E2A"/>
    <w:rsid w:val="00957F08"/>
    <w:rsid w:val="0096038B"/>
    <w:rsid w:val="00960994"/>
    <w:rsid w:val="009620B9"/>
    <w:rsid w:val="00962394"/>
    <w:rsid w:val="00962943"/>
    <w:rsid w:val="00962E9F"/>
    <w:rsid w:val="00964CE3"/>
    <w:rsid w:val="00966104"/>
    <w:rsid w:val="0096745E"/>
    <w:rsid w:val="009704DC"/>
    <w:rsid w:val="009723BF"/>
    <w:rsid w:val="0097313C"/>
    <w:rsid w:val="009735BA"/>
    <w:rsid w:val="00973746"/>
    <w:rsid w:val="00973772"/>
    <w:rsid w:val="00974B8F"/>
    <w:rsid w:val="00974EDD"/>
    <w:rsid w:val="00975D21"/>
    <w:rsid w:val="00976374"/>
    <w:rsid w:val="009766D4"/>
    <w:rsid w:val="00977697"/>
    <w:rsid w:val="00980531"/>
    <w:rsid w:val="0098067D"/>
    <w:rsid w:val="009841F6"/>
    <w:rsid w:val="00987E2E"/>
    <w:rsid w:val="009902DA"/>
    <w:rsid w:val="009964FC"/>
    <w:rsid w:val="00996AE7"/>
    <w:rsid w:val="009A0846"/>
    <w:rsid w:val="009A240D"/>
    <w:rsid w:val="009A2B3D"/>
    <w:rsid w:val="009A3E90"/>
    <w:rsid w:val="009A6E23"/>
    <w:rsid w:val="009B21C4"/>
    <w:rsid w:val="009B4025"/>
    <w:rsid w:val="009B4069"/>
    <w:rsid w:val="009B4E90"/>
    <w:rsid w:val="009B5AD7"/>
    <w:rsid w:val="009C0504"/>
    <w:rsid w:val="009C53BC"/>
    <w:rsid w:val="009C5CA1"/>
    <w:rsid w:val="009E32E4"/>
    <w:rsid w:val="009E4E82"/>
    <w:rsid w:val="009E56A7"/>
    <w:rsid w:val="009E5AAF"/>
    <w:rsid w:val="009E6A7A"/>
    <w:rsid w:val="009E7257"/>
    <w:rsid w:val="009F01E2"/>
    <w:rsid w:val="009F1898"/>
    <w:rsid w:val="009F1E17"/>
    <w:rsid w:val="009F2831"/>
    <w:rsid w:val="009F3E12"/>
    <w:rsid w:val="009F42DB"/>
    <w:rsid w:val="009F6EA2"/>
    <w:rsid w:val="00A0168C"/>
    <w:rsid w:val="00A03977"/>
    <w:rsid w:val="00A04D9B"/>
    <w:rsid w:val="00A0757A"/>
    <w:rsid w:val="00A1025B"/>
    <w:rsid w:val="00A1039C"/>
    <w:rsid w:val="00A10775"/>
    <w:rsid w:val="00A12E34"/>
    <w:rsid w:val="00A13B5E"/>
    <w:rsid w:val="00A13D31"/>
    <w:rsid w:val="00A14897"/>
    <w:rsid w:val="00A156C4"/>
    <w:rsid w:val="00A17486"/>
    <w:rsid w:val="00A17B5A"/>
    <w:rsid w:val="00A207F3"/>
    <w:rsid w:val="00A20EAD"/>
    <w:rsid w:val="00A2498B"/>
    <w:rsid w:val="00A256A0"/>
    <w:rsid w:val="00A262E4"/>
    <w:rsid w:val="00A2778B"/>
    <w:rsid w:val="00A27FC2"/>
    <w:rsid w:val="00A34586"/>
    <w:rsid w:val="00A35D74"/>
    <w:rsid w:val="00A36A7C"/>
    <w:rsid w:val="00A37265"/>
    <w:rsid w:val="00A37547"/>
    <w:rsid w:val="00A40461"/>
    <w:rsid w:val="00A40898"/>
    <w:rsid w:val="00A41106"/>
    <w:rsid w:val="00A426E7"/>
    <w:rsid w:val="00A4285B"/>
    <w:rsid w:val="00A42A4F"/>
    <w:rsid w:val="00A43CAD"/>
    <w:rsid w:val="00A4691F"/>
    <w:rsid w:val="00A4781F"/>
    <w:rsid w:val="00A5022F"/>
    <w:rsid w:val="00A50636"/>
    <w:rsid w:val="00A52A9F"/>
    <w:rsid w:val="00A56023"/>
    <w:rsid w:val="00A5669C"/>
    <w:rsid w:val="00A57050"/>
    <w:rsid w:val="00A57736"/>
    <w:rsid w:val="00A62C29"/>
    <w:rsid w:val="00A63675"/>
    <w:rsid w:val="00A63730"/>
    <w:rsid w:val="00A6443A"/>
    <w:rsid w:val="00A6455D"/>
    <w:rsid w:val="00A64E29"/>
    <w:rsid w:val="00A65780"/>
    <w:rsid w:val="00A67954"/>
    <w:rsid w:val="00A67F2B"/>
    <w:rsid w:val="00A708A9"/>
    <w:rsid w:val="00A72CBA"/>
    <w:rsid w:val="00A75AC1"/>
    <w:rsid w:val="00A77B1A"/>
    <w:rsid w:val="00A77B50"/>
    <w:rsid w:val="00A806D3"/>
    <w:rsid w:val="00A855D5"/>
    <w:rsid w:val="00A869B4"/>
    <w:rsid w:val="00A90079"/>
    <w:rsid w:val="00A924BB"/>
    <w:rsid w:val="00A9349C"/>
    <w:rsid w:val="00A93916"/>
    <w:rsid w:val="00A9511E"/>
    <w:rsid w:val="00A95C29"/>
    <w:rsid w:val="00A96311"/>
    <w:rsid w:val="00AA2E1B"/>
    <w:rsid w:val="00AA4564"/>
    <w:rsid w:val="00AA48C9"/>
    <w:rsid w:val="00AA53AB"/>
    <w:rsid w:val="00AB0CF3"/>
    <w:rsid w:val="00AB0EE9"/>
    <w:rsid w:val="00AB17CA"/>
    <w:rsid w:val="00AB247D"/>
    <w:rsid w:val="00AB2CFE"/>
    <w:rsid w:val="00AB31EB"/>
    <w:rsid w:val="00AB3736"/>
    <w:rsid w:val="00AB5AEE"/>
    <w:rsid w:val="00AB7043"/>
    <w:rsid w:val="00AB7ADA"/>
    <w:rsid w:val="00AC28A8"/>
    <w:rsid w:val="00AC4798"/>
    <w:rsid w:val="00AC651D"/>
    <w:rsid w:val="00AD2991"/>
    <w:rsid w:val="00AD3381"/>
    <w:rsid w:val="00AD3A45"/>
    <w:rsid w:val="00AD6AA9"/>
    <w:rsid w:val="00AD7858"/>
    <w:rsid w:val="00AE068C"/>
    <w:rsid w:val="00AE1248"/>
    <w:rsid w:val="00AE1B91"/>
    <w:rsid w:val="00AE43DF"/>
    <w:rsid w:val="00AE4C85"/>
    <w:rsid w:val="00AE6621"/>
    <w:rsid w:val="00AF158A"/>
    <w:rsid w:val="00AF1FA0"/>
    <w:rsid w:val="00AF4A9A"/>
    <w:rsid w:val="00AF772E"/>
    <w:rsid w:val="00AF7AFE"/>
    <w:rsid w:val="00B00F53"/>
    <w:rsid w:val="00B01331"/>
    <w:rsid w:val="00B018D1"/>
    <w:rsid w:val="00B03BF0"/>
    <w:rsid w:val="00B03C5D"/>
    <w:rsid w:val="00B046FC"/>
    <w:rsid w:val="00B05DD9"/>
    <w:rsid w:val="00B07411"/>
    <w:rsid w:val="00B07730"/>
    <w:rsid w:val="00B106FA"/>
    <w:rsid w:val="00B11991"/>
    <w:rsid w:val="00B1300B"/>
    <w:rsid w:val="00B14623"/>
    <w:rsid w:val="00B1560D"/>
    <w:rsid w:val="00B16D73"/>
    <w:rsid w:val="00B17D08"/>
    <w:rsid w:val="00B20273"/>
    <w:rsid w:val="00B236D1"/>
    <w:rsid w:val="00B24540"/>
    <w:rsid w:val="00B25707"/>
    <w:rsid w:val="00B25E7C"/>
    <w:rsid w:val="00B26B28"/>
    <w:rsid w:val="00B26D1F"/>
    <w:rsid w:val="00B30FEB"/>
    <w:rsid w:val="00B312E0"/>
    <w:rsid w:val="00B33AA1"/>
    <w:rsid w:val="00B352D2"/>
    <w:rsid w:val="00B368BE"/>
    <w:rsid w:val="00B371C6"/>
    <w:rsid w:val="00B376E9"/>
    <w:rsid w:val="00B401EA"/>
    <w:rsid w:val="00B40AF7"/>
    <w:rsid w:val="00B41264"/>
    <w:rsid w:val="00B41DFB"/>
    <w:rsid w:val="00B44AE6"/>
    <w:rsid w:val="00B44ED8"/>
    <w:rsid w:val="00B457B0"/>
    <w:rsid w:val="00B45A84"/>
    <w:rsid w:val="00B45F9A"/>
    <w:rsid w:val="00B46D7D"/>
    <w:rsid w:val="00B46E48"/>
    <w:rsid w:val="00B5345D"/>
    <w:rsid w:val="00B53E54"/>
    <w:rsid w:val="00B54CF4"/>
    <w:rsid w:val="00B55039"/>
    <w:rsid w:val="00B56030"/>
    <w:rsid w:val="00B5652D"/>
    <w:rsid w:val="00B57139"/>
    <w:rsid w:val="00B6043B"/>
    <w:rsid w:val="00B61E79"/>
    <w:rsid w:val="00B62000"/>
    <w:rsid w:val="00B62427"/>
    <w:rsid w:val="00B62CE7"/>
    <w:rsid w:val="00B6314D"/>
    <w:rsid w:val="00B633D2"/>
    <w:rsid w:val="00B645B6"/>
    <w:rsid w:val="00B652BD"/>
    <w:rsid w:val="00B659B1"/>
    <w:rsid w:val="00B70A3C"/>
    <w:rsid w:val="00B70B2A"/>
    <w:rsid w:val="00B72D9D"/>
    <w:rsid w:val="00B72FCC"/>
    <w:rsid w:val="00B74465"/>
    <w:rsid w:val="00B758D5"/>
    <w:rsid w:val="00B83071"/>
    <w:rsid w:val="00B85639"/>
    <w:rsid w:val="00B86F42"/>
    <w:rsid w:val="00B9209C"/>
    <w:rsid w:val="00B92CE6"/>
    <w:rsid w:val="00B931CB"/>
    <w:rsid w:val="00B95637"/>
    <w:rsid w:val="00BA2749"/>
    <w:rsid w:val="00BA3B1B"/>
    <w:rsid w:val="00BA40E7"/>
    <w:rsid w:val="00BA61FA"/>
    <w:rsid w:val="00BA7C05"/>
    <w:rsid w:val="00BB0D6D"/>
    <w:rsid w:val="00BB1739"/>
    <w:rsid w:val="00BB2E28"/>
    <w:rsid w:val="00BB4B4B"/>
    <w:rsid w:val="00BB6C63"/>
    <w:rsid w:val="00BB7CA0"/>
    <w:rsid w:val="00BC0ECE"/>
    <w:rsid w:val="00BC4F07"/>
    <w:rsid w:val="00BC74BD"/>
    <w:rsid w:val="00BD0CE2"/>
    <w:rsid w:val="00BD2150"/>
    <w:rsid w:val="00BD21B6"/>
    <w:rsid w:val="00BD2707"/>
    <w:rsid w:val="00BD479D"/>
    <w:rsid w:val="00BD500E"/>
    <w:rsid w:val="00BD5525"/>
    <w:rsid w:val="00BD56D4"/>
    <w:rsid w:val="00BD5B7E"/>
    <w:rsid w:val="00BD5DD3"/>
    <w:rsid w:val="00BD6C47"/>
    <w:rsid w:val="00BD7F80"/>
    <w:rsid w:val="00BE0899"/>
    <w:rsid w:val="00BE17E6"/>
    <w:rsid w:val="00BE2CD1"/>
    <w:rsid w:val="00BE60E1"/>
    <w:rsid w:val="00BE76A7"/>
    <w:rsid w:val="00BF1F26"/>
    <w:rsid w:val="00BF24B4"/>
    <w:rsid w:val="00BF2B3A"/>
    <w:rsid w:val="00BF4D7E"/>
    <w:rsid w:val="00BF63D5"/>
    <w:rsid w:val="00C00283"/>
    <w:rsid w:val="00C00721"/>
    <w:rsid w:val="00C0166E"/>
    <w:rsid w:val="00C05DB1"/>
    <w:rsid w:val="00C070C2"/>
    <w:rsid w:val="00C12A64"/>
    <w:rsid w:val="00C12BAF"/>
    <w:rsid w:val="00C144F0"/>
    <w:rsid w:val="00C14979"/>
    <w:rsid w:val="00C1563F"/>
    <w:rsid w:val="00C15E41"/>
    <w:rsid w:val="00C203FC"/>
    <w:rsid w:val="00C210BB"/>
    <w:rsid w:val="00C2202F"/>
    <w:rsid w:val="00C2250F"/>
    <w:rsid w:val="00C24CCF"/>
    <w:rsid w:val="00C24D58"/>
    <w:rsid w:val="00C252F0"/>
    <w:rsid w:val="00C26556"/>
    <w:rsid w:val="00C2732A"/>
    <w:rsid w:val="00C27F5A"/>
    <w:rsid w:val="00C302D3"/>
    <w:rsid w:val="00C30F9D"/>
    <w:rsid w:val="00C320CA"/>
    <w:rsid w:val="00C32B3D"/>
    <w:rsid w:val="00C32F5D"/>
    <w:rsid w:val="00C33DCE"/>
    <w:rsid w:val="00C35CF8"/>
    <w:rsid w:val="00C37404"/>
    <w:rsid w:val="00C3799A"/>
    <w:rsid w:val="00C41362"/>
    <w:rsid w:val="00C414CA"/>
    <w:rsid w:val="00C438FE"/>
    <w:rsid w:val="00C45369"/>
    <w:rsid w:val="00C46436"/>
    <w:rsid w:val="00C47ABD"/>
    <w:rsid w:val="00C503F7"/>
    <w:rsid w:val="00C5056A"/>
    <w:rsid w:val="00C50C18"/>
    <w:rsid w:val="00C54713"/>
    <w:rsid w:val="00C569B9"/>
    <w:rsid w:val="00C62E1A"/>
    <w:rsid w:val="00C63A3B"/>
    <w:rsid w:val="00C63AF5"/>
    <w:rsid w:val="00C64E7D"/>
    <w:rsid w:val="00C66349"/>
    <w:rsid w:val="00C66E8C"/>
    <w:rsid w:val="00C679B3"/>
    <w:rsid w:val="00C70F23"/>
    <w:rsid w:val="00C71168"/>
    <w:rsid w:val="00C75C75"/>
    <w:rsid w:val="00C76576"/>
    <w:rsid w:val="00C77E2F"/>
    <w:rsid w:val="00C77FC3"/>
    <w:rsid w:val="00C82ABC"/>
    <w:rsid w:val="00C83EAF"/>
    <w:rsid w:val="00C843D1"/>
    <w:rsid w:val="00C844C4"/>
    <w:rsid w:val="00C84BFB"/>
    <w:rsid w:val="00C87CAF"/>
    <w:rsid w:val="00C9085D"/>
    <w:rsid w:val="00C91257"/>
    <w:rsid w:val="00C91A34"/>
    <w:rsid w:val="00C91B7C"/>
    <w:rsid w:val="00C91F4A"/>
    <w:rsid w:val="00C9627D"/>
    <w:rsid w:val="00C96930"/>
    <w:rsid w:val="00C972C1"/>
    <w:rsid w:val="00C97F6E"/>
    <w:rsid w:val="00CA29C2"/>
    <w:rsid w:val="00CA2F81"/>
    <w:rsid w:val="00CA40FD"/>
    <w:rsid w:val="00CB12A3"/>
    <w:rsid w:val="00CB1DD8"/>
    <w:rsid w:val="00CB2B55"/>
    <w:rsid w:val="00CB3659"/>
    <w:rsid w:val="00CB6C8F"/>
    <w:rsid w:val="00CB7713"/>
    <w:rsid w:val="00CC0575"/>
    <w:rsid w:val="00CC218E"/>
    <w:rsid w:val="00CC2271"/>
    <w:rsid w:val="00CC430C"/>
    <w:rsid w:val="00CC5F3C"/>
    <w:rsid w:val="00CC747F"/>
    <w:rsid w:val="00CD0012"/>
    <w:rsid w:val="00CD0A6D"/>
    <w:rsid w:val="00CD1225"/>
    <w:rsid w:val="00CD1E9F"/>
    <w:rsid w:val="00CD3604"/>
    <w:rsid w:val="00CD3FDB"/>
    <w:rsid w:val="00CD44E2"/>
    <w:rsid w:val="00CD6473"/>
    <w:rsid w:val="00CD64BF"/>
    <w:rsid w:val="00CD6BA1"/>
    <w:rsid w:val="00CD6DE7"/>
    <w:rsid w:val="00CD7802"/>
    <w:rsid w:val="00CD7997"/>
    <w:rsid w:val="00CE04CD"/>
    <w:rsid w:val="00CE0A75"/>
    <w:rsid w:val="00CE2A4F"/>
    <w:rsid w:val="00CE2C2C"/>
    <w:rsid w:val="00CE2E1F"/>
    <w:rsid w:val="00CE2E70"/>
    <w:rsid w:val="00CE654E"/>
    <w:rsid w:val="00CE78CD"/>
    <w:rsid w:val="00CF1FA6"/>
    <w:rsid w:val="00CF59DF"/>
    <w:rsid w:val="00CF5AE7"/>
    <w:rsid w:val="00CF5F1C"/>
    <w:rsid w:val="00CF6069"/>
    <w:rsid w:val="00CF7EFB"/>
    <w:rsid w:val="00CF7F3B"/>
    <w:rsid w:val="00D037D0"/>
    <w:rsid w:val="00D048D7"/>
    <w:rsid w:val="00D105C4"/>
    <w:rsid w:val="00D1143A"/>
    <w:rsid w:val="00D11DE8"/>
    <w:rsid w:val="00D1226C"/>
    <w:rsid w:val="00D13F02"/>
    <w:rsid w:val="00D15EFE"/>
    <w:rsid w:val="00D1603F"/>
    <w:rsid w:val="00D22D91"/>
    <w:rsid w:val="00D25E51"/>
    <w:rsid w:val="00D276C7"/>
    <w:rsid w:val="00D31990"/>
    <w:rsid w:val="00D33359"/>
    <w:rsid w:val="00D3372D"/>
    <w:rsid w:val="00D35448"/>
    <w:rsid w:val="00D36BD1"/>
    <w:rsid w:val="00D424EA"/>
    <w:rsid w:val="00D42775"/>
    <w:rsid w:val="00D4778E"/>
    <w:rsid w:val="00D4796C"/>
    <w:rsid w:val="00D47F07"/>
    <w:rsid w:val="00D5176F"/>
    <w:rsid w:val="00D54BAF"/>
    <w:rsid w:val="00D55CCE"/>
    <w:rsid w:val="00D57827"/>
    <w:rsid w:val="00D608EC"/>
    <w:rsid w:val="00D60C41"/>
    <w:rsid w:val="00D61975"/>
    <w:rsid w:val="00D62D15"/>
    <w:rsid w:val="00D62D16"/>
    <w:rsid w:val="00D64004"/>
    <w:rsid w:val="00D647E5"/>
    <w:rsid w:val="00D64AA9"/>
    <w:rsid w:val="00D65CEC"/>
    <w:rsid w:val="00D6603E"/>
    <w:rsid w:val="00D661AD"/>
    <w:rsid w:val="00D668EE"/>
    <w:rsid w:val="00D6699D"/>
    <w:rsid w:val="00D67624"/>
    <w:rsid w:val="00D71424"/>
    <w:rsid w:val="00D71B34"/>
    <w:rsid w:val="00D724E3"/>
    <w:rsid w:val="00D72EFF"/>
    <w:rsid w:val="00D73CE7"/>
    <w:rsid w:val="00D74C0D"/>
    <w:rsid w:val="00D75B9A"/>
    <w:rsid w:val="00D804A9"/>
    <w:rsid w:val="00D81E24"/>
    <w:rsid w:val="00D828F8"/>
    <w:rsid w:val="00D82E8D"/>
    <w:rsid w:val="00D82E97"/>
    <w:rsid w:val="00D82F41"/>
    <w:rsid w:val="00D837E0"/>
    <w:rsid w:val="00D838EE"/>
    <w:rsid w:val="00D84388"/>
    <w:rsid w:val="00D84A59"/>
    <w:rsid w:val="00D85A64"/>
    <w:rsid w:val="00D87A78"/>
    <w:rsid w:val="00D87CFB"/>
    <w:rsid w:val="00D914FB"/>
    <w:rsid w:val="00D91BC1"/>
    <w:rsid w:val="00D91EA9"/>
    <w:rsid w:val="00D9419D"/>
    <w:rsid w:val="00D9495C"/>
    <w:rsid w:val="00D975ED"/>
    <w:rsid w:val="00DA05CD"/>
    <w:rsid w:val="00DA1F57"/>
    <w:rsid w:val="00DA21E9"/>
    <w:rsid w:val="00DA3306"/>
    <w:rsid w:val="00DA6284"/>
    <w:rsid w:val="00DA79C5"/>
    <w:rsid w:val="00DA7C33"/>
    <w:rsid w:val="00DB161C"/>
    <w:rsid w:val="00DB27F2"/>
    <w:rsid w:val="00DB3249"/>
    <w:rsid w:val="00DB3955"/>
    <w:rsid w:val="00DB568F"/>
    <w:rsid w:val="00DB58A8"/>
    <w:rsid w:val="00DB763B"/>
    <w:rsid w:val="00DC1FC5"/>
    <w:rsid w:val="00DC2715"/>
    <w:rsid w:val="00DC5501"/>
    <w:rsid w:val="00DC68E9"/>
    <w:rsid w:val="00DC6D32"/>
    <w:rsid w:val="00DC7601"/>
    <w:rsid w:val="00DC7715"/>
    <w:rsid w:val="00DD044C"/>
    <w:rsid w:val="00DD16BD"/>
    <w:rsid w:val="00DD1AD9"/>
    <w:rsid w:val="00DD2C91"/>
    <w:rsid w:val="00DD31FE"/>
    <w:rsid w:val="00DD50B5"/>
    <w:rsid w:val="00DD58B4"/>
    <w:rsid w:val="00DD6245"/>
    <w:rsid w:val="00DE0A9D"/>
    <w:rsid w:val="00DE2692"/>
    <w:rsid w:val="00DE49E0"/>
    <w:rsid w:val="00DE5018"/>
    <w:rsid w:val="00DE5817"/>
    <w:rsid w:val="00DE58C2"/>
    <w:rsid w:val="00DE7175"/>
    <w:rsid w:val="00DF5953"/>
    <w:rsid w:val="00E0462B"/>
    <w:rsid w:val="00E07824"/>
    <w:rsid w:val="00E1296C"/>
    <w:rsid w:val="00E13378"/>
    <w:rsid w:val="00E143DE"/>
    <w:rsid w:val="00E14479"/>
    <w:rsid w:val="00E14D63"/>
    <w:rsid w:val="00E21C8E"/>
    <w:rsid w:val="00E22C24"/>
    <w:rsid w:val="00E22F34"/>
    <w:rsid w:val="00E23C51"/>
    <w:rsid w:val="00E245AC"/>
    <w:rsid w:val="00E26132"/>
    <w:rsid w:val="00E26A33"/>
    <w:rsid w:val="00E300F2"/>
    <w:rsid w:val="00E30745"/>
    <w:rsid w:val="00E32B12"/>
    <w:rsid w:val="00E34F49"/>
    <w:rsid w:val="00E35913"/>
    <w:rsid w:val="00E35D7B"/>
    <w:rsid w:val="00E40C49"/>
    <w:rsid w:val="00E52E03"/>
    <w:rsid w:val="00E533DC"/>
    <w:rsid w:val="00E549CB"/>
    <w:rsid w:val="00E55D62"/>
    <w:rsid w:val="00E62357"/>
    <w:rsid w:val="00E62524"/>
    <w:rsid w:val="00E64420"/>
    <w:rsid w:val="00E64E52"/>
    <w:rsid w:val="00E65BEC"/>
    <w:rsid w:val="00E65D4F"/>
    <w:rsid w:val="00E65F89"/>
    <w:rsid w:val="00E67C75"/>
    <w:rsid w:val="00E7066A"/>
    <w:rsid w:val="00E7137D"/>
    <w:rsid w:val="00E71B50"/>
    <w:rsid w:val="00E73C1A"/>
    <w:rsid w:val="00E74E08"/>
    <w:rsid w:val="00E7559A"/>
    <w:rsid w:val="00E755DA"/>
    <w:rsid w:val="00E75FFF"/>
    <w:rsid w:val="00E7799A"/>
    <w:rsid w:val="00E8094F"/>
    <w:rsid w:val="00E8154C"/>
    <w:rsid w:val="00E81D97"/>
    <w:rsid w:val="00E81E0C"/>
    <w:rsid w:val="00E84968"/>
    <w:rsid w:val="00E868DA"/>
    <w:rsid w:val="00E87A40"/>
    <w:rsid w:val="00E943FF"/>
    <w:rsid w:val="00E973BC"/>
    <w:rsid w:val="00EA297B"/>
    <w:rsid w:val="00EA2C2F"/>
    <w:rsid w:val="00EA667D"/>
    <w:rsid w:val="00EB00B3"/>
    <w:rsid w:val="00EB29C3"/>
    <w:rsid w:val="00EB2DAE"/>
    <w:rsid w:val="00EB4009"/>
    <w:rsid w:val="00EB4ECA"/>
    <w:rsid w:val="00EB5692"/>
    <w:rsid w:val="00EB6292"/>
    <w:rsid w:val="00EC34AC"/>
    <w:rsid w:val="00EC399D"/>
    <w:rsid w:val="00EC43F4"/>
    <w:rsid w:val="00EC4447"/>
    <w:rsid w:val="00EC6A73"/>
    <w:rsid w:val="00EC716E"/>
    <w:rsid w:val="00ED0087"/>
    <w:rsid w:val="00ED07ED"/>
    <w:rsid w:val="00ED0D56"/>
    <w:rsid w:val="00ED0DCF"/>
    <w:rsid w:val="00ED2E54"/>
    <w:rsid w:val="00ED3EE7"/>
    <w:rsid w:val="00ED4ED5"/>
    <w:rsid w:val="00ED58D9"/>
    <w:rsid w:val="00ED6971"/>
    <w:rsid w:val="00ED6ACC"/>
    <w:rsid w:val="00ED728D"/>
    <w:rsid w:val="00EE1C58"/>
    <w:rsid w:val="00EE3674"/>
    <w:rsid w:val="00EE48D5"/>
    <w:rsid w:val="00EE4BCD"/>
    <w:rsid w:val="00EE559A"/>
    <w:rsid w:val="00EE6EDB"/>
    <w:rsid w:val="00EE713E"/>
    <w:rsid w:val="00EF0BAC"/>
    <w:rsid w:val="00EF1654"/>
    <w:rsid w:val="00EF3EB9"/>
    <w:rsid w:val="00EF4926"/>
    <w:rsid w:val="00F00FFD"/>
    <w:rsid w:val="00F010CC"/>
    <w:rsid w:val="00F039C7"/>
    <w:rsid w:val="00F05B55"/>
    <w:rsid w:val="00F07048"/>
    <w:rsid w:val="00F07596"/>
    <w:rsid w:val="00F07F3D"/>
    <w:rsid w:val="00F10C50"/>
    <w:rsid w:val="00F12E15"/>
    <w:rsid w:val="00F13E4E"/>
    <w:rsid w:val="00F155FA"/>
    <w:rsid w:val="00F15A66"/>
    <w:rsid w:val="00F15A74"/>
    <w:rsid w:val="00F16B7C"/>
    <w:rsid w:val="00F20653"/>
    <w:rsid w:val="00F22033"/>
    <w:rsid w:val="00F22F53"/>
    <w:rsid w:val="00F30491"/>
    <w:rsid w:val="00F30BAF"/>
    <w:rsid w:val="00F32130"/>
    <w:rsid w:val="00F326DA"/>
    <w:rsid w:val="00F32C71"/>
    <w:rsid w:val="00F35495"/>
    <w:rsid w:val="00F35C73"/>
    <w:rsid w:val="00F36C22"/>
    <w:rsid w:val="00F37741"/>
    <w:rsid w:val="00F417D5"/>
    <w:rsid w:val="00F41A0D"/>
    <w:rsid w:val="00F41D1E"/>
    <w:rsid w:val="00F421DD"/>
    <w:rsid w:val="00F455B9"/>
    <w:rsid w:val="00F46858"/>
    <w:rsid w:val="00F47537"/>
    <w:rsid w:val="00F5013E"/>
    <w:rsid w:val="00F53E7A"/>
    <w:rsid w:val="00F57917"/>
    <w:rsid w:val="00F60DD8"/>
    <w:rsid w:val="00F60DFD"/>
    <w:rsid w:val="00F61D9E"/>
    <w:rsid w:val="00F62A2D"/>
    <w:rsid w:val="00F64386"/>
    <w:rsid w:val="00F66A4E"/>
    <w:rsid w:val="00F66A8D"/>
    <w:rsid w:val="00F718E5"/>
    <w:rsid w:val="00F72274"/>
    <w:rsid w:val="00F72336"/>
    <w:rsid w:val="00F73156"/>
    <w:rsid w:val="00F811C6"/>
    <w:rsid w:val="00F830DD"/>
    <w:rsid w:val="00F83330"/>
    <w:rsid w:val="00F86E09"/>
    <w:rsid w:val="00F872AB"/>
    <w:rsid w:val="00F8761F"/>
    <w:rsid w:val="00F9091B"/>
    <w:rsid w:val="00F946E9"/>
    <w:rsid w:val="00F94722"/>
    <w:rsid w:val="00F9705B"/>
    <w:rsid w:val="00FA0C54"/>
    <w:rsid w:val="00FA1339"/>
    <w:rsid w:val="00FA1F68"/>
    <w:rsid w:val="00FA2C1E"/>
    <w:rsid w:val="00FA2C4F"/>
    <w:rsid w:val="00FA460F"/>
    <w:rsid w:val="00FA47D2"/>
    <w:rsid w:val="00FA4B71"/>
    <w:rsid w:val="00FA4C8A"/>
    <w:rsid w:val="00FA4FEE"/>
    <w:rsid w:val="00FA6ACE"/>
    <w:rsid w:val="00FB092A"/>
    <w:rsid w:val="00FB0970"/>
    <w:rsid w:val="00FB1221"/>
    <w:rsid w:val="00FB6E64"/>
    <w:rsid w:val="00FC3499"/>
    <w:rsid w:val="00FC43E0"/>
    <w:rsid w:val="00FC50CF"/>
    <w:rsid w:val="00FC6812"/>
    <w:rsid w:val="00FC6F4D"/>
    <w:rsid w:val="00FD00B8"/>
    <w:rsid w:val="00FD13E8"/>
    <w:rsid w:val="00FD2516"/>
    <w:rsid w:val="00FD447E"/>
    <w:rsid w:val="00FD5088"/>
    <w:rsid w:val="00FD5BCC"/>
    <w:rsid w:val="00FD6D46"/>
    <w:rsid w:val="00FE0DF5"/>
    <w:rsid w:val="00FE27B6"/>
    <w:rsid w:val="00FE5112"/>
    <w:rsid w:val="00FE64AE"/>
    <w:rsid w:val="00FE71BA"/>
    <w:rsid w:val="00FE7515"/>
    <w:rsid w:val="00FF14D5"/>
    <w:rsid w:val="00FF1AEB"/>
    <w:rsid w:val="00FF2EBD"/>
    <w:rsid w:val="00FF3136"/>
    <w:rsid w:val="00FF4346"/>
    <w:rsid w:val="00FF4DE4"/>
    <w:rsid w:val="00FF5D5A"/>
    <w:rsid w:val="00FF669F"/>
    <w:rsid w:val="056C699D"/>
    <w:rsid w:val="0E5FE64A"/>
    <w:rsid w:val="12549B89"/>
    <w:rsid w:val="1829289E"/>
    <w:rsid w:val="1BD4FC1D"/>
    <w:rsid w:val="1C9498A5"/>
    <w:rsid w:val="1DDC25F5"/>
    <w:rsid w:val="21B036EC"/>
    <w:rsid w:val="2B2531E7"/>
    <w:rsid w:val="2E075897"/>
    <w:rsid w:val="348C673F"/>
    <w:rsid w:val="376FDEB7"/>
    <w:rsid w:val="3DEE822C"/>
    <w:rsid w:val="404B139F"/>
    <w:rsid w:val="428FA079"/>
    <w:rsid w:val="434F051C"/>
    <w:rsid w:val="445CBF73"/>
    <w:rsid w:val="4A7558B7"/>
    <w:rsid w:val="59A7B0A0"/>
    <w:rsid w:val="5E18DF04"/>
    <w:rsid w:val="6B301121"/>
    <w:rsid w:val="7336685A"/>
    <w:rsid w:val="7B64CF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basedOn w:val="Normal"/>
    <w:uiPriority w:val="34"/>
    <w:qFormat/>
    <w:rsid w:val="00AE1B91"/>
    <w:pPr>
      <w:ind w:left="720"/>
      <w:contextualSpacing/>
    </w:pPr>
  </w:style>
  <w:style w:type="character" w:styleId="FollowedHyperlink">
    <w:name w:val="FollowedHyperlink"/>
    <w:basedOn w:val="DefaultParagraphFont"/>
    <w:uiPriority w:val="99"/>
    <w:semiHidden/>
    <w:unhideWhenUsed/>
    <w:rsid w:val="00D837E0"/>
    <w:rPr>
      <w:color w:val="016574" w:themeColor="followedHyperlink"/>
      <w:u w:val="single"/>
    </w:rPr>
  </w:style>
  <w:style w:type="paragraph" w:styleId="FootnoteText">
    <w:name w:val="footnote text"/>
    <w:basedOn w:val="Normal"/>
    <w:link w:val="FootnoteTextChar"/>
    <w:uiPriority w:val="99"/>
    <w:semiHidden/>
    <w:unhideWhenUsed/>
    <w:rsid w:val="005B6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7F7"/>
    <w:rPr>
      <w:rFonts w:eastAsiaTheme="minorEastAsia"/>
      <w:sz w:val="20"/>
      <w:szCs w:val="20"/>
    </w:rPr>
  </w:style>
  <w:style w:type="character" w:styleId="FootnoteReference">
    <w:name w:val="footnote reference"/>
    <w:basedOn w:val="DefaultParagraphFont"/>
    <w:uiPriority w:val="99"/>
    <w:semiHidden/>
    <w:unhideWhenUsed/>
    <w:rsid w:val="005B67F7"/>
    <w:rPr>
      <w:vertAlign w:val="superscript"/>
    </w:rPr>
  </w:style>
  <w:style w:type="character" w:customStyle="1" w:styleId="contentcontrolboundarysink">
    <w:name w:val="contentcontrolboundarysink"/>
    <w:basedOn w:val="DefaultParagraphFont"/>
    <w:rsid w:val="00B20273"/>
  </w:style>
  <w:style w:type="character" w:customStyle="1" w:styleId="wacimagecontainer">
    <w:name w:val="wacimagecontainer"/>
    <w:basedOn w:val="DefaultParagraphFont"/>
    <w:rsid w:val="003F309D"/>
  </w:style>
  <w:style w:type="character" w:styleId="Mention">
    <w:name w:val="Mention"/>
    <w:basedOn w:val="DefaultParagraphFont"/>
    <w:uiPriority w:val="99"/>
    <w:unhideWhenUsed/>
    <w:rsid w:val="008D0775"/>
    <w:rPr>
      <w:color w:val="2B579A"/>
      <w:shd w:val="clear" w:color="auto" w:fill="E1DFDD"/>
    </w:rPr>
  </w:style>
  <w:style w:type="table" w:styleId="TableGrid">
    <w:name w:val="Table Grid"/>
    <w:basedOn w:val="TableNormal"/>
    <w:uiPriority w:val="39"/>
    <w:rsid w:val="008E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0292">
      <w:bodyDiv w:val="1"/>
      <w:marLeft w:val="0"/>
      <w:marRight w:val="0"/>
      <w:marTop w:val="0"/>
      <w:marBottom w:val="0"/>
      <w:divBdr>
        <w:top w:val="none" w:sz="0" w:space="0" w:color="auto"/>
        <w:left w:val="none" w:sz="0" w:space="0" w:color="auto"/>
        <w:bottom w:val="none" w:sz="0" w:space="0" w:color="auto"/>
        <w:right w:val="none" w:sz="0" w:space="0" w:color="auto"/>
      </w:divBdr>
    </w:div>
    <w:div w:id="100221738">
      <w:bodyDiv w:val="1"/>
      <w:marLeft w:val="0"/>
      <w:marRight w:val="0"/>
      <w:marTop w:val="0"/>
      <w:marBottom w:val="0"/>
      <w:divBdr>
        <w:top w:val="none" w:sz="0" w:space="0" w:color="auto"/>
        <w:left w:val="none" w:sz="0" w:space="0" w:color="auto"/>
        <w:bottom w:val="none" w:sz="0" w:space="0" w:color="auto"/>
        <w:right w:val="none" w:sz="0" w:space="0" w:color="auto"/>
      </w:divBdr>
    </w:div>
    <w:div w:id="172691586">
      <w:bodyDiv w:val="1"/>
      <w:marLeft w:val="0"/>
      <w:marRight w:val="0"/>
      <w:marTop w:val="0"/>
      <w:marBottom w:val="0"/>
      <w:divBdr>
        <w:top w:val="none" w:sz="0" w:space="0" w:color="auto"/>
        <w:left w:val="none" w:sz="0" w:space="0" w:color="auto"/>
        <w:bottom w:val="none" w:sz="0" w:space="0" w:color="auto"/>
        <w:right w:val="none" w:sz="0" w:space="0" w:color="auto"/>
      </w:divBdr>
    </w:div>
    <w:div w:id="325404001">
      <w:bodyDiv w:val="1"/>
      <w:marLeft w:val="0"/>
      <w:marRight w:val="0"/>
      <w:marTop w:val="0"/>
      <w:marBottom w:val="0"/>
      <w:divBdr>
        <w:top w:val="none" w:sz="0" w:space="0" w:color="auto"/>
        <w:left w:val="none" w:sz="0" w:space="0" w:color="auto"/>
        <w:bottom w:val="none" w:sz="0" w:space="0" w:color="auto"/>
        <w:right w:val="none" w:sz="0" w:space="0" w:color="auto"/>
      </w:divBdr>
    </w:div>
    <w:div w:id="568000716">
      <w:bodyDiv w:val="1"/>
      <w:marLeft w:val="0"/>
      <w:marRight w:val="0"/>
      <w:marTop w:val="0"/>
      <w:marBottom w:val="0"/>
      <w:divBdr>
        <w:top w:val="none" w:sz="0" w:space="0" w:color="auto"/>
        <w:left w:val="none" w:sz="0" w:space="0" w:color="auto"/>
        <w:bottom w:val="none" w:sz="0" w:space="0" w:color="auto"/>
        <w:right w:val="none" w:sz="0" w:space="0" w:color="auto"/>
      </w:divBdr>
    </w:div>
    <w:div w:id="802620905">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1065184984">
      <w:bodyDiv w:val="1"/>
      <w:marLeft w:val="0"/>
      <w:marRight w:val="0"/>
      <w:marTop w:val="0"/>
      <w:marBottom w:val="0"/>
      <w:divBdr>
        <w:top w:val="none" w:sz="0" w:space="0" w:color="auto"/>
        <w:left w:val="none" w:sz="0" w:space="0" w:color="auto"/>
        <w:bottom w:val="none" w:sz="0" w:space="0" w:color="auto"/>
        <w:right w:val="none" w:sz="0" w:space="0" w:color="auto"/>
      </w:divBdr>
    </w:div>
    <w:div w:id="1142771244">
      <w:bodyDiv w:val="1"/>
      <w:marLeft w:val="0"/>
      <w:marRight w:val="0"/>
      <w:marTop w:val="0"/>
      <w:marBottom w:val="0"/>
      <w:divBdr>
        <w:top w:val="none" w:sz="0" w:space="0" w:color="auto"/>
        <w:left w:val="none" w:sz="0" w:space="0" w:color="auto"/>
        <w:bottom w:val="none" w:sz="0" w:space="0" w:color="auto"/>
        <w:right w:val="none" w:sz="0" w:space="0" w:color="auto"/>
      </w:divBdr>
    </w:div>
    <w:div w:id="1196580162">
      <w:bodyDiv w:val="1"/>
      <w:marLeft w:val="0"/>
      <w:marRight w:val="0"/>
      <w:marTop w:val="0"/>
      <w:marBottom w:val="0"/>
      <w:divBdr>
        <w:top w:val="none" w:sz="0" w:space="0" w:color="auto"/>
        <w:left w:val="none" w:sz="0" w:space="0" w:color="auto"/>
        <w:bottom w:val="none" w:sz="0" w:space="0" w:color="auto"/>
        <w:right w:val="none" w:sz="0" w:space="0" w:color="auto"/>
      </w:divBdr>
    </w:div>
    <w:div w:id="1388263350">
      <w:bodyDiv w:val="1"/>
      <w:marLeft w:val="0"/>
      <w:marRight w:val="0"/>
      <w:marTop w:val="0"/>
      <w:marBottom w:val="0"/>
      <w:divBdr>
        <w:top w:val="none" w:sz="0" w:space="0" w:color="auto"/>
        <w:left w:val="none" w:sz="0" w:space="0" w:color="auto"/>
        <w:bottom w:val="none" w:sz="0" w:space="0" w:color="auto"/>
        <w:right w:val="none" w:sz="0" w:space="0" w:color="auto"/>
      </w:divBdr>
    </w:div>
    <w:div w:id="1442648967">
      <w:bodyDiv w:val="1"/>
      <w:marLeft w:val="0"/>
      <w:marRight w:val="0"/>
      <w:marTop w:val="0"/>
      <w:marBottom w:val="0"/>
      <w:divBdr>
        <w:top w:val="none" w:sz="0" w:space="0" w:color="auto"/>
        <w:left w:val="none" w:sz="0" w:space="0" w:color="auto"/>
        <w:bottom w:val="none" w:sz="0" w:space="0" w:color="auto"/>
        <w:right w:val="none" w:sz="0" w:space="0" w:color="auto"/>
      </w:divBdr>
    </w:div>
    <w:div w:id="1447894546">
      <w:bodyDiv w:val="1"/>
      <w:marLeft w:val="0"/>
      <w:marRight w:val="0"/>
      <w:marTop w:val="0"/>
      <w:marBottom w:val="0"/>
      <w:divBdr>
        <w:top w:val="none" w:sz="0" w:space="0" w:color="auto"/>
        <w:left w:val="none" w:sz="0" w:space="0" w:color="auto"/>
        <w:bottom w:val="none" w:sz="0" w:space="0" w:color="auto"/>
        <w:right w:val="none" w:sz="0" w:space="0" w:color="auto"/>
      </w:divBdr>
    </w:div>
    <w:div w:id="1479415846">
      <w:bodyDiv w:val="1"/>
      <w:marLeft w:val="0"/>
      <w:marRight w:val="0"/>
      <w:marTop w:val="0"/>
      <w:marBottom w:val="0"/>
      <w:divBdr>
        <w:top w:val="none" w:sz="0" w:space="0" w:color="auto"/>
        <w:left w:val="none" w:sz="0" w:space="0" w:color="auto"/>
        <w:bottom w:val="none" w:sz="0" w:space="0" w:color="auto"/>
        <w:right w:val="none" w:sz="0" w:space="0" w:color="auto"/>
      </w:divBdr>
    </w:div>
    <w:div w:id="1521046755">
      <w:bodyDiv w:val="1"/>
      <w:marLeft w:val="0"/>
      <w:marRight w:val="0"/>
      <w:marTop w:val="0"/>
      <w:marBottom w:val="0"/>
      <w:divBdr>
        <w:top w:val="none" w:sz="0" w:space="0" w:color="auto"/>
        <w:left w:val="none" w:sz="0" w:space="0" w:color="auto"/>
        <w:bottom w:val="none" w:sz="0" w:space="0" w:color="auto"/>
        <w:right w:val="none" w:sz="0" w:space="0" w:color="auto"/>
      </w:divBdr>
    </w:div>
    <w:div w:id="1577083015">
      <w:bodyDiv w:val="1"/>
      <w:marLeft w:val="0"/>
      <w:marRight w:val="0"/>
      <w:marTop w:val="0"/>
      <w:marBottom w:val="0"/>
      <w:divBdr>
        <w:top w:val="none" w:sz="0" w:space="0" w:color="auto"/>
        <w:left w:val="none" w:sz="0" w:space="0" w:color="auto"/>
        <w:bottom w:val="none" w:sz="0" w:space="0" w:color="auto"/>
        <w:right w:val="none" w:sz="0" w:space="0" w:color="auto"/>
      </w:divBdr>
    </w:div>
    <w:div w:id="1830168522">
      <w:bodyDiv w:val="1"/>
      <w:marLeft w:val="0"/>
      <w:marRight w:val="0"/>
      <w:marTop w:val="0"/>
      <w:marBottom w:val="0"/>
      <w:divBdr>
        <w:top w:val="none" w:sz="0" w:space="0" w:color="auto"/>
        <w:left w:val="none" w:sz="0" w:space="0" w:color="auto"/>
        <w:bottom w:val="none" w:sz="0" w:space="0" w:color="auto"/>
        <w:right w:val="none" w:sz="0" w:space="0" w:color="auto"/>
      </w:divBdr>
    </w:div>
    <w:div w:id="1897084317">
      <w:bodyDiv w:val="1"/>
      <w:marLeft w:val="0"/>
      <w:marRight w:val="0"/>
      <w:marTop w:val="0"/>
      <w:marBottom w:val="0"/>
      <w:divBdr>
        <w:top w:val="none" w:sz="0" w:space="0" w:color="auto"/>
        <w:left w:val="none" w:sz="0" w:space="0" w:color="auto"/>
        <w:bottom w:val="none" w:sz="0" w:space="0" w:color="auto"/>
        <w:right w:val="none" w:sz="0" w:space="0" w:color="auto"/>
      </w:divBdr>
    </w:div>
    <w:div w:id="1964769483">
      <w:bodyDiv w:val="1"/>
      <w:marLeft w:val="0"/>
      <w:marRight w:val="0"/>
      <w:marTop w:val="0"/>
      <w:marBottom w:val="0"/>
      <w:divBdr>
        <w:top w:val="none" w:sz="0" w:space="0" w:color="auto"/>
        <w:left w:val="none" w:sz="0" w:space="0" w:color="auto"/>
        <w:bottom w:val="none" w:sz="0" w:space="0" w:color="auto"/>
        <w:right w:val="none" w:sz="0" w:space="0" w:color="auto"/>
      </w:divBdr>
    </w:div>
    <w:div w:id="21243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2025-03-19T13:06:00Z</dcterms:created>
  <dcterms:modified xsi:type="dcterms:W3CDTF">2025-03-19T15:19:00Z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32f73516,5731c9e0,32ba9302</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bf86056,772e8b1e,4d6ae582</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2025-03-19T13:06:58Z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9b7a3708-f2cd-4844-8d21-75793be2602f</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