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53F9346" w14:textId="77777777" w:rsidR="004073BC" w:rsidRDefault="00F72274" w:rsidP="00F72274">
          <w:r>
            <w:rPr>
              <w:noProof/>
            </w:rPr>
            <w:drawing>
              <wp:anchor distT="0" distB="0" distL="114300" distR="114300" simplePos="0" relativeHeight="251658241" behindDoc="1" locked="0" layoutInCell="1" allowOverlap="1" wp14:anchorId="18AF77A4" wp14:editId="1E8D7A6A">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49DF1F3" wp14:editId="2A57CF0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301DAAB" w14:textId="77777777" w:rsidR="004073BC" w:rsidRDefault="004073BC" w:rsidP="008C1A73"/>
        <w:p w14:paraId="192E9DE0" w14:textId="77777777" w:rsidR="004073BC" w:rsidRDefault="004073BC" w:rsidP="008C1A73"/>
        <w:p w14:paraId="2C6B665B" w14:textId="311C79EF" w:rsidR="004073BC" w:rsidRPr="00181F77" w:rsidRDefault="00181F77" w:rsidP="008C1A73">
          <w:pPr>
            <w:rPr>
              <w:b/>
              <w:bCs/>
              <w:color w:val="FFFFFF" w:themeColor="background1"/>
              <w:sz w:val="32"/>
              <w:szCs w:val="32"/>
            </w:rPr>
          </w:pPr>
          <w:r w:rsidRPr="516F598B">
            <w:rPr>
              <w:b/>
              <w:bCs/>
              <w:color w:val="FFFFFF" w:themeColor="background1"/>
              <w:sz w:val="32"/>
              <w:szCs w:val="32"/>
            </w:rPr>
            <w:t>W</w:t>
          </w:r>
          <w:r w:rsidR="5E680245" w:rsidRPr="516F598B">
            <w:rPr>
              <w:b/>
              <w:bCs/>
              <w:color w:val="FFFFFF" w:themeColor="background1"/>
              <w:sz w:val="32"/>
              <w:szCs w:val="32"/>
            </w:rPr>
            <w:t>AS</w:t>
          </w:r>
          <w:r w:rsidR="000E12E0" w:rsidRPr="516F598B">
            <w:rPr>
              <w:b/>
              <w:bCs/>
              <w:color w:val="FFFFFF" w:themeColor="background1"/>
              <w:sz w:val="32"/>
              <w:szCs w:val="32"/>
            </w:rPr>
            <w:t>-G-060</w:t>
          </w:r>
        </w:p>
        <w:p w14:paraId="2F426B94" w14:textId="77777777" w:rsidR="004073BC" w:rsidRDefault="004073BC" w:rsidP="008C1A73"/>
        <w:p w14:paraId="2225E149" w14:textId="77777777" w:rsidR="004073BC" w:rsidRDefault="004073BC" w:rsidP="008C1A73"/>
        <w:p w14:paraId="2240832A" w14:textId="77777777" w:rsidR="00281BB1" w:rsidRDefault="00281BB1" w:rsidP="00281BB1">
          <w:pPr>
            <w:rPr>
              <w:b/>
              <w:bCs/>
              <w:color w:val="FFFFFF" w:themeColor="background1"/>
              <w:sz w:val="84"/>
              <w:szCs w:val="84"/>
            </w:rPr>
          </w:pPr>
        </w:p>
        <w:p w14:paraId="1FF4AD57" w14:textId="7B87B532"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5ADC132" wp14:editId="7FA1614E">
                    <wp:simplePos x="0" y="0"/>
                    <wp:positionH relativeFrom="column">
                      <wp:posOffset>86360</wp:posOffset>
                    </wp:positionH>
                    <wp:positionV relativeFrom="paragraph">
                      <wp:posOffset>5481320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1CAC13F" w14:textId="75A54CBB" w:rsidR="00281BB1" w:rsidRPr="009A240D" w:rsidRDefault="00181F77" w:rsidP="00281BB1">
                                <w:pPr>
                                  <w:pStyle w:val="BodyText1"/>
                                  <w:rPr>
                                    <w:color w:val="FFFFFF" w:themeColor="background1"/>
                                  </w:rPr>
                                </w:pPr>
                                <w:r>
                                  <w:rPr>
                                    <w:color w:val="FFFFFF" w:themeColor="background1"/>
                                  </w:rPr>
                                  <w:t>Version 2.0 –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DC132" id="_x0000_t202" coordsize="21600,21600" o:spt="202" path="m,l,21600r21600,l21600,xe">
                    <v:stroke joinstyle="miter"/>
                    <v:path gradientshapeok="t" o:connecttype="rect"/>
                  </v:shapetype>
                  <v:shape id="Text Box 3" o:spid="_x0000_s1026" type="#_x0000_t202" alt="&quot;&quot;" style="position:absolute;margin-left:6.8pt;margin-top:431.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cxYSO98AAAAKAQAADwAAAGRycy9kb3ducmV2LnhtbEyPy07DMBBF90j8gzVI7KjzkKI2jVMh&#10;HjsepVAJdk5skgh7HNlOGv6eYQXLO3N050y1W6xhs/ZhcCggXSXANLZODdgJeHu9v1oDC1Giksah&#10;FvCtA+zq87NKlsqd8EXPh9gxKsFQSgF9jGPJeWh7bWVYuVEj7T6dtzJS9B1XXp6o3BqeJUnBrRyQ&#10;LvRy1De9br8OkxVg3oN/aJL4Md92j3H/zKfjXfokxOXFcr0FFvUS/2D41Sd1qMmpcROqwAzlvCBS&#10;wLrIM2AEFJssBdbQZJPmwOuK/3+h/gEAAP//AwBQSwECLQAUAAYACAAAACEAtoM4kv4AAADhAQAA&#10;EwAAAAAAAAAAAAAAAAAAAAAAW0NvbnRlbnRfVHlwZXNdLnhtbFBLAQItABQABgAIAAAAIQA4/SH/&#10;1gAAAJQBAAALAAAAAAAAAAAAAAAAAC8BAABfcmVscy8ucmVsc1BLAQItABQABgAIAAAAIQDaaUcE&#10;DwIAABwEAAAOAAAAAAAAAAAAAAAAAC4CAABkcnMvZTJvRG9jLnhtbFBLAQItABQABgAIAAAAIQBz&#10;FhI73wAAAAoBAAAPAAAAAAAAAAAAAAAAAGkEAABkcnMvZG93bnJldi54bWxQSwUGAAAAAAQABADz&#10;AAAAdQUAAAAA&#10;" filled="f" stroked="f" strokeweight=".5pt">
                    <v:textbox inset="0,0,0,0">
                      <w:txbxContent>
                        <w:p w14:paraId="51CAC13F" w14:textId="75A54CBB" w:rsidR="00281BB1" w:rsidRPr="009A240D" w:rsidRDefault="00181F77" w:rsidP="00281BB1">
                          <w:pPr>
                            <w:pStyle w:val="BodyText1"/>
                            <w:rPr>
                              <w:color w:val="FFFFFF" w:themeColor="background1"/>
                            </w:rPr>
                          </w:pPr>
                          <w:r>
                            <w:rPr>
                              <w:color w:val="FFFFFF" w:themeColor="background1"/>
                            </w:rPr>
                            <w:t>Version 2.0 – August 2025</w:t>
                          </w:r>
                        </w:p>
                      </w:txbxContent>
                    </v:textbox>
                    <w10:anchorlock/>
                  </v:shape>
                </w:pict>
              </mc:Fallback>
            </mc:AlternateContent>
          </w:r>
          <w:r w:rsidR="00181F77">
            <w:rPr>
              <w:b/>
              <w:bCs/>
              <w:color w:val="FFFFFF" w:themeColor="background1"/>
              <w:sz w:val="84"/>
              <w:szCs w:val="84"/>
            </w:rPr>
            <w:t xml:space="preserve">SEPA guidance: </w:t>
          </w:r>
          <w:r w:rsidR="00C24840">
            <w:rPr>
              <w:b/>
              <w:bCs/>
              <w:color w:val="FFFFFF" w:themeColor="background1"/>
              <w:sz w:val="84"/>
              <w:szCs w:val="84"/>
            </w:rPr>
            <w:t>R</w:t>
          </w:r>
          <w:r w:rsidR="00181F77">
            <w:rPr>
              <w:b/>
              <w:bCs/>
              <w:color w:val="FFFFFF" w:themeColor="background1"/>
              <w:sz w:val="84"/>
              <w:szCs w:val="84"/>
            </w:rPr>
            <w:t>ecovery and disposal of waste in quarries</w:t>
          </w:r>
        </w:p>
        <w:p w14:paraId="08AA963C" w14:textId="77777777" w:rsidR="008C1A73" w:rsidRPr="00CF7EFB" w:rsidRDefault="008C1A73" w:rsidP="00CF7EFB">
          <w:pPr>
            <w:rPr>
              <w:b/>
              <w:bCs/>
              <w:color w:val="FFFFFF" w:themeColor="background1"/>
              <w:sz w:val="84"/>
              <w:szCs w:val="84"/>
            </w:rPr>
          </w:pPr>
          <w:r>
            <w:br w:type="page"/>
          </w:r>
        </w:p>
      </w:sdtContent>
    </w:sdt>
    <w:sdt>
      <w:sdtPr>
        <w:rPr>
          <w:rFonts w:asciiTheme="majorHAnsi" w:eastAsiaTheme="majorEastAsia" w:hAnsiTheme="majorHAnsi" w:cstheme="majorBidi"/>
          <w:b/>
          <w:bCs/>
          <w:color w:val="016574" w:themeColor="accent2"/>
          <w:sz w:val="40"/>
          <w:szCs w:val="40"/>
        </w:rPr>
        <w:id w:val="1292030047"/>
        <w:docPartObj>
          <w:docPartGallery w:val="Table of Contents"/>
          <w:docPartUnique/>
        </w:docPartObj>
      </w:sdtPr>
      <w:sdtEndPr>
        <w:rPr>
          <w:color w:val="016574" w:themeColor="accent6"/>
        </w:rPr>
      </w:sdtEndPr>
      <w:sdtContent>
        <w:p w14:paraId="28C6192A" w14:textId="77777777" w:rsidR="003548CA" w:rsidRPr="00636826" w:rsidRDefault="003548CA" w:rsidP="003548CA">
          <w:pPr>
            <w:spacing w:after="240"/>
            <w:rPr>
              <w:rStyle w:val="Heading2Char"/>
              <w:rFonts w:eastAsiaTheme="minorEastAsia"/>
              <w:b w:val="0"/>
              <w:color w:val="auto"/>
              <w:sz w:val="24"/>
              <w:szCs w:val="24"/>
            </w:rPr>
          </w:pPr>
          <w:r w:rsidRPr="004B05C0">
            <w:rPr>
              <w:rStyle w:val="Heading2Char"/>
            </w:rPr>
            <w:t>Contents</w:t>
          </w:r>
        </w:p>
        <w:p w14:paraId="52C02245" w14:textId="6FCB2C47" w:rsidR="003548CA" w:rsidRPr="00F91E89" w:rsidRDefault="003548CA" w:rsidP="003548CA">
          <w:pPr>
            <w:pStyle w:val="TOC1"/>
            <w:rPr>
              <w:b w:val="0"/>
              <w:bCs w:val="0"/>
              <w:kern w:val="2"/>
              <w:sz w:val="24"/>
              <w:szCs w:val="24"/>
              <w:lang w:eastAsia="en-GB"/>
              <w14:ligatures w14:val="standardContextual"/>
            </w:rPr>
          </w:pPr>
          <w:r>
            <w:fldChar w:fldCharType="begin"/>
          </w:r>
          <w:r>
            <w:instrText>TOC \o "1-3" \z \u \h</w:instrText>
          </w:r>
          <w:r>
            <w:fldChar w:fldCharType="separate"/>
          </w:r>
          <w:hyperlink w:anchor="_Toc190856684" w:history="1">
            <w:r w:rsidRPr="00F91E89">
              <w:rPr>
                <w:rStyle w:val="Hyperlink"/>
                <w:b w:val="0"/>
                <w:bCs w:val="0"/>
                <w:sz w:val="24"/>
                <w:szCs w:val="24"/>
              </w:rPr>
              <w:t>Introduction</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_Toc190856684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2</w:t>
            </w:r>
            <w:r w:rsidRPr="00F91E89">
              <w:rPr>
                <w:b w:val="0"/>
                <w:bCs w:val="0"/>
                <w:webHidden/>
                <w:sz w:val="24"/>
                <w:szCs w:val="24"/>
              </w:rPr>
              <w:fldChar w:fldCharType="end"/>
            </w:r>
          </w:hyperlink>
        </w:p>
        <w:p w14:paraId="2FEF8BE1" w14:textId="17A5E354" w:rsidR="003548CA" w:rsidRPr="00F91E89" w:rsidRDefault="003548CA" w:rsidP="003548CA">
          <w:pPr>
            <w:pStyle w:val="TOC1"/>
            <w:rPr>
              <w:b w:val="0"/>
              <w:bCs w:val="0"/>
              <w:kern w:val="2"/>
              <w:sz w:val="24"/>
              <w:szCs w:val="24"/>
              <w:lang w:eastAsia="en-GB"/>
              <w14:ligatures w14:val="standardContextual"/>
            </w:rPr>
          </w:pPr>
          <w:hyperlink w:anchor="_Toc190856685" w:history="1">
            <w:r w:rsidRPr="00F91E89">
              <w:rPr>
                <w:rStyle w:val="Hyperlink"/>
                <w:rFonts w:eastAsia="Times New Roman"/>
                <w:b w:val="0"/>
                <w:bCs w:val="0"/>
                <w:sz w:val="24"/>
                <w:szCs w:val="24"/>
              </w:rPr>
              <w:t>Definitions</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_Toc190856685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2</w:t>
            </w:r>
            <w:r w:rsidRPr="00F91E89">
              <w:rPr>
                <w:b w:val="0"/>
                <w:bCs w:val="0"/>
                <w:webHidden/>
                <w:sz w:val="24"/>
                <w:szCs w:val="24"/>
              </w:rPr>
              <w:fldChar w:fldCharType="end"/>
            </w:r>
          </w:hyperlink>
        </w:p>
        <w:p w14:paraId="13D61646" w14:textId="02F5A94D" w:rsidR="003548CA" w:rsidRPr="00F91E89" w:rsidRDefault="003548CA" w:rsidP="003548CA">
          <w:pPr>
            <w:pStyle w:val="TOC2"/>
            <w:rPr>
              <w:noProof/>
              <w:kern w:val="2"/>
              <w:lang w:eastAsia="en-GB"/>
              <w14:ligatures w14:val="standardContextual"/>
            </w:rPr>
          </w:pPr>
          <w:hyperlink w:anchor="_Toc190856686" w:history="1">
            <w:r w:rsidRPr="00F91E89">
              <w:rPr>
                <w:rStyle w:val="Hyperlink"/>
                <w:rFonts w:eastAsia="Times New Roman"/>
                <w:noProof/>
              </w:rPr>
              <w:t>Definition of backfilling</w:t>
            </w:r>
            <w:r w:rsidRPr="00F91E89">
              <w:rPr>
                <w:noProof/>
                <w:webHidden/>
              </w:rPr>
              <w:tab/>
            </w:r>
            <w:r w:rsidRPr="00F91E89">
              <w:rPr>
                <w:noProof/>
                <w:webHidden/>
              </w:rPr>
              <w:fldChar w:fldCharType="begin"/>
            </w:r>
            <w:r w:rsidRPr="00F91E89">
              <w:rPr>
                <w:noProof/>
                <w:webHidden/>
              </w:rPr>
              <w:instrText xml:space="preserve"> PAGEREF _Toc190856686 \h </w:instrText>
            </w:r>
            <w:r w:rsidRPr="00F91E89">
              <w:rPr>
                <w:noProof/>
                <w:webHidden/>
              </w:rPr>
            </w:r>
            <w:r w:rsidRPr="00F91E89">
              <w:rPr>
                <w:noProof/>
                <w:webHidden/>
              </w:rPr>
              <w:fldChar w:fldCharType="separate"/>
            </w:r>
            <w:r w:rsidR="00F91E89">
              <w:rPr>
                <w:noProof/>
                <w:webHidden/>
              </w:rPr>
              <w:t>2</w:t>
            </w:r>
            <w:r w:rsidRPr="00F91E89">
              <w:rPr>
                <w:noProof/>
                <w:webHidden/>
              </w:rPr>
              <w:fldChar w:fldCharType="end"/>
            </w:r>
          </w:hyperlink>
        </w:p>
        <w:p w14:paraId="1721459D" w14:textId="189F4529" w:rsidR="003548CA" w:rsidRPr="00F91E89" w:rsidRDefault="003548CA" w:rsidP="003548CA">
          <w:pPr>
            <w:pStyle w:val="TOC2"/>
            <w:rPr>
              <w:noProof/>
              <w:kern w:val="2"/>
              <w:lang w:eastAsia="en-GB"/>
              <w14:ligatures w14:val="standardContextual"/>
            </w:rPr>
          </w:pPr>
          <w:hyperlink w:anchor="_Toc190856687" w:history="1">
            <w:r w:rsidRPr="00F91E89">
              <w:rPr>
                <w:rStyle w:val="Hyperlink"/>
                <w:rFonts w:eastAsia="Times New Roman"/>
                <w:noProof/>
              </w:rPr>
              <w:t>Definition of recovery</w:t>
            </w:r>
            <w:r w:rsidRPr="00F91E89">
              <w:rPr>
                <w:noProof/>
                <w:webHidden/>
              </w:rPr>
              <w:tab/>
            </w:r>
            <w:r w:rsidRPr="00F91E89">
              <w:rPr>
                <w:noProof/>
                <w:webHidden/>
              </w:rPr>
              <w:fldChar w:fldCharType="begin"/>
            </w:r>
            <w:r w:rsidRPr="00F91E89">
              <w:rPr>
                <w:noProof/>
                <w:webHidden/>
              </w:rPr>
              <w:instrText xml:space="preserve"> PAGEREF _Toc190856687 \h </w:instrText>
            </w:r>
            <w:r w:rsidRPr="00F91E89">
              <w:rPr>
                <w:noProof/>
                <w:webHidden/>
              </w:rPr>
            </w:r>
            <w:r w:rsidRPr="00F91E89">
              <w:rPr>
                <w:noProof/>
                <w:webHidden/>
              </w:rPr>
              <w:fldChar w:fldCharType="separate"/>
            </w:r>
            <w:r w:rsidR="00F91E89">
              <w:rPr>
                <w:noProof/>
                <w:webHidden/>
              </w:rPr>
              <w:t>2</w:t>
            </w:r>
            <w:r w:rsidRPr="00F91E89">
              <w:rPr>
                <w:noProof/>
                <w:webHidden/>
              </w:rPr>
              <w:fldChar w:fldCharType="end"/>
            </w:r>
          </w:hyperlink>
        </w:p>
        <w:p w14:paraId="727844C4" w14:textId="04017F41" w:rsidR="003548CA" w:rsidRPr="00F91E89" w:rsidRDefault="003548CA" w:rsidP="003548CA">
          <w:pPr>
            <w:pStyle w:val="TOC2"/>
            <w:rPr>
              <w:noProof/>
              <w:kern w:val="2"/>
              <w:lang w:eastAsia="en-GB"/>
              <w14:ligatures w14:val="standardContextual"/>
            </w:rPr>
          </w:pPr>
          <w:hyperlink w:anchor="_Toc190856688" w:history="1">
            <w:r w:rsidRPr="00F91E89">
              <w:rPr>
                <w:rStyle w:val="Hyperlink"/>
                <w:rFonts w:eastAsia="Times New Roman"/>
                <w:noProof/>
              </w:rPr>
              <w:t>Definition of disposal</w:t>
            </w:r>
            <w:r w:rsidRPr="00F91E89">
              <w:rPr>
                <w:noProof/>
                <w:webHidden/>
              </w:rPr>
              <w:tab/>
            </w:r>
            <w:r w:rsidRPr="00F91E89">
              <w:rPr>
                <w:noProof/>
                <w:webHidden/>
              </w:rPr>
              <w:fldChar w:fldCharType="begin"/>
            </w:r>
            <w:r w:rsidRPr="00F91E89">
              <w:rPr>
                <w:noProof/>
                <w:webHidden/>
              </w:rPr>
              <w:instrText xml:space="preserve"> PAGEREF _Toc190856688 \h </w:instrText>
            </w:r>
            <w:r w:rsidRPr="00F91E89">
              <w:rPr>
                <w:noProof/>
                <w:webHidden/>
              </w:rPr>
            </w:r>
            <w:r w:rsidRPr="00F91E89">
              <w:rPr>
                <w:noProof/>
                <w:webHidden/>
              </w:rPr>
              <w:fldChar w:fldCharType="separate"/>
            </w:r>
            <w:r w:rsidR="00F91E89">
              <w:rPr>
                <w:noProof/>
                <w:webHidden/>
              </w:rPr>
              <w:t>3</w:t>
            </w:r>
            <w:r w:rsidRPr="00F91E89">
              <w:rPr>
                <w:noProof/>
                <w:webHidden/>
              </w:rPr>
              <w:fldChar w:fldCharType="end"/>
            </w:r>
          </w:hyperlink>
        </w:p>
        <w:p w14:paraId="0AF2FDE8" w14:textId="47D58E48" w:rsidR="003548CA" w:rsidRPr="00F91E89" w:rsidRDefault="003548CA" w:rsidP="003548CA">
          <w:pPr>
            <w:pStyle w:val="TOC1"/>
            <w:rPr>
              <w:b w:val="0"/>
              <w:bCs w:val="0"/>
              <w:kern w:val="2"/>
              <w:sz w:val="24"/>
              <w:szCs w:val="24"/>
              <w:lang w:eastAsia="en-GB"/>
              <w14:ligatures w14:val="standardContextual"/>
            </w:rPr>
          </w:pPr>
          <w:hyperlink w:anchor="_Toc190856689" w:history="1">
            <w:r w:rsidRPr="00F91E89">
              <w:rPr>
                <w:rStyle w:val="Hyperlink"/>
                <w:rFonts w:eastAsia="Times New Roman"/>
                <w:b w:val="0"/>
                <w:bCs w:val="0"/>
                <w:sz w:val="24"/>
                <w:szCs w:val="24"/>
              </w:rPr>
              <w:t>Determining whether the proposal is recovery</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_Toc190856689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3</w:t>
            </w:r>
            <w:r w:rsidRPr="00F91E89">
              <w:rPr>
                <w:b w:val="0"/>
                <w:bCs w:val="0"/>
                <w:webHidden/>
                <w:sz w:val="24"/>
                <w:szCs w:val="24"/>
              </w:rPr>
              <w:fldChar w:fldCharType="end"/>
            </w:r>
          </w:hyperlink>
        </w:p>
        <w:p w14:paraId="27035392" w14:textId="42A94635" w:rsidR="003548CA" w:rsidRPr="00F91E89" w:rsidRDefault="003548CA" w:rsidP="003548CA">
          <w:pPr>
            <w:pStyle w:val="TOC2"/>
            <w:rPr>
              <w:noProof/>
              <w:kern w:val="2"/>
              <w:lang w:eastAsia="en-GB"/>
              <w14:ligatures w14:val="standardContextual"/>
            </w:rPr>
          </w:pPr>
          <w:hyperlink w:anchor="_Toc190856690" w:history="1">
            <w:r w:rsidRPr="00F91E89">
              <w:rPr>
                <w:rStyle w:val="Hyperlink"/>
                <w:rFonts w:eastAsia="Times New Roman"/>
                <w:noProof/>
              </w:rPr>
              <w:t>Do the works need to go ahead?</w:t>
            </w:r>
            <w:r w:rsidRPr="00F91E89">
              <w:rPr>
                <w:noProof/>
                <w:webHidden/>
              </w:rPr>
              <w:tab/>
            </w:r>
            <w:r w:rsidRPr="00F91E89">
              <w:rPr>
                <w:noProof/>
                <w:webHidden/>
              </w:rPr>
              <w:fldChar w:fldCharType="begin"/>
            </w:r>
            <w:r w:rsidRPr="00F91E89">
              <w:rPr>
                <w:noProof/>
                <w:webHidden/>
              </w:rPr>
              <w:instrText xml:space="preserve"> PAGEREF _Toc190856690 \h </w:instrText>
            </w:r>
            <w:r w:rsidRPr="00F91E89">
              <w:rPr>
                <w:noProof/>
                <w:webHidden/>
              </w:rPr>
            </w:r>
            <w:r w:rsidRPr="00F91E89">
              <w:rPr>
                <w:noProof/>
                <w:webHidden/>
              </w:rPr>
              <w:fldChar w:fldCharType="separate"/>
            </w:r>
            <w:r w:rsidR="00F91E89">
              <w:rPr>
                <w:noProof/>
                <w:webHidden/>
              </w:rPr>
              <w:t>4</w:t>
            </w:r>
            <w:r w:rsidRPr="00F91E89">
              <w:rPr>
                <w:noProof/>
                <w:webHidden/>
              </w:rPr>
              <w:fldChar w:fldCharType="end"/>
            </w:r>
          </w:hyperlink>
        </w:p>
        <w:p w14:paraId="45A9DAE9" w14:textId="5A6A478E" w:rsidR="003548CA" w:rsidRPr="00F91E89" w:rsidRDefault="003548CA" w:rsidP="003548CA">
          <w:pPr>
            <w:pStyle w:val="TOC2"/>
            <w:rPr>
              <w:noProof/>
              <w:kern w:val="2"/>
              <w:lang w:eastAsia="en-GB"/>
              <w14:ligatures w14:val="standardContextual"/>
            </w:rPr>
          </w:pPr>
          <w:hyperlink w:anchor="_Toc190856691" w:history="1">
            <w:r w:rsidRPr="00F91E89">
              <w:rPr>
                <w:rStyle w:val="Hyperlink"/>
                <w:rFonts w:eastAsia="Times New Roman"/>
                <w:noProof/>
              </w:rPr>
              <w:t>Extent of the works</w:t>
            </w:r>
            <w:r w:rsidRPr="00F91E89">
              <w:rPr>
                <w:noProof/>
                <w:webHidden/>
              </w:rPr>
              <w:tab/>
            </w:r>
            <w:r w:rsidRPr="00F91E89">
              <w:rPr>
                <w:noProof/>
                <w:webHidden/>
              </w:rPr>
              <w:fldChar w:fldCharType="begin"/>
            </w:r>
            <w:r w:rsidRPr="00F91E89">
              <w:rPr>
                <w:noProof/>
                <w:webHidden/>
              </w:rPr>
              <w:instrText xml:space="preserve"> PAGEREF _Toc190856691 \h </w:instrText>
            </w:r>
            <w:r w:rsidRPr="00F91E89">
              <w:rPr>
                <w:noProof/>
                <w:webHidden/>
              </w:rPr>
            </w:r>
            <w:r w:rsidRPr="00F91E89">
              <w:rPr>
                <w:noProof/>
                <w:webHidden/>
              </w:rPr>
              <w:fldChar w:fldCharType="separate"/>
            </w:r>
            <w:r w:rsidR="00F91E89">
              <w:rPr>
                <w:noProof/>
                <w:webHidden/>
              </w:rPr>
              <w:t>4</w:t>
            </w:r>
            <w:r w:rsidRPr="00F91E89">
              <w:rPr>
                <w:noProof/>
                <w:webHidden/>
              </w:rPr>
              <w:fldChar w:fldCharType="end"/>
            </w:r>
          </w:hyperlink>
        </w:p>
        <w:p w14:paraId="203FF271" w14:textId="057B86C0" w:rsidR="003548CA" w:rsidRPr="00F91E89" w:rsidRDefault="003548CA" w:rsidP="003548CA">
          <w:pPr>
            <w:pStyle w:val="TOC2"/>
            <w:rPr>
              <w:noProof/>
              <w:kern w:val="2"/>
              <w:lang w:eastAsia="en-GB"/>
              <w14:ligatures w14:val="standardContextual"/>
            </w:rPr>
          </w:pPr>
          <w:hyperlink w:anchor="_Toc190856692" w:history="1">
            <w:r w:rsidRPr="00F91E89">
              <w:rPr>
                <w:rStyle w:val="Hyperlink"/>
                <w:rFonts w:eastAsia="Times New Roman"/>
                <w:noProof/>
              </w:rPr>
              <w:t>Suitability for use</w:t>
            </w:r>
            <w:r w:rsidRPr="00F91E89">
              <w:rPr>
                <w:noProof/>
                <w:webHidden/>
              </w:rPr>
              <w:tab/>
            </w:r>
            <w:r w:rsidRPr="00F91E89">
              <w:rPr>
                <w:noProof/>
                <w:webHidden/>
              </w:rPr>
              <w:fldChar w:fldCharType="begin"/>
            </w:r>
            <w:r w:rsidRPr="00F91E89">
              <w:rPr>
                <w:noProof/>
                <w:webHidden/>
              </w:rPr>
              <w:instrText xml:space="preserve"> PAGEREF _Toc190856692 \h </w:instrText>
            </w:r>
            <w:r w:rsidRPr="00F91E89">
              <w:rPr>
                <w:noProof/>
                <w:webHidden/>
              </w:rPr>
            </w:r>
            <w:r w:rsidRPr="00F91E89">
              <w:rPr>
                <w:noProof/>
                <w:webHidden/>
              </w:rPr>
              <w:fldChar w:fldCharType="separate"/>
            </w:r>
            <w:r w:rsidR="00F91E89">
              <w:rPr>
                <w:noProof/>
                <w:webHidden/>
              </w:rPr>
              <w:t>5</w:t>
            </w:r>
            <w:r w:rsidRPr="00F91E89">
              <w:rPr>
                <w:noProof/>
                <w:webHidden/>
              </w:rPr>
              <w:fldChar w:fldCharType="end"/>
            </w:r>
          </w:hyperlink>
        </w:p>
        <w:p w14:paraId="50448BB4" w14:textId="36C19671" w:rsidR="003548CA" w:rsidRPr="00F91E89" w:rsidRDefault="003548CA" w:rsidP="003548CA">
          <w:pPr>
            <w:pStyle w:val="TOC1"/>
            <w:rPr>
              <w:b w:val="0"/>
              <w:bCs w:val="0"/>
              <w:kern w:val="2"/>
              <w:sz w:val="24"/>
              <w:szCs w:val="24"/>
              <w:lang w:eastAsia="en-GB"/>
              <w14:ligatures w14:val="standardContextual"/>
            </w:rPr>
          </w:pPr>
          <w:hyperlink w:anchor="_Toc190856693" w:history="1">
            <w:r w:rsidRPr="00F91E89">
              <w:rPr>
                <w:rStyle w:val="Hyperlink"/>
                <w:rFonts w:eastAsia="Times New Roman"/>
                <w:b w:val="0"/>
                <w:bCs w:val="0"/>
                <w:sz w:val="24"/>
                <w:szCs w:val="24"/>
              </w:rPr>
              <w:t>Viability</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_Toc190856693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5</w:t>
            </w:r>
            <w:r w:rsidRPr="00F91E89">
              <w:rPr>
                <w:b w:val="0"/>
                <w:bCs w:val="0"/>
                <w:webHidden/>
                <w:sz w:val="24"/>
                <w:szCs w:val="24"/>
              </w:rPr>
              <w:fldChar w:fldCharType="end"/>
            </w:r>
          </w:hyperlink>
        </w:p>
        <w:p w14:paraId="70B04A22" w14:textId="53100F16" w:rsidR="003548CA" w:rsidRPr="00F91E89" w:rsidRDefault="003548CA" w:rsidP="003548CA">
          <w:pPr>
            <w:pStyle w:val="TOC1"/>
            <w:rPr>
              <w:b w:val="0"/>
              <w:bCs w:val="0"/>
              <w:kern w:val="2"/>
              <w:sz w:val="24"/>
              <w:szCs w:val="24"/>
              <w:lang w:eastAsia="en-GB"/>
              <w14:ligatures w14:val="standardContextual"/>
            </w:rPr>
          </w:pPr>
          <w:hyperlink w:anchor="_Toc190856694" w:history="1">
            <w:r w:rsidRPr="00F91E89">
              <w:rPr>
                <w:rStyle w:val="Hyperlink"/>
                <w:rFonts w:eastAsia="Times New Roman"/>
                <w:b w:val="0"/>
                <w:bCs w:val="0"/>
                <w:sz w:val="24"/>
                <w:szCs w:val="24"/>
              </w:rPr>
              <w:t>Examples</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_Toc190856694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5</w:t>
            </w:r>
            <w:r w:rsidRPr="00F91E89">
              <w:rPr>
                <w:b w:val="0"/>
                <w:bCs w:val="0"/>
                <w:webHidden/>
                <w:sz w:val="24"/>
                <w:szCs w:val="24"/>
              </w:rPr>
              <w:fldChar w:fldCharType="end"/>
            </w:r>
          </w:hyperlink>
        </w:p>
        <w:p w14:paraId="36190113" w14:textId="47D417A6" w:rsidR="003548CA" w:rsidRPr="00F91E89" w:rsidRDefault="003548CA" w:rsidP="003548CA">
          <w:pPr>
            <w:pStyle w:val="TOC1"/>
            <w:rPr>
              <w:b w:val="0"/>
              <w:bCs w:val="0"/>
              <w:kern w:val="2"/>
              <w:sz w:val="24"/>
              <w:szCs w:val="24"/>
              <w:lang w:eastAsia="en-GB"/>
              <w14:ligatures w14:val="standardContextual"/>
            </w:rPr>
          </w:pPr>
          <w:hyperlink w:anchor="_Toc190856695" w:history="1">
            <w:r w:rsidRPr="00F91E89">
              <w:rPr>
                <w:rStyle w:val="Hyperlink"/>
                <w:rFonts w:eastAsia="Times New Roman"/>
                <w:b w:val="0"/>
                <w:bCs w:val="0"/>
                <w:sz w:val="24"/>
                <w:szCs w:val="24"/>
              </w:rPr>
              <w:t>Appendix 1 – Further detail on viability</w:t>
            </w:r>
            <w:r w:rsidRPr="00F91E89">
              <w:rPr>
                <w:b w:val="0"/>
                <w:bCs w:val="0"/>
                <w:webHidden/>
                <w:sz w:val="24"/>
                <w:szCs w:val="24"/>
              </w:rPr>
              <w:tab/>
            </w:r>
            <w:r w:rsidRPr="00F91E89">
              <w:rPr>
                <w:b w:val="0"/>
                <w:bCs w:val="0"/>
                <w:webHidden/>
                <w:sz w:val="24"/>
                <w:szCs w:val="24"/>
              </w:rPr>
              <w:fldChar w:fldCharType="begin"/>
            </w:r>
            <w:r w:rsidRPr="00F91E89">
              <w:rPr>
                <w:b w:val="0"/>
                <w:bCs w:val="0"/>
                <w:webHidden/>
                <w:sz w:val="24"/>
                <w:szCs w:val="24"/>
              </w:rPr>
              <w:instrText xml:space="preserve"> PAGEREF _Toc190856695 \h </w:instrText>
            </w:r>
            <w:r w:rsidRPr="00F91E89">
              <w:rPr>
                <w:b w:val="0"/>
                <w:bCs w:val="0"/>
                <w:webHidden/>
                <w:sz w:val="24"/>
                <w:szCs w:val="24"/>
              </w:rPr>
            </w:r>
            <w:r w:rsidRPr="00F91E89">
              <w:rPr>
                <w:b w:val="0"/>
                <w:bCs w:val="0"/>
                <w:webHidden/>
                <w:sz w:val="24"/>
                <w:szCs w:val="24"/>
              </w:rPr>
              <w:fldChar w:fldCharType="separate"/>
            </w:r>
            <w:r w:rsidR="00F91E89">
              <w:rPr>
                <w:b w:val="0"/>
                <w:bCs w:val="0"/>
                <w:webHidden/>
                <w:sz w:val="24"/>
                <w:szCs w:val="24"/>
              </w:rPr>
              <w:t>7</w:t>
            </w:r>
            <w:r w:rsidRPr="00F91E89">
              <w:rPr>
                <w:b w:val="0"/>
                <w:bCs w:val="0"/>
                <w:webHidden/>
                <w:sz w:val="24"/>
                <w:szCs w:val="24"/>
              </w:rPr>
              <w:fldChar w:fldCharType="end"/>
            </w:r>
          </w:hyperlink>
        </w:p>
        <w:p w14:paraId="784B0027" w14:textId="77777777" w:rsidR="003548CA" w:rsidRDefault="003548CA" w:rsidP="003548CA">
          <w:pPr>
            <w:pStyle w:val="Heading1"/>
          </w:pPr>
          <w:r>
            <w:fldChar w:fldCharType="end"/>
          </w:r>
        </w:p>
      </w:sdtContent>
    </w:sdt>
    <w:p w14:paraId="72293427" w14:textId="77777777" w:rsidR="00181F77" w:rsidRDefault="00181F77" w:rsidP="00181F77">
      <w:pPr>
        <w:spacing w:after="240"/>
      </w:pPr>
    </w:p>
    <w:p w14:paraId="7E3F0D06" w14:textId="77777777" w:rsidR="00857ED3" w:rsidRDefault="00857ED3" w:rsidP="00857ED3">
      <w:pPr>
        <w:pStyle w:val="BodyText1"/>
        <w:rPr>
          <w:rFonts w:eastAsia="Times New Roman"/>
          <w:sz w:val="32"/>
          <w:szCs w:val="32"/>
        </w:rPr>
      </w:pPr>
    </w:p>
    <w:p w14:paraId="5C8ED98E" w14:textId="77777777" w:rsidR="00857ED3" w:rsidRDefault="00857ED3" w:rsidP="00857ED3">
      <w:pPr>
        <w:pStyle w:val="BodyText1"/>
        <w:rPr>
          <w:rFonts w:eastAsia="Times New Roman"/>
          <w:sz w:val="32"/>
          <w:szCs w:val="32"/>
        </w:rPr>
      </w:pPr>
    </w:p>
    <w:p w14:paraId="154CF127" w14:textId="77777777" w:rsidR="00857ED3" w:rsidRDefault="00857ED3" w:rsidP="00857ED3">
      <w:pPr>
        <w:pStyle w:val="BodyText1"/>
        <w:rPr>
          <w:rFonts w:eastAsia="Times New Roman"/>
          <w:sz w:val="32"/>
          <w:szCs w:val="32"/>
        </w:rPr>
      </w:pPr>
    </w:p>
    <w:p w14:paraId="78A5317B" w14:textId="6F3D149E" w:rsidR="00857ED3" w:rsidRPr="0020743F" w:rsidRDefault="00857ED3" w:rsidP="00857ED3">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1352350C" w14:textId="614395FD" w:rsidR="00934526" w:rsidRDefault="006151C3" w:rsidP="00B364E6">
      <w:pPr>
        <w:pStyle w:val="Heading1"/>
        <w:spacing w:line="360" w:lineRule="auto"/>
      </w:pPr>
      <w:bookmarkStart w:id="0" w:name="_Toc190856684"/>
      <w:r>
        <w:lastRenderedPageBreak/>
        <w:t>Introduction</w:t>
      </w:r>
      <w:bookmarkEnd w:id="0"/>
    </w:p>
    <w:p w14:paraId="71C7E913" w14:textId="64A053BF" w:rsidR="006151C3" w:rsidRPr="006151C3" w:rsidRDefault="092BF983" w:rsidP="00B364E6">
      <w:pPr>
        <w:spacing w:after="240"/>
      </w:pPr>
      <w:r>
        <w:t>This guidance provides advice on when the</w:t>
      </w:r>
      <w:r w:rsidR="00D02DB9">
        <w:t xml:space="preserve"> backfill</w:t>
      </w:r>
      <w:r>
        <w:t xml:space="preserve"> infill or restoration of a quarry using waste is likely to be a recovery or a disposal operation</w:t>
      </w:r>
      <w:r w:rsidR="105DAFFC">
        <w:t xml:space="preserve"> and </w:t>
      </w:r>
      <w:commentRangeStart w:id="1"/>
      <w:commentRangeStart w:id="2"/>
      <w:r w:rsidR="6B8E6D19">
        <w:t>may</w:t>
      </w:r>
      <w:r w:rsidR="105DAFFC">
        <w:t xml:space="preserve"> be read in conjunction with SEPA’s guidance on waste recovery plans</w:t>
      </w:r>
      <w:commentRangeEnd w:id="1"/>
      <w:r>
        <w:rPr>
          <w:rStyle w:val="CommentReference"/>
        </w:rPr>
        <w:commentReference w:id="1"/>
      </w:r>
      <w:commentRangeEnd w:id="2"/>
      <w:r>
        <w:rPr>
          <w:rStyle w:val="CommentReference"/>
        </w:rPr>
        <w:commentReference w:id="2"/>
      </w:r>
      <w:r w:rsidR="4834243E">
        <w:t>.</w:t>
      </w:r>
      <w:r>
        <w:t xml:space="preserve"> </w:t>
      </w:r>
      <w:r w:rsidR="4834243E">
        <w:t xml:space="preserve">Although aimed at </w:t>
      </w:r>
      <w:r>
        <w:t>quarries</w:t>
      </w:r>
      <w:r w:rsidR="4834243E">
        <w:t>,</w:t>
      </w:r>
      <w:r>
        <w:t xml:space="preserve"> the principles </w:t>
      </w:r>
      <w:r w:rsidR="4834243E">
        <w:t xml:space="preserve">in this guidance </w:t>
      </w:r>
      <w:r>
        <w:t>will apply to other situations where it is important to establish whether an activity is a recovery or disposal activity</w:t>
      </w:r>
      <w:r w:rsidR="4834243E">
        <w:t>, for example infilling former reservoirs</w:t>
      </w:r>
      <w:r>
        <w:t>.</w:t>
      </w:r>
    </w:p>
    <w:p w14:paraId="4982207A" w14:textId="41817558" w:rsidR="00934526" w:rsidRPr="00934526" w:rsidRDefault="003C7A88" w:rsidP="00B364E6">
      <w:pPr>
        <w:pStyle w:val="Heading1"/>
        <w:spacing w:line="360" w:lineRule="auto"/>
        <w:rPr>
          <w:rFonts w:eastAsia="Times New Roman"/>
        </w:rPr>
      </w:pPr>
      <w:bookmarkStart w:id="3" w:name="_Toc190856685"/>
      <w:r w:rsidRPr="275C34C9">
        <w:rPr>
          <w:rFonts w:eastAsia="Times New Roman"/>
        </w:rPr>
        <w:t>Definitions</w:t>
      </w:r>
      <w:bookmarkEnd w:id="3"/>
    </w:p>
    <w:p w14:paraId="29A68B9E" w14:textId="54864F89" w:rsidR="00E22FE7" w:rsidRDefault="006151C3" w:rsidP="00B364E6">
      <w:pPr>
        <w:pStyle w:val="BodyText1"/>
        <w:rPr>
          <w:rFonts w:eastAsia="Times New Roman"/>
        </w:rPr>
      </w:pPr>
      <w:r w:rsidRPr="4CD87B86">
        <w:rPr>
          <w:rFonts w:eastAsia="Times New Roman"/>
        </w:rPr>
        <w:t xml:space="preserve">The use of waste to </w:t>
      </w:r>
      <w:r w:rsidR="00D02DB9">
        <w:rPr>
          <w:rFonts w:eastAsia="Times New Roman"/>
        </w:rPr>
        <w:t>back</w:t>
      </w:r>
      <w:r w:rsidRPr="4CD87B86">
        <w:rPr>
          <w:rFonts w:eastAsia="Times New Roman"/>
        </w:rPr>
        <w:t>fill or restore a quarry can be</w:t>
      </w:r>
      <w:r w:rsidR="003C7A88" w:rsidRPr="4CD87B86">
        <w:rPr>
          <w:rFonts w:eastAsia="Times New Roman"/>
        </w:rPr>
        <w:t xml:space="preserve"> defined as</w:t>
      </w:r>
      <w:r w:rsidRPr="4CD87B86">
        <w:rPr>
          <w:rFonts w:eastAsia="Times New Roman"/>
        </w:rPr>
        <w:t xml:space="preserve"> either a recovery operation or a disposal operation and it is important to establish which as this affects how SEPA will authorise the activity. </w:t>
      </w:r>
      <w:r w:rsidR="00600DFC" w:rsidRPr="4CD87B86">
        <w:rPr>
          <w:rFonts w:eastAsia="Times New Roman"/>
        </w:rPr>
        <w:t xml:space="preserve">To carry out any kind of activity that involves </w:t>
      </w:r>
      <w:r w:rsidR="00E22FE7">
        <w:rPr>
          <w:rFonts w:eastAsia="Times New Roman"/>
        </w:rPr>
        <w:t>back</w:t>
      </w:r>
      <w:r w:rsidR="00600DFC" w:rsidRPr="4CD87B86">
        <w:rPr>
          <w:rFonts w:eastAsia="Times New Roman"/>
        </w:rPr>
        <w:t xml:space="preserve">filling of quarries, </w:t>
      </w:r>
      <w:r w:rsidR="008929DF" w:rsidRPr="4CD87B86">
        <w:rPr>
          <w:rFonts w:eastAsia="Times New Roman"/>
        </w:rPr>
        <w:t xml:space="preserve">whether recovery or disposal, </w:t>
      </w:r>
      <w:r w:rsidR="00600DFC" w:rsidRPr="4CD87B86">
        <w:rPr>
          <w:rFonts w:eastAsia="Times New Roman"/>
        </w:rPr>
        <w:t>a permit is likely to be required</w:t>
      </w:r>
      <w:r w:rsidR="2CBD39E1" w:rsidRPr="4CD87B86">
        <w:rPr>
          <w:rFonts w:eastAsia="Times New Roman"/>
        </w:rPr>
        <w:t xml:space="preserve"> due to the scale of the project</w:t>
      </w:r>
      <w:r w:rsidR="00600DFC" w:rsidRPr="4CD87B86">
        <w:rPr>
          <w:rFonts w:eastAsia="Times New Roman"/>
        </w:rPr>
        <w:t>.</w:t>
      </w:r>
    </w:p>
    <w:p w14:paraId="2C148019" w14:textId="3DB97EA2" w:rsidR="00DA5DC2" w:rsidRDefault="00DA5DC2" w:rsidP="00B364E6">
      <w:pPr>
        <w:pStyle w:val="Heading2"/>
        <w:spacing w:line="360" w:lineRule="auto"/>
        <w:rPr>
          <w:rFonts w:eastAsia="Times New Roman"/>
        </w:rPr>
      </w:pPr>
      <w:bookmarkStart w:id="4" w:name="_Toc190856686"/>
      <w:r>
        <w:rPr>
          <w:rFonts w:eastAsia="Times New Roman"/>
        </w:rPr>
        <w:t>Definition of backfilling</w:t>
      </w:r>
      <w:bookmarkEnd w:id="4"/>
    </w:p>
    <w:p w14:paraId="656701F6" w14:textId="4687CEAC" w:rsidR="00DA5DC2" w:rsidRDefault="00673BC5" w:rsidP="00DA5DC2">
      <w:r>
        <w:t>“</w:t>
      </w:r>
      <w:r w:rsidR="00DA5DC2">
        <w:t>B</w:t>
      </w:r>
      <w:r w:rsidR="00DA5DC2" w:rsidRPr="00DA5DC2">
        <w:t>ackfilling</w:t>
      </w:r>
      <w:r>
        <w:t>”</w:t>
      </w:r>
      <w:r w:rsidR="00DA5DC2" w:rsidRPr="00DA5DC2">
        <w:t> means any recovery operation where suitable non-hazardous waste is used for purposes of reclamation in excavated areas or for engineering purposes in landscaping. Waste used for backfilling must substitute non-waste materials, be suitable for the aforementioned purposes, and be limited to the amount strictly necessary to achieve those purposes</w:t>
      </w:r>
      <w:r w:rsidR="00DA5DC2">
        <w:t>.</w:t>
      </w:r>
    </w:p>
    <w:p w14:paraId="76986887" w14:textId="77777777" w:rsidR="00DA5DC2" w:rsidRPr="00DA5DC2" w:rsidRDefault="00DA5DC2" w:rsidP="00DA5DC2"/>
    <w:p w14:paraId="7FB80FBC" w14:textId="3EC1CE4F" w:rsidR="00214189" w:rsidRDefault="00236378" w:rsidP="00B364E6">
      <w:pPr>
        <w:pStyle w:val="Heading2"/>
        <w:spacing w:line="360" w:lineRule="auto"/>
        <w:rPr>
          <w:rFonts w:eastAsia="Times New Roman"/>
        </w:rPr>
      </w:pPr>
      <w:bookmarkStart w:id="5" w:name="_Toc190856687"/>
      <w:r>
        <w:rPr>
          <w:rFonts w:eastAsia="Times New Roman"/>
        </w:rPr>
        <w:t>Definition of recovery</w:t>
      </w:r>
      <w:bookmarkEnd w:id="5"/>
    </w:p>
    <w:p w14:paraId="2D4EA62D" w14:textId="5BB2F90B" w:rsidR="00934526" w:rsidRDefault="006151C3" w:rsidP="00B364E6">
      <w:pPr>
        <w:pStyle w:val="BodyText1"/>
        <w:rPr>
          <w:rFonts w:eastAsia="Times New Roman"/>
        </w:rPr>
      </w:pPr>
      <w:r w:rsidRPr="006151C3">
        <w:rPr>
          <w:rFonts w:eastAsia="Times New Roman"/>
        </w:rPr>
        <w:t xml:space="preserve">“Recovery” is defined as “any operation the principal result of which is waste serving a useful </w:t>
      </w:r>
      <w:r w:rsidRPr="275C34C9">
        <w:rPr>
          <w:rFonts w:eastAsia="Times New Roman"/>
        </w:rPr>
        <w:t>purpose by replacing other materials which would otherwise have been used to fulfil a particular function, or waste being prepared to fulfil that function, in the plant or in the wider economy.</w:t>
      </w:r>
      <w:r w:rsidR="00AA7248">
        <w:rPr>
          <w:rFonts w:eastAsia="Times New Roman"/>
        </w:rPr>
        <w:t>”</w:t>
      </w:r>
      <w:r w:rsidRPr="275C34C9">
        <w:rPr>
          <w:rFonts w:eastAsia="Times New Roman"/>
        </w:rPr>
        <w:t xml:space="preserve"> </w:t>
      </w:r>
    </w:p>
    <w:p w14:paraId="01B9FEA1" w14:textId="3DC780E7" w:rsidR="00901D4B" w:rsidRDefault="00901D4B" w:rsidP="00B364E6">
      <w:pPr>
        <w:pStyle w:val="BodyText1"/>
        <w:rPr>
          <w:rFonts w:eastAsia="Times New Roman"/>
        </w:rPr>
      </w:pPr>
      <w:r w:rsidRPr="275C34C9">
        <w:rPr>
          <w:rFonts w:eastAsia="Times New Roman"/>
        </w:rPr>
        <w:t xml:space="preserve">For an activity to be considered recovery, it must be shown that the waste is being used instead of other non-waste material, which would otherwise have been used for the same purpose and to the same extent. </w:t>
      </w:r>
    </w:p>
    <w:p w14:paraId="601F4EC4" w14:textId="089E5B18" w:rsidR="00236378" w:rsidRDefault="00236378" w:rsidP="00B364E6">
      <w:pPr>
        <w:pStyle w:val="Heading2"/>
        <w:spacing w:line="360" w:lineRule="auto"/>
        <w:rPr>
          <w:rFonts w:eastAsia="Times New Roman"/>
        </w:rPr>
      </w:pPr>
      <w:bookmarkStart w:id="6" w:name="_Toc190856688"/>
      <w:r>
        <w:rPr>
          <w:rFonts w:eastAsia="Times New Roman"/>
        </w:rPr>
        <w:lastRenderedPageBreak/>
        <w:t>Definition of disposal</w:t>
      </w:r>
      <w:bookmarkEnd w:id="6"/>
    </w:p>
    <w:p w14:paraId="2BF7317E" w14:textId="53CCBA02" w:rsidR="00401CAD" w:rsidRDefault="00401CAD" w:rsidP="00B364E6">
      <w:pPr>
        <w:pStyle w:val="BodyText1"/>
        <w:rPr>
          <w:rFonts w:eastAsia="Times New Roman"/>
        </w:rPr>
      </w:pPr>
      <w:r>
        <w:rPr>
          <w:rFonts w:eastAsia="Times New Roman"/>
        </w:rPr>
        <w:t>“D</w:t>
      </w:r>
      <w:r w:rsidRPr="00401CAD">
        <w:rPr>
          <w:rFonts w:eastAsia="Times New Roman"/>
        </w:rPr>
        <w:t xml:space="preserve">isposal” in relation to waste, means </w:t>
      </w:r>
      <w:r w:rsidR="00AF176B">
        <w:rPr>
          <w:rFonts w:eastAsia="Times New Roman"/>
        </w:rPr>
        <w:t>“</w:t>
      </w:r>
      <w:r w:rsidRPr="00401CAD">
        <w:rPr>
          <w:rFonts w:eastAsia="Times New Roman"/>
        </w:rPr>
        <w:t>any operation which is not recovery even where the operation has as a secondary consequence the reclamation of substances or energy</w:t>
      </w:r>
      <w:r w:rsidR="00112D77">
        <w:rPr>
          <w:rFonts w:eastAsia="Times New Roman"/>
        </w:rPr>
        <w:t>”</w:t>
      </w:r>
      <w:r w:rsidRPr="00401CAD">
        <w:rPr>
          <w:rFonts w:eastAsia="Times New Roman"/>
        </w:rPr>
        <w:t xml:space="preserve"> and includes, but is not limited to, the activities listed in Annex I of the Waste Framework Directive</w:t>
      </w:r>
      <w:r w:rsidR="00F11438">
        <w:rPr>
          <w:rFonts w:eastAsia="Times New Roman"/>
        </w:rPr>
        <w:t>.</w:t>
      </w:r>
    </w:p>
    <w:p w14:paraId="34BF3070" w14:textId="53ECF2A1" w:rsidR="00901D4B" w:rsidRDefault="00901D4B" w:rsidP="00B364E6">
      <w:pPr>
        <w:pStyle w:val="BodyText1"/>
        <w:rPr>
          <w:rFonts w:eastAsia="Times New Roman"/>
        </w:rPr>
      </w:pPr>
      <w:r w:rsidRPr="4CD87B86">
        <w:rPr>
          <w:rFonts w:eastAsia="Times New Roman"/>
        </w:rPr>
        <w:t xml:space="preserve">If it cannot be shown that the waste is needed to replace non-waste material, the activity will be considered a waste disposal operation. A disposal operation to infill a quarry would be classified as a landfill and would require a different permit. </w:t>
      </w:r>
    </w:p>
    <w:p w14:paraId="4D2FB2E0" w14:textId="304D64D0" w:rsidR="00901D4B" w:rsidRPr="00901D4B" w:rsidDel="008604EB" w:rsidRDefault="00D3587E" w:rsidP="00B364E6">
      <w:pPr>
        <w:pStyle w:val="BodyText1"/>
        <w:rPr>
          <w:rFonts w:eastAsia="Times New Roman"/>
        </w:rPr>
      </w:pPr>
      <w:r w:rsidRPr="4CD87B86">
        <w:rPr>
          <w:rFonts w:eastAsia="Times New Roman"/>
        </w:rPr>
        <w:t>T</w:t>
      </w:r>
      <w:r w:rsidR="00901D4B" w:rsidRPr="4CD87B86">
        <w:rPr>
          <w:rFonts w:eastAsia="Times New Roman"/>
        </w:rPr>
        <w:t>o be a recovery operation, a two</w:t>
      </w:r>
      <w:r w:rsidR="005448AA" w:rsidRPr="4CD87B86">
        <w:rPr>
          <w:rFonts w:eastAsia="Times New Roman"/>
        </w:rPr>
        <w:t>-</w:t>
      </w:r>
      <w:r w:rsidR="00901D4B" w:rsidRPr="4CD87B86">
        <w:rPr>
          <w:rFonts w:eastAsia="Times New Roman"/>
        </w:rPr>
        <w:t xml:space="preserve">stage test must be applied (as reiterated by the ECJ in case of </w:t>
      </w:r>
      <w:proofErr w:type="spellStart"/>
      <w:r w:rsidR="00901D4B" w:rsidRPr="4CD87B86">
        <w:rPr>
          <w:rFonts w:eastAsia="Times New Roman"/>
        </w:rPr>
        <w:t>Cittá</w:t>
      </w:r>
      <w:proofErr w:type="spellEnd"/>
      <w:r w:rsidR="00901D4B" w:rsidRPr="4CD87B86">
        <w:rPr>
          <w:rFonts w:eastAsia="Times New Roman"/>
        </w:rPr>
        <w:t xml:space="preserve"> </w:t>
      </w:r>
      <w:proofErr w:type="spellStart"/>
      <w:r w:rsidR="00901D4B" w:rsidRPr="4CD87B86">
        <w:rPr>
          <w:rFonts w:eastAsia="Times New Roman"/>
        </w:rPr>
        <w:t>Metropolitana</w:t>
      </w:r>
      <w:proofErr w:type="spellEnd"/>
      <w:r w:rsidR="00901D4B" w:rsidRPr="4CD87B86">
        <w:rPr>
          <w:rFonts w:eastAsia="Times New Roman"/>
        </w:rPr>
        <w:t xml:space="preserve"> Di Bari v </w:t>
      </w:r>
      <w:proofErr w:type="spellStart"/>
      <w:r w:rsidR="00901D4B" w:rsidRPr="4CD87B86">
        <w:rPr>
          <w:rFonts w:eastAsia="Times New Roman"/>
        </w:rPr>
        <w:t>Edilizia</w:t>
      </w:r>
      <w:proofErr w:type="spellEnd"/>
      <w:r w:rsidR="00901D4B" w:rsidRPr="4CD87B86">
        <w:rPr>
          <w:rFonts w:eastAsia="Times New Roman"/>
        </w:rPr>
        <w:t xml:space="preserve"> Mastrodonato </w:t>
      </w:r>
      <w:proofErr w:type="spellStart"/>
      <w:r w:rsidR="00901D4B" w:rsidRPr="4CD87B86">
        <w:rPr>
          <w:rFonts w:eastAsia="Times New Roman"/>
        </w:rPr>
        <w:t>srl</w:t>
      </w:r>
      <w:proofErr w:type="spellEnd"/>
      <w:r w:rsidR="00901D4B" w:rsidRPr="4CD87B86">
        <w:rPr>
          <w:rFonts w:eastAsia="Times New Roman"/>
        </w:rPr>
        <w:t xml:space="preserve"> Case C-147/15 28 July 2016). </w:t>
      </w:r>
    </w:p>
    <w:p w14:paraId="79299202" w14:textId="200009AF" w:rsidR="00901D4B" w:rsidRPr="00901D4B" w:rsidDel="008604EB" w:rsidRDefault="00901D4B" w:rsidP="00B364E6">
      <w:pPr>
        <w:pStyle w:val="BodyText1"/>
        <w:rPr>
          <w:rFonts w:eastAsia="Times New Roman"/>
        </w:rPr>
      </w:pPr>
      <w:r w:rsidRPr="4CD87B86">
        <w:rPr>
          <w:rFonts w:eastAsia="Times New Roman"/>
        </w:rPr>
        <w:t xml:space="preserve">Firstly, would the operator still proceed with the proposed operation even if they had to refrain from using waste in doing so? Secondly, is the waste proposed for use suitable for that use? The responsibility for determining whether the proposed operation satisfies that test lies with the appropriate regulatory agency. </w:t>
      </w:r>
      <w:r w:rsidR="213BE1E8" w:rsidRPr="4CD87B86">
        <w:rPr>
          <w:rFonts w:eastAsia="Times New Roman"/>
        </w:rPr>
        <w:t>To</w:t>
      </w:r>
      <w:r w:rsidRPr="4CD87B86">
        <w:rPr>
          <w:rFonts w:eastAsia="Times New Roman"/>
        </w:rPr>
        <w:t xml:space="preserve"> assess whether a proposal to infill a quarry with waste is a recovery or a disposal operation SEPA will take into consideration all the circumstances surrounding the proposed operation.</w:t>
      </w:r>
    </w:p>
    <w:p w14:paraId="76DFAF3F" w14:textId="07C1020A" w:rsidR="00901D4B" w:rsidRPr="00934526" w:rsidRDefault="00901D4B" w:rsidP="00B364E6">
      <w:pPr>
        <w:pStyle w:val="BodyText1"/>
        <w:rPr>
          <w:rFonts w:eastAsia="Times New Roman"/>
        </w:rPr>
      </w:pPr>
      <w:r w:rsidRPr="4CD87B86">
        <w:rPr>
          <w:rFonts w:eastAsia="Times New Roman"/>
        </w:rPr>
        <w:t>Scottish Landfill Tax may or may not be applicable to infilling operations at fo</w:t>
      </w:r>
      <w:r w:rsidR="001965E4" w:rsidRPr="4CD87B86">
        <w:rPr>
          <w:rFonts w:eastAsia="Times New Roman"/>
        </w:rPr>
        <w:t>r</w:t>
      </w:r>
      <w:r w:rsidRPr="4CD87B86">
        <w:rPr>
          <w:rFonts w:eastAsia="Times New Roman"/>
        </w:rPr>
        <w:t xml:space="preserve">mer quarries. This is not a determining factor for SEPA, </w:t>
      </w:r>
      <w:r w:rsidR="0EC11894" w:rsidRPr="4CD87B86">
        <w:rPr>
          <w:rFonts w:eastAsia="Times New Roman"/>
        </w:rPr>
        <w:t>regarding</w:t>
      </w:r>
      <w:r w:rsidRPr="4CD87B86">
        <w:rPr>
          <w:rFonts w:eastAsia="Times New Roman"/>
        </w:rPr>
        <w:t xml:space="preserve"> whether an activity is considered recovery or disposal. However</w:t>
      </w:r>
      <w:r w:rsidR="001965E4" w:rsidRPr="4CD87B86">
        <w:rPr>
          <w:rFonts w:eastAsia="Times New Roman"/>
        </w:rPr>
        <w:t>,</w:t>
      </w:r>
      <w:r w:rsidRPr="4CD87B86">
        <w:rPr>
          <w:rFonts w:eastAsia="Times New Roman"/>
        </w:rPr>
        <w:t xml:space="preserve"> it may have a significant impact on the operator/applicant, therefore they should be advised to discuss their proposals with Revenue Scotland (www.revenue.scot) to understand any potential tax implications. Revenue Scotland reserve the right to tax any materials used to infill quarries that are not listed in The Scottish Landfill Tax (Qualifying Material) Order 2016.</w:t>
      </w:r>
    </w:p>
    <w:p w14:paraId="3D49DCD2" w14:textId="2DDB2F0A" w:rsidR="00934526" w:rsidRPr="00934526" w:rsidRDefault="00D3587E" w:rsidP="00B364E6">
      <w:pPr>
        <w:pStyle w:val="Heading1"/>
        <w:spacing w:line="360" w:lineRule="auto"/>
        <w:rPr>
          <w:rFonts w:eastAsia="Times New Roman"/>
        </w:rPr>
      </w:pPr>
      <w:bookmarkStart w:id="7" w:name="_Toc190856689"/>
      <w:r>
        <w:rPr>
          <w:rFonts w:eastAsia="Times New Roman"/>
        </w:rPr>
        <w:t>Determining whether the proposal is recovery</w:t>
      </w:r>
      <w:bookmarkEnd w:id="7"/>
    </w:p>
    <w:p w14:paraId="21C11132" w14:textId="36A07FB2" w:rsidR="00FD2F37" w:rsidRDefault="00E65D04" w:rsidP="00B364E6">
      <w:pPr>
        <w:spacing w:after="240"/>
        <w:rPr>
          <w:rFonts w:eastAsia="Times New Roman"/>
        </w:rPr>
      </w:pPr>
      <w:r w:rsidRPr="42D5AABC">
        <w:rPr>
          <w:rFonts w:eastAsia="Times New Roman"/>
        </w:rPr>
        <w:t xml:space="preserve">We </w:t>
      </w:r>
      <w:r w:rsidR="00DD77F4" w:rsidRPr="42D5AABC">
        <w:rPr>
          <w:rFonts w:eastAsia="Times New Roman"/>
        </w:rPr>
        <w:t xml:space="preserve">will </w:t>
      </w:r>
      <w:r w:rsidR="002D27F2" w:rsidRPr="42D5AABC">
        <w:rPr>
          <w:rFonts w:eastAsia="Times New Roman"/>
        </w:rPr>
        <w:t xml:space="preserve">determine </w:t>
      </w:r>
      <w:r w:rsidR="00DD77F4" w:rsidRPr="42D5AABC">
        <w:rPr>
          <w:rFonts w:eastAsia="Times New Roman"/>
        </w:rPr>
        <w:t xml:space="preserve">whether a proposal constitutes recovery </w:t>
      </w:r>
      <w:r w:rsidR="00B64834" w:rsidRPr="42D5AABC">
        <w:rPr>
          <w:rFonts w:eastAsia="Times New Roman"/>
        </w:rPr>
        <w:t xml:space="preserve">or disposal </w:t>
      </w:r>
      <w:r w:rsidR="002D27F2" w:rsidRPr="42D5AABC">
        <w:rPr>
          <w:rFonts w:eastAsia="Times New Roman"/>
        </w:rPr>
        <w:t xml:space="preserve">using </w:t>
      </w:r>
      <w:r w:rsidR="00DD77F4" w:rsidRPr="42D5AABC">
        <w:rPr>
          <w:rFonts w:eastAsia="Times New Roman"/>
        </w:rPr>
        <w:t>the indicators</w:t>
      </w:r>
      <w:r w:rsidR="002D27F2" w:rsidRPr="42D5AABC">
        <w:rPr>
          <w:rFonts w:eastAsia="Times New Roman"/>
        </w:rPr>
        <w:t xml:space="preserve"> below</w:t>
      </w:r>
      <w:r w:rsidR="00DD77F4" w:rsidRPr="42D5AABC">
        <w:rPr>
          <w:rFonts w:eastAsia="Times New Roman"/>
        </w:rPr>
        <w:t xml:space="preserve">. </w:t>
      </w:r>
    </w:p>
    <w:p w14:paraId="2EA68301" w14:textId="5AEF34EB" w:rsidR="00DD77F4" w:rsidRDefault="000B4A35" w:rsidP="00B364E6">
      <w:pPr>
        <w:pStyle w:val="Heading2"/>
        <w:spacing w:line="360" w:lineRule="auto"/>
        <w:rPr>
          <w:rFonts w:eastAsia="Times New Roman"/>
        </w:rPr>
      </w:pPr>
      <w:bookmarkStart w:id="8" w:name="_Toc190856690"/>
      <w:r>
        <w:rPr>
          <w:rFonts w:eastAsia="Times New Roman"/>
        </w:rPr>
        <w:lastRenderedPageBreak/>
        <w:t>Do</w:t>
      </w:r>
      <w:r w:rsidR="00DD77F4">
        <w:rPr>
          <w:rFonts w:eastAsia="Times New Roman"/>
        </w:rPr>
        <w:t xml:space="preserve"> the works </w:t>
      </w:r>
      <w:r>
        <w:rPr>
          <w:rFonts w:eastAsia="Times New Roman"/>
        </w:rPr>
        <w:t xml:space="preserve">need </w:t>
      </w:r>
      <w:r w:rsidR="00DD77F4">
        <w:rPr>
          <w:rFonts w:eastAsia="Times New Roman"/>
        </w:rPr>
        <w:t>to go ahead?</w:t>
      </w:r>
      <w:bookmarkEnd w:id="8"/>
    </w:p>
    <w:p w14:paraId="70C73889" w14:textId="57615D75" w:rsidR="008E7795" w:rsidRDefault="002D27F2" w:rsidP="00B364E6">
      <w:pPr>
        <w:spacing w:after="240"/>
      </w:pPr>
      <w:r>
        <w:t>You</w:t>
      </w:r>
      <w:r w:rsidR="008E7795">
        <w:t xml:space="preserve"> should be able to demonstrate the restoration work is necessary. This may include, for example, a condition as part of planning consent. </w:t>
      </w:r>
      <w:r w:rsidR="3293F53D">
        <w:t>However,</w:t>
      </w:r>
      <w:r w:rsidR="008E7795">
        <w:t xml:space="preserve"> the presence of a restoration </w:t>
      </w:r>
      <w:r w:rsidR="00204271">
        <w:t>c</w:t>
      </w:r>
      <w:r w:rsidR="008E7795">
        <w:t xml:space="preserve">ondition alone is not </w:t>
      </w:r>
      <w:r w:rsidR="00BF0314">
        <w:t>enough</w:t>
      </w:r>
      <w:r w:rsidR="008E7795">
        <w:t xml:space="preserve"> to definit</w:t>
      </w:r>
      <w:r w:rsidR="00194E44">
        <w:t>iv</w:t>
      </w:r>
      <w:r w:rsidR="008E7795">
        <w:t>ely demonstrate recovery, as this would not guarantee the work will go ahead</w:t>
      </w:r>
      <w:r w:rsidR="00E65D04">
        <w:t>,</w:t>
      </w:r>
      <w:r w:rsidR="008E7795">
        <w:t xml:space="preserve"> or that it would go ahead with non-waste materials. SEPA recognises planning consent for a quarry may require work to be carried out to restore it or make it safe either through conditions or reference to an agreed planning permission. When assessing whether the use of waste for that work amounts to a recovery or disposal operation, </w:t>
      </w:r>
      <w:r w:rsidR="009F2AD3">
        <w:t xml:space="preserve">we </w:t>
      </w:r>
      <w:r w:rsidR="008E7795">
        <w:t xml:space="preserve">will consider the extent to which the relevant bodies (including SEPA) were directly involved in the design of the restoration proposals when the planning consent was granted and whether there is evidence that the relevant planning authority would be likely to agree to amend the planning consent if an alternative proposal was submitted. Early engagement between SEPA, the planning authority and the operator is encouraged. </w:t>
      </w:r>
    </w:p>
    <w:p w14:paraId="5B8DC47D" w14:textId="7DB40765" w:rsidR="008E7795" w:rsidRPr="008E7795" w:rsidRDefault="008E7795" w:rsidP="00B364E6">
      <w:pPr>
        <w:spacing w:after="240"/>
      </w:pPr>
      <w:r>
        <w:t>There may be requirement</w:t>
      </w:r>
      <w:r w:rsidR="009F2AD3">
        <w:t>s</w:t>
      </w:r>
      <w:r>
        <w:t xml:space="preserve"> under other legislation for specific work to be carried out for a specific purpose. This may be an indicator that the work would be carried out regardless of whether waste is used. However</w:t>
      </w:r>
      <w:r w:rsidR="00495A7F">
        <w:t>,</w:t>
      </w:r>
      <w:r>
        <w:t xml:space="preserve"> the extent of the proposed works will be assessed against the extent of the obligated works. An example of this could be a Health and Safety notice requiring stabilisation of the quarry walls. Where multiple consents apply to the same quarry, </w:t>
      </w:r>
      <w:r w:rsidR="00EB4CA3">
        <w:t xml:space="preserve">we </w:t>
      </w:r>
      <w:r>
        <w:t xml:space="preserve">will </w:t>
      </w:r>
      <w:r w:rsidR="00EB4CA3">
        <w:t xml:space="preserve">take </w:t>
      </w:r>
      <w:bookmarkStart w:id="9" w:name="_Int_cYtKW8OL"/>
      <w:r>
        <w:t>a holistic approach</w:t>
      </w:r>
      <w:bookmarkEnd w:id="9"/>
      <w:r>
        <w:t xml:space="preserve"> in considering how these relate to one another, using this to inform our </w:t>
      </w:r>
      <w:r w:rsidR="00EB4CA3">
        <w:t>determination</w:t>
      </w:r>
      <w:r>
        <w:t>.</w:t>
      </w:r>
    </w:p>
    <w:p w14:paraId="616A7B0B" w14:textId="69801247" w:rsidR="00DD77F4" w:rsidRDefault="00DD77F4" w:rsidP="00B364E6">
      <w:pPr>
        <w:pStyle w:val="Heading2"/>
        <w:spacing w:line="360" w:lineRule="auto"/>
        <w:rPr>
          <w:rFonts w:eastAsia="Times New Roman"/>
        </w:rPr>
      </w:pPr>
      <w:bookmarkStart w:id="10" w:name="_Toc190856691"/>
      <w:r>
        <w:rPr>
          <w:rFonts w:eastAsia="Times New Roman"/>
        </w:rPr>
        <w:t>Extent of the works</w:t>
      </w:r>
      <w:bookmarkEnd w:id="10"/>
    </w:p>
    <w:p w14:paraId="1AF326A2" w14:textId="74A3C56F" w:rsidR="00DD77F4" w:rsidRPr="00DD77F4" w:rsidRDefault="00DD77F4" w:rsidP="00B364E6">
      <w:pPr>
        <w:spacing w:after="240"/>
      </w:pPr>
      <w:r w:rsidRPr="00DD77F4">
        <w:t>The works proposed should be enough to satisfy the stated aim and no more. Excessive heights/depths and/or unnecessary landforms or slopes may all be indications that the volume of material being brought onto site is a disposal operation. If benefit to agriculture or ecological improvement can be shown</w:t>
      </w:r>
      <w:r w:rsidR="00536E64">
        <w:t>,</w:t>
      </w:r>
      <w:r w:rsidRPr="00DD77F4">
        <w:t xml:space="preserve"> this is likely to help demonstrate a recovery activity. It is also unlikely to be necessary to completely fill a quarry </w:t>
      </w:r>
      <w:r w:rsidR="00BF2672" w:rsidRPr="00DD77F4">
        <w:t>to</w:t>
      </w:r>
      <w:r w:rsidRPr="00DD77F4">
        <w:t xml:space="preserve"> provide this benefit or improvement.</w:t>
      </w:r>
    </w:p>
    <w:p w14:paraId="0B793D4C" w14:textId="29673F5C" w:rsidR="00DD77F4" w:rsidRDefault="00DD77F4" w:rsidP="00B364E6">
      <w:pPr>
        <w:pStyle w:val="Heading2"/>
        <w:spacing w:line="360" w:lineRule="auto"/>
        <w:rPr>
          <w:rFonts w:eastAsia="Times New Roman"/>
        </w:rPr>
      </w:pPr>
      <w:bookmarkStart w:id="11" w:name="_Toc190856692"/>
      <w:r>
        <w:rPr>
          <w:rFonts w:eastAsia="Times New Roman"/>
        </w:rPr>
        <w:lastRenderedPageBreak/>
        <w:t>Suitability for use</w:t>
      </w:r>
      <w:bookmarkEnd w:id="11"/>
    </w:p>
    <w:p w14:paraId="66A7B5D4" w14:textId="65B7837B" w:rsidR="008E7795" w:rsidRDefault="008E7795" w:rsidP="00B364E6">
      <w:pPr>
        <w:spacing w:after="240"/>
      </w:pPr>
      <w:r w:rsidRPr="008E7795">
        <w:t>The waste must be suitable for the proposed use. It must have the engineering and environmental properties required (if necessary) and be routinely monitored or tested at an appropriate frequency to ensure continued suitability of use. It should not require additional environmental safeguards (</w:t>
      </w:r>
      <w:r w:rsidR="00194E44" w:rsidRPr="008E7795">
        <w:t>e.g.</w:t>
      </w:r>
      <w:r w:rsidRPr="008E7795">
        <w:t xml:space="preserve"> lining systems) compared to those </w:t>
      </w:r>
      <w:r w:rsidR="0049534F">
        <w:t>needed</w:t>
      </w:r>
      <w:r w:rsidRPr="008E7795">
        <w:t xml:space="preserve"> by non-waste material. The suitability of the material is intrinsically linked to the extent of the works and the sensitivity of the site. </w:t>
      </w:r>
      <w:r w:rsidR="0049534F">
        <w:t>We</w:t>
      </w:r>
      <w:r w:rsidRPr="008E7795">
        <w:t xml:space="preserve"> will encourage the appropriate use of waste materials in place of natural resources in the interests of sustainable management of resources.</w:t>
      </w:r>
    </w:p>
    <w:p w14:paraId="51DACA23" w14:textId="295A439F" w:rsidR="008E7795" w:rsidRPr="000435A9" w:rsidRDefault="008E7795" w:rsidP="00B364E6">
      <w:pPr>
        <w:pStyle w:val="Heading1"/>
        <w:spacing w:line="360" w:lineRule="auto"/>
        <w:rPr>
          <w:rFonts w:eastAsia="Times New Roman"/>
          <w:sz w:val="32"/>
        </w:rPr>
      </w:pPr>
      <w:bookmarkStart w:id="12" w:name="_Toc190856693"/>
      <w:r w:rsidRPr="000435A9">
        <w:rPr>
          <w:rFonts w:eastAsia="Times New Roman"/>
          <w:sz w:val="32"/>
        </w:rPr>
        <w:t>Viability</w:t>
      </w:r>
      <w:bookmarkEnd w:id="12"/>
    </w:p>
    <w:p w14:paraId="34037940" w14:textId="0DF76C1C" w:rsidR="008E7795" w:rsidRDefault="008E7795" w:rsidP="00B364E6">
      <w:pPr>
        <w:spacing w:after="240"/>
      </w:pPr>
      <w:r>
        <w:t xml:space="preserve">There may be cases where the details </w:t>
      </w:r>
      <w:r w:rsidR="00661CD2">
        <w:t>given</w:t>
      </w:r>
      <w:r>
        <w:t xml:space="preserve"> regarding the requirements of other regimes, the suitability for use, and the extent of works are not </w:t>
      </w:r>
      <w:r w:rsidR="00661CD2">
        <w:t>enough</w:t>
      </w:r>
      <w:r>
        <w:t xml:space="preserve"> for SEPA to </w:t>
      </w:r>
      <w:r w:rsidR="00661CD2">
        <w:t>determine</w:t>
      </w:r>
      <w:r>
        <w:t xml:space="preserve"> a proposed activity </w:t>
      </w:r>
      <w:r w:rsidR="00661CD2">
        <w:t>as</w:t>
      </w:r>
      <w:r>
        <w:t xml:space="preserve"> recovery. In such cases </w:t>
      </w:r>
      <w:r w:rsidR="008371C4">
        <w:t>you</w:t>
      </w:r>
      <w:r>
        <w:t xml:space="preserve"> may provide </w:t>
      </w:r>
      <w:r w:rsidR="008371C4">
        <w:t>other additional</w:t>
      </w:r>
      <w:r>
        <w:t xml:space="preserve"> information to demonstrate the works would be viable even if non waste materials were used. Evidence could be provided which costs the proposed works utilising non-waste materials and shows the benefits of the works, for example by a prospective increase in land value, expected income or by cost savings e.g. the costs avoided in the installation and operation of equipment. Further detail is provided in </w:t>
      </w:r>
      <w:r w:rsidR="00E15464">
        <w:t>A</w:t>
      </w:r>
      <w:r>
        <w:t xml:space="preserve">ppendix </w:t>
      </w:r>
      <w:r w:rsidR="488B09DD">
        <w:t>1</w:t>
      </w:r>
      <w:r>
        <w:t>.</w:t>
      </w:r>
    </w:p>
    <w:p w14:paraId="629D022D" w14:textId="60324E65" w:rsidR="008E7795" w:rsidRPr="00934526" w:rsidRDefault="008E7795" w:rsidP="00B364E6">
      <w:pPr>
        <w:pStyle w:val="Heading1"/>
        <w:spacing w:line="360" w:lineRule="auto"/>
        <w:rPr>
          <w:rFonts w:eastAsia="Times New Roman"/>
        </w:rPr>
      </w:pPr>
      <w:bookmarkStart w:id="13" w:name="_Toc190856694"/>
      <w:r>
        <w:rPr>
          <w:rFonts w:eastAsia="Times New Roman"/>
        </w:rPr>
        <w:t>Examples</w:t>
      </w:r>
      <w:bookmarkEnd w:id="13"/>
    </w:p>
    <w:p w14:paraId="006A295E" w14:textId="3E48CB0B" w:rsidR="00204271" w:rsidRDefault="008E7795" w:rsidP="00B364E6">
      <w:pPr>
        <w:spacing w:after="240"/>
      </w:pPr>
      <w:r>
        <w:t xml:space="preserve">If a project proposes using wastes which would require additional environmental protection </w:t>
      </w:r>
      <w:r w:rsidR="3C2BDD8E">
        <w:t>measures,</w:t>
      </w:r>
      <w:r>
        <w:t xml:space="preserve"> then it is unlikely to be </w:t>
      </w:r>
      <w:r w:rsidR="00A77159">
        <w:t xml:space="preserve">determined as </w:t>
      </w:r>
      <w:r>
        <w:t xml:space="preserve">recovery. For example, the use of hazardous waste soils in a restoration is </w:t>
      </w:r>
      <w:r w:rsidR="002D63DE">
        <w:t>unlikely</w:t>
      </w:r>
      <w:r>
        <w:t xml:space="preserve"> to be considered a recovery operation. </w:t>
      </w:r>
    </w:p>
    <w:p w14:paraId="24B9D3F0" w14:textId="5D4F3ACD" w:rsidR="003A4EE2" w:rsidRDefault="008E7795" w:rsidP="00B364E6">
      <w:pPr>
        <w:spacing w:after="240"/>
      </w:pPr>
      <w:r w:rsidRPr="008E7795">
        <w:t xml:space="preserve">If a project proposes using excessive </w:t>
      </w:r>
      <w:r w:rsidR="00204271">
        <w:t>amount</w:t>
      </w:r>
      <w:r w:rsidRPr="008E7795">
        <w:t>s of material compared to the stated aim</w:t>
      </w:r>
      <w:r w:rsidR="00204271">
        <w:t>,</w:t>
      </w:r>
      <w:r w:rsidRPr="008E7795">
        <w:t xml:space="preserve"> it is unlikely to be </w:t>
      </w:r>
      <w:r w:rsidR="00204271">
        <w:t xml:space="preserve">determined </w:t>
      </w:r>
      <w:r w:rsidR="00AE25B8">
        <w:t xml:space="preserve">as </w:t>
      </w:r>
      <w:r w:rsidRPr="008E7795">
        <w:t>a recovery operation. For example, creat</w:t>
      </w:r>
      <w:r w:rsidR="00AE25B8">
        <w:t>ing</w:t>
      </w:r>
      <w:r w:rsidRPr="008E7795">
        <w:t xml:space="preserve"> a layer of topsoil six metres deep where one metre would be sufficient to recover the land, would be considered a disposal operation. </w:t>
      </w:r>
    </w:p>
    <w:p w14:paraId="083B015E" w14:textId="77777777" w:rsidR="000B649E" w:rsidRDefault="000B649E" w:rsidP="00B364E6">
      <w:pPr>
        <w:spacing w:after="240"/>
      </w:pPr>
    </w:p>
    <w:p w14:paraId="2EB3A470" w14:textId="77777777" w:rsidR="000B649E" w:rsidRPr="004C2196" w:rsidRDefault="000B649E" w:rsidP="000B649E">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lastRenderedPageBreak/>
        <w:t>Disclaimer </w:t>
      </w:r>
    </w:p>
    <w:p w14:paraId="4CA29032" w14:textId="77777777" w:rsidR="00923C04" w:rsidRDefault="00923C04" w:rsidP="00923C04">
      <w:pPr>
        <w:spacing w:after="240"/>
        <w:rPr>
          <w:rFonts w:ascii="Arial" w:hAnsi="Arial" w:cs="Arial"/>
        </w:rPr>
      </w:pPr>
      <w:r>
        <w:rPr>
          <w:rFonts w:ascii="Arial" w:hAnsi="Arial" w:cs="Arial"/>
        </w:rPr>
        <w:t xml:space="preserve">This guidance is based on the law as it stood when the guidance was published. </w:t>
      </w:r>
    </w:p>
    <w:p w14:paraId="1382A190" w14:textId="77777777" w:rsidR="00923C04" w:rsidRDefault="00923C04" w:rsidP="00923C04">
      <w:pPr>
        <w:spacing w:after="240"/>
        <w:rPr>
          <w:rFonts w:ascii="Arial" w:hAnsi="Arial" w:cs="Arial"/>
        </w:rPr>
      </w:pPr>
      <w:r>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57CCB29" w14:textId="77777777" w:rsidR="00923C04" w:rsidRDefault="00923C04" w:rsidP="00923C04">
      <w:pPr>
        <w:numPr>
          <w:ilvl w:val="0"/>
          <w:numId w:val="14"/>
        </w:numPr>
        <w:spacing w:after="240"/>
        <w:rPr>
          <w:rFonts w:ascii="Arial" w:hAnsi="Arial" w:cs="Arial"/>
        </w:rPr>
      </w:pPr>
      <w:r>
        <w:rPr>
          <w:rFonts w:ascii="Arial" w:hAnsi="Arial" w:cs="Arial"/>
        </w:rPr>
        <w:t>any direct, indirect and consequential losses</w:t>
      </w:r>
    </w:p>
    <w:p w14:paraId="6F8AA00F" w14:textId="77777777" w:rsidR="00923C04" w:rsidRDefault="00923C04" w:rsidP="00923C04">
      <w:pPr>
        <w:numPr>
          <w:ilvl w:val="0"/>
          <w:numId w:val="14"/>
        </w:numPr>
        <w:spacing w:after="240"/>
        <w:rPr>
          <w:rFonts w:ascii="Arial" w:hAnsi="Arial" w:cs="Arial"/>
        </w:rPr>
      </w:pPr>
      <w:r>
        <w:rPr>
          <w:rFonts w:ascii="Arial" w:hAnsi="Arial" w:cs="Arial"/>
        </w:rPr>
        <w:t>any loss or damage caused by civil wrongs, breach of contract or otherwise</w:t>
      </w:r>
    </w:p>
    <w:p w14:paraId="342B5A2F" w14:textId="77777777" w:rsidR="00923C04" w:rsidRDefault="00923C04" w:rsidP="00923C04">
      <w:pPr>
        <w:spacing w:after="240"/>
        <w:rPr>
          <w:rFonts w:ascii="Arial" w:hAnsi="Arial" w:cs="Arial"/>
        </w:rPr>
      </w:pPr>
      <w:r>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2FEFADD0" w14:textId="7F49C8A0" w:rsidR="00B364E6" w:rsidRPr="000B649E" w:rsidRDefault="00B364E6" w:rsidP="000B649E">
      <w:pPr>
        <w:numPr>
          <w:ilvl w:val="0"/>
          <w:numId w:val="13"/>
        </w:numPr>
        <w:spacing w:after="240"/>
        <w:rPr>
          <w:rFonts w:ascii="Arial" w:eastAsia="Times New Roman" w:hAnsi="Arial" w:cs="Arial"/>
        </w:rPr>
      </w:pPr>
      <w:r w:rsidRPr="000B649E">
        <w:rPr>
          <w:rFonts w:eastAsia="Times New Roman"/>
        </w:rPr>
        <w:br w:type="page"/>
      </w:r>
    </w:p>
    <w:p w14:paraId="532ECE18" w14:textId="4324EF4D" w:rsidR="003A4EE2" w:rsidRPr="00934526" w:rsidRDefault="003A4EE2" w:rsidP="00B364E6">
      <w:pPr>
        <w:pStyle w:val="Heading1"/>
        <w:spacing w:line="360" w:lineRule="auto"/>
        <w:rPr>
          <w:rFonts w:eastAsia="Times New Roman"/>
        </w:rPr>
      </w:pPr>
      <w:bookmarkStart w:id="14" w:name="_Toc190856695"/>
      <w:r w:rsidRPr="42D5AABC">
        <w:rPr>
          <w:rFonts w:eastAsia="Times New Roman"/>
        </w:rPr>
        <w:lastRenderedPageBreak/>
        <w:t xml:space="preserve">Appendix </w:t>
      </w:r>
      <w:r w:rsidR="07646365" w:rsidRPr="42D5AABC">
        <w:rPr>
          <w:rFonts w:eastAsia="Times New Roman"/>
        </w:rPr>
        <w:t>1</w:t>
      </w:r>
      <w:r w:rsidRPr="42D5AABC">
        <w:rPr>
          <w:rFonts w:eastAsia="Times New Roman"/>
        </w:rPr>
        <w:t xml:space="preserve"> – Further detail on viability</w:t>
      </w:r>
      <w:bookmarkEnd w:id="14"/>
    </w:p>
    <w:p w14:paraId="7EBED04E" w14:textId="55DE0A09" w:rsidR="003A4EE2" w:rsidRDefault="00B142B8" w:rsidP="00B364E6">
      <w:pPr>
        <w:spacing w:after="240"/>
      </w:pPr>
      <w:r>
        <w:t>If you want</w:t>
      </w:r>
      <w:r w:rsidR="003A4EE2">
        <w:t xml:space="preserve"> to demonstrate that </w:t>
      </w:r>
      <w:r>
        <w:t>your</w:t>
      </w:r>
      <w:r w:rsidR="003A4EE2">
        <w:t xml:space="preserve"> </w:t>
      </w:r>
      <w:r w:rsidR="00394E0E">
        <w:t>proposal</w:t>
      </w:r>
      <w:r w:rsidR="003A4EE2">
        <w:t xml:space="preserve"> is a recovery operation</w:t>
      </w:r>
      <w:r>
        <w:t xml:space="preserve">, you may </w:t>
      </w:r>
      <w:r w:rsidR="003A4EE2">
        <w:t xml:space="preserve">provide a financial case to </w:t>
      </w:r>
      <w:r w:rsidR="006A40C3">
        <w:t>demonstrate</w:t>
      </w:r>
      <w:r w:rsidR="003A4EE2">
        <w:t xml:space="preserve"> the works proposed would have a reasonable prospect of proceeding if non-waste materials were to be used.</w:t>
      </w:r>
      <w:r w:rsidR="006A40C3">
        <w:t xml:space="preserve"> </w:t>
      </w:r>
      <w:r w:rsidR="003A4EE2">
        <w:t xml:space="preserve">This </w:t>
      </w:r>
      <w:r w:rsidR="006A40C3">
        <w:t>is</w:t>
      </w:r>
      <w:r w:rsidR="003A4EE2">
        <w:t xml:space="preserve"> </w:t>
      </w:r>
      <w:bookmarkStart w:id="15" w:name="_Int_cKR2DYOK"/>
      <w:r w:rsidR="003A4EE2">
        <w:t>not</w:t>
      </w:r>
      <w:r w:rsidR="006A40C3">
        <w:t xml:space="preserve"> </w:t>
      </w:r>
      <w:r w:rsidR="003A4EE2">
        <w:t>the same as</w:t>
      </w:r>
      <w:bookmarkEnd w:id="15"/>
      <w:r w:rsidR="003A4EE2">
        <w:t xml:space="preserve"> the demonstration of financial provision </w:t>
      </w:r>
      <w:r w:rsidR="006A40C3">
        <w:t>needed</w:t>
      </w:r>
      <w:r w:rsidR="003A4EE2">
        <w:t xml:space="preserve"> in the </w:t>
      </w:r>
      <w:r w:rsidR="006A40C3">
        <w:t>authorisation application</w:t>
      </w:r>
      <w:r w:rsidR="003A4EE2">
        <w:t xml:space="preserve"> process. There </w:t>
      </w:r>
      <w:r w:rsidR="006A40C3">
        <w:t>is</w:t>
      </w:r>
      <w:r w:rsidR="003A4EE2">
        <w:t xml:space="preserve"> no requirement for any funds to be set aside or for </w:t>
      </w:r>
      <w:r w:rsidR="006A40C3">
        <w:t>you</w:t>
      </w:r>
      <w:r w:rsidR="003A4EE2">
        <w:t xml:space="preserve"> to provide evidence of funds</w:t>
      </w:r>
      <w:r w:rsidR="006A40C3">
        <w:t xml:space="preserve"> in this instance</w:t>
      </w:r>
      <w:r w:rsidR="003A4EE2">
        <w:t xml:space="preserve">. </w:t>
      </w:r>
      <w:r w:rsidR="006A40C3">
        <w:t>The</w:t>
      </w:r>
      <w:r w:rsidR="003A4EE2">
        <w:t xml:space="preserve"> purpose would be to </w:t>
      </w:r>
      <w:r w:rsidR="00F70D7B">
        <w:t>demonstrate a viable</w:t>
      </w:r>
      <w:r w:rsidR="003A4EE2">
        <w:t xml:space="preserve"> business case for the works to go ahead </w:t>
      </w:r>
      <w:bookmarkStart w:id="16" w:name="_Int_G8DllARd"/>
      <w:r w:rsidR="003A4EE2">
        <w:t>whether or not</w:t>
      </w:r>
      <w:bookmarkEnd w:id="16"/>
      <w:r w:rsidR="003A4EE2">
        <w:t xml:space="preserve"> waste materials are used. The financial case would not need to demonstrate financial gain</w:t>
      </w:r>
      <w:r w:rsidR="00D905A9">
        <w:t>;</w:t>
      </w:r>
      <w:r w:rsidR="003A4EE2">
        <w:t xml:space="preserve"> but a prediction of substantial </w:t>
      </w:r>
      <w:r w:rsidR="155E95DC">
        <w:t>monetary loss</w:t>
      </w:r>
      <w:r w:rsidR="00D905A9">
        <w:t>,</w:t>
      </w:r>
      <w:r w:rsidR="003A4EE2">
        <w:t xml:space="preserve"> resulting from the use of non-waste materials</w:t>
      </w:r>
      <w:r w:rsidR="00D905A9">
        <w:t>,</w:t>
      </w:r>
      <w:r w:rsidR="003A4EE2">
        <w:t xml:space="preserve"> could be an indicator that the works would not proceed without waste materials and, therefore, an indicator of a waste disposal activity.</w:t>
      </w:r>
    </w:p>
    <w:p w14:paraId="3CB55F52" w14:textId="6E8E6793" w:rsidR="003A4EE2" w:rsidRDefault="003A4EE2" w:rsidP="00B364E6">
      <w:pPr>
        <w:spacing w:after="240"/>
      </w:pPr>
      <w:r>
        <w:t xml:space="preserve">The viability assessment does not hinge solely on </w:t>
      </w:r>
      <w:r w:rsidR="51D2D06E">
        <w:t>profit,</w:t>
      </w:r>
      <w:r>
        <w:t xml:space="preserve"> and it does not seek to quantify the </w:t>
      </w:r>
      <w:r w:rsidR="00CA08B6">
        <w:t>financial</w:t>
      </w:r>
      <w:r>
        <w:t xml:space="preserve"> benefit of using waste. However, the presence and direction of payment between the applicant and the waste producer </w:t>
      </w:r>
      <w:bookmarkStart w:id="17" w:name="_Int_ys4osbVZ"/>
      <w:r>
        <w:t>is</w:t>
      </w:r>
      <w:bookmarkEnd w:id="17"/>
      <w:r>
        <w:t xml:space="preserve"> one indicator for SEPA to consider </w:t>
      </w:r>
      <w:r w:rsidR="000D5B20">
        <w:t xml:space="preserve">when </w:t>
      </w:r>
      <w:r>
        <w:t xml:space="preserve">determining </w:t>
      </w:r>
      <w:r w:rsidR="000D5B20">
        <w:t>a</w:t>
      </w:r>
      <w:r>
        <w:t xml:space="preserve"> proposed activity as recovery or disposal.</w:t>
      </w:r>
    </w:p>
    <w:p w14:paraId="3BE19607" w14:textId="77777777" w:rsidR="00226505" w:rsidRDefault="003A4EE2" w:rsidP="00B364E6">
      <w:pPr>
        <w:spacing w:after="240"/>
      </w:pPr>
      <w:r>
        <w:t xml:space="preserve">Any case put forward could take account of any </w:t>
      </w:r>
      <w:r w:rsidR="00324473">
        <w:t>financial</w:t>
      </w:r>
      <w:r>
        <w:t xml:space="preserve"> benefit </w:t>
      </w:r>
      <w:r w:rsidR="00324473">
        <w:t>you</w:t>
      </w:r>
      <w:r>
        <w:t xml:space="preserve"> would gain from the site. This could include the value of materials extracted from the site</w:t>
      </w:r>
      <w:r w:rsidR="00324473">
        <w:t>,</w:t>
      </w:r>
      <w:r>
        <w:t xml:space="preserve"> or the value of the land once it has been restored. It could also take account of the cost of not carrying out the proposed works</w:t>
      </w:r>
      <w:r w:rsidR="00324473">
        <w:t>,</w:t>
      </w:r>
      <w:r>
        <w:t xml:space="preserve"> which might include the withholding of bonds or the provision of equipment to maintain the site in a safe condition. </w:t>
      </w:r>
    </w:p>
    <w:p w14:paraId="1D0B08F7" w14:textId="26B92783" w:rsidR="003A4EE2" w:rsidRDefault="003A4EE2" w:rsidP="00B364E6">
      <w:pPr>
        <w:spacing w:after="240"/>
      </w:pPr>
      <w:r>
        <w:t>Where the proposal forms part of a larger scheme, it will be assessed as part of the whole scheme being commercially worthwhile. The presence of any</w:t>
      </w:r>
      <w:r w:rsidR="00226505">
        <w:t xml:space="preserve"> </w:t>
      </w:r>
      <w:r>
        <w:t xml:space="preserve">funding secured for the implementation of the works will also be </w:t>
      </w:r>
      <w:bookmarkStart w:id="18" w:name="_Int_XbDXCzyl"/>
      <w:r>
        <w:t>taken into account</w:t>
      </w:r>
      <w:bookmarkEnd w:id="18"/>
      <w:r>
        <w:t>.</w:t>
      </w:r>
    </w:p>
    <w:p w14:paraId="7BF19878" w14:textId="6C01911D" w:rsidR="003A4EE2" w:rsidRDefault="003A4EE2" w:rsidP="00B364E6">
      <w:pPr>
        <w:spacing w:after="240"/>
      </w:pPr>
      <w:r>
        <w:t xml:space="preserve">It is accepted that any such viability assessment cannot be completely future proof and SEPA would not expect it to be. The case should show that the purpose of the proposed activity is reasonable and does not rely on income from the disposal of wastes. If SEPA determines that the activity is a recovery activity </w:t>
      </w:r>
      <w:r w:rsidR="0042100E">
        <w:t>we</w:t>
      </w:r>
      <w:r>
        <w:t xml:space="preserve"> would not expect the financial case to be </w:t>
      </w:r>
      <w:r w:rsidR="0042100E">
        <w:t>updated</w:t>
      </w:r>
      <w:r>
        <w:t>/revisited over the lifetime of the activity.</w:t>
      </w:r>
    </w:p>
    <w:p w14:paraId="71631494" w14:textId="3C183CC7" w:rsidR="003A4EE2" w:rsidRDefault="003A4EE2" w:rsidP="00B364E6">
      <w:pPr>
        <w:spacing w:after="240"/>
      </w:pPr>
      <w:r>
        <w:lastRenderedPageBreak/>
        <w:t xml:space="preserve">While SEPA envisages that any financial case submitted would not contain detailed confidential information, we accept that some of that information may be regarded as commercially confidential by </w:t>
      </w:r>
      <w:r w:rsidR="0042100E">
        <w:t>you</w:t>
      </w:r>
      <w:r>
        <w:t xml:space="preserve">. </w:t>
      </w:r>
      <w:r w:rsidR="0042100E">
        <w:t>You</w:t>
      </w:r>
      <w:r>
        <w:t xml:space="preserve"> would be able to apply for </w:t>
      </w:r>
      <w:r w:rsidR="0042100E">
        <w:t xml:space="preserve">your </w:t>
      </w:r>
      <w:r>
        <w:t xml:space="preserve">submission or any part of it to be excluded from the public register. Any such application would be determined by SEPA in accordance with the legislation. </w:t>
      </w:r>
    </w:p>
    <w:p w14:paraId="694BB6C4" w14:textId="71453A6A" w:rsidR="006243FF" w:rsidRPr="006A4D02" w:rsidRDefault="003A4EE2" w:rsidP="00B364E6">
      <w:pPr>
        <w:spacing w:after="240"/>
      </w:pPr>
      <w:r>
        <w:t xml:space="preserve">It is anticipated that it would be difficult to demonstrate a financial case to support recovery in circumstances where an excavated quarry, with little or no further economically extractable material, has been sold. In these circumstances, SEPA is aware that the value attached to the quarry is often calculated by reference to the available void space and that the purpose of acquisition is </w:t>
      </w:r>
      <w:bookmarkStart w:id="19" w:name="_Int_RhGRvxYA"/>
      <w:r>
        <w:t>generally to</w:t>
      </w:r>
      <w:bookmarkEnd w:id="19"/>
      <w:r>
        <w:t xml:space="preserve"> use the void for waste disposal.</w:t>
      </w:r>
    </w:p>
    <w:sectPr w:rsidR="006243FF" w:rsidRPr="006A4D02" w:rsidSect="00F13324">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ss, Naomi" w:date="2025-01-30T09:29:00Z" w:initials="RN">
    <w:p w14:paraId="7976D5CE" w14:textId="23A69700" w:rsidR="007D3678" w:rsidRDefault="007D3678" w:rsidP="007D3678">
      <w:pPr>
        <w:pStyle w:val="CommentText"/>
      </w:pPr>
      <w:r>
        <w:rPr>
          <w:rStyle w:val="CommentReference"/>
        </w:rPr>
        <w:annotationRef/>
      </w:r>
      <w:r>
        <w:t>Is this helpful or does it just confuse things?</w:t>
      </w:r>
    </w:p>
  </w:comment>
  <w:comment w:id="2" w:author="Lang, Peter" w:date="2025-01-31T02:37:00Z" w:initials="LP">
    <w:p w14:paraId="562D3A29" w14:textId="2457155A" w:rsidR="00227587" w:rsidRDefault="00076449">
      <w:pPr>
        <w:pStyle w:val="CommentText"/>
      </w:pPr>
      <w:r>
        <w:rPr>
          <w:rStyle w:val="CommentReference"/>
        </w:rPr>
        <w:annotationRef/>
      </w:r>
      <w:r w:rsidRPr="0D6C09B4">
        <w:t>think its helpful so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76D5CE" w15:done="1"/>
  <w15:commentEx w15:paraId="562D3A29" w15:paraIdParent="7976D5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1C35A1" w16cex:dateUtc="2025-01-30T17:29:00Z"/>
  <w16cex:commentExtensible w16cex:durableId="02CCD534" w16cex:dateUtc="2025-01-31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6D5CE" w16cid:durableId="471C35A1"/>
  <w16cid:commentId w16cid:paraId="562D3A29" w16cid:durableId="02CCD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C3A6" w14:textId="77777777" w:rsidR="004774C5" w:rsidRDefault="004774C5" w:rsidP="00660C79">
      <w:pPr>
        <w:spacing w:line="240" w:lineRule="auto"/>
      </w:pPr>
      <w:r>
        <w:separator/>
      </w:r>
    </w:p>
  </w:endnote>
  <w:endnote w:type="continuationSeparator" w:id="0">
    <w:p w14:paraId="73FA8549" w14:textId="77777777" w:rsidR="004774C5" w:rsidRDefault="004774C5" w:rsidP="00660C79">
      <w:pPr>
        <w:spacing w:line="240" w:lineRule="auto"/>
      </w:pPr>
      <w:r>
        <w:continuationSeparator/>
      </w:r>
    </w:p>
  </w:endnote>
  <w:endnote w:type="continuationNotice" w:id="1">
    <w:p w14:paraId="3DC31A5F" w14:textId="77777777" w:rsidR="004774C5" w:rsidRDefault="004774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6A7"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8B8FFFB" wp14:editId="5C40F62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0F87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8FFF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90F87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6CE5A03"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55FFAA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FE98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AB2"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432F47CC" wp14:editId="07E247F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1CFE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F47C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61CFE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E353CF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EEF5C98" wp14:editId="0FBFFDD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DC4D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B70D9A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5B84C3" w14:textId="77777777" w:rsidR="00917BB1" w:rsidRDefault="00917BB1" w:rsidP="00917BB1">
    <w:pPr>
      <w:pStyle w:val="Footer"/>
      <w:ind w:right="360"/>
    </w:pPr>
    <w:r>
      <w:rPr>
        <w:noProof/>
      </w:rPr>
      <w:drawing>
        <wp:inline distT="0" distB="0" distL="0" distR="0" wp14:anchorId="537A4460" wp14:editId="149DE8D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CA7A"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1DA01E2" wp14:editId="63871F5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81F5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A01E2"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7381F5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AB71" w14:textId="77777777" w:rsidR="004774C5" w:rsidRDefault="004774C5" w:rsidP="00660C79">
      <w:pPr>
        <w:spacing w:line="240" w:lineRule="auto"/>
      </w:pPr>
      <w:r>
        <w:separator/>
      </w:r>
    </w:p>
  </w:footnote>
  <w:footnote w:type="continuationSeparator" w:id="0">
    <w:p w14:paraId="0AA8C62C" w14:textId="77777777" w:rsidR="004774C5" w:rsidRDefault="004774C5" w:rsidP="00660C79">
      <w:pPr>
        <w:spacing w:line="240" w:lineRule="auto"/>
      </w:pPr>
      <w:r>
        <w:continuationSeparator/>
      </w:r>
    </w:p>
  </w:footnote>
  <w:footnote w:type="continuationNotice" w:id="1">
    <w:p w14:paraId="7EC68EA0" w14:textId="77777777" w:rsidR="004774C5" w:rsidRDefault="004774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839"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34C29060" wp14:editId="2729802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9660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2906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59660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4E9D" w14:textId="785719E1"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E252FE0" wp14:editId="73AAA5EC">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576F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2FE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B576F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181F77">
      <w:rPr>
        <w:color w:val="6E7571" w:themeColor="text2"/>
      </w:rPr>
      <w:t>Recovery and disposal of waste in quarries</w:t>
    </w:r>
  </w:p>
  <w:p w14:paraId="21D191F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4AC512F" wp14:editId="11B35B0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xmlns:aclsh="http://schemas.microsoft.com/office/drawing/2020/classificationShape">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8B20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2784"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8FA9BBC" wp14:editId="1135390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5C7F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A9BB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A15C7F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p+/JqdSwcQDaM" int2:id="0PvJPO4o">
      <int2:state int2:value="Rejected" int2:type="AugLoop_Text_Critique"/>
    </int2:textHash>
    <int2:textHash int2:hashCode="2buPyLb0zlZNNn" int2:id="817ZD4z1">
      <int2:state int2:value="Rejected" int2:type="AugLoop_Text_Critique"/>
    </int2:textHash>
    <int2:textHash int2:hashCode="XFJwN5uqCaAbRl" int2:id="NexIMVJE">
      <int2:state int2:value="Rejected" int2:type="AugLoop_Text_Critique"/>
    </int2:textHash>
    <int2:textHash int2:hashCode="F4Rgw1/I+FVMF2" int2:id="odRI9Tyd">
      <int2:state int2:value="Rejected" int2:type="AugLoop_Text_Critique"/>
    </int2:textHash>
    <int2:bookmark int2:bookmarkName="_Int_G8DllARd" int2:invalidationBookmarkName="" int2:hashCode="0GYf/LRGEYcRtn" int2:id="9ztPmLtX">
      <int2:state int2:value="Rejected" int2:type="AugLoop_Text_Critique"/>
    </int2:bookmark>
    <int2:bookmark int2:bookmarkName="_Int_ys4osbVZ" int2:invalidationBookmarkName="" int2:hashCode="tH82PitDDAZH8U" int2:id="JpO7bpi0">
      <int2:state int2:value="Rejected" int2:type="AugLoop_Text_Critique"/>
    </int2:bookmark>
    <int2:bookmark int2:bookmarkName="_Int_cKR2DYOK" int2:invalidationBookmarkName="" int2:hashCode="em+oK/w/JABKwA" int2:id="LNz3f0cg">
      <int2:state int2:value="Rejected" int2:type="AugLoop_Text_Critique"/>
    </int2:bookmark>
    <int2:bookmark int2:bookmarkName="_Int_RhGRvxYA" int2:invalidationBookmarkName="" int2:hashCode="YTrKnSwes93eK2" int2:id="NYwJnSWl">
      <int2:state int2:value="Rejected" int2:type="AugLoop_Text_Critique"/>
    </int2:bookmark>
    <int2:bookmark int2:bookmarkName="_Int_cYtKW8OL" int2:invalidationBookmarkName="" int2:hashCode="aups33Dx9cjmOq" int2:id="S500GUKb">
      <int2:state int2:value="Rejected" int2:type="AugLoop_Text_Critique"/>
    </int2:bookmark>
    <int2:bookmark int2:bookmarkName="_Int_XbDXCzyl" int2:invalidationBookmarkName="" int2:hashCode="wYBAQbIVzVCihN" int2:id="xKyylzJ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3"/>
  </w:num>
  <w:num w:numId="12" w16cid:durableId="1700204152">
    <w:abstractNumId w:val="11"/>
  </w:num>
  <w:num w:numId="13" w16cid:durableId="781656532">
    <w:abstractNumId w:val="10"/>
  </w:num>
  <w:num w:numId="14" w16cid:durableId="1697150666">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 Naomi">
    <w15:presenceInfo w15:providerId="AD" w15:userId="S::naomi.ross@sepa.org.uk::9069e833-3972-4bfd-8eb8-2b87221f3d69"/>
  </w15:person>
  <w15:person w15:author="Lang, Peter">
    <w15:presenceInfo w15:providerId="AD" w15:userId="S::peter.lang@sepa.org.uk::9db1f9b2-2d82-49be-873d-f4242388df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77"/>
    <w:rsid w:val="00032829"/>
    <w:rsid w:val="000329AF"/>
    <w:rsid w:val="00032FEA"/>
    <w:rsid w:val="00040561"/>
    <w:rsid w:val="000435A9"/>
    <w:rsid w:val="0006649D"/>
    <w:rsid w:val="00070937"/>
    <w:rsid w:val="00071D9E"/>
    <w:rsid w:val="00076449"/>
    <w:rsid w:val="000770FA"/>
    <w:rsid w:val="00084AEC"/>
    <w:rsid w:val="000855FD"/>
    <w:rsid w:val="00090CBA"/>
    <w:rsid w:val="000A2730"/>
    <w:rsid w:val="000B4A35"/>
    <w:rsid w:val="000B649E"/>
    <w:rsid w:val="000B7559"/>
    <w:rsid w:val="000C6E62"/>
    <w:rsid w:val="000D5B20"/>
    <w:rsid w:val="000E0D15"/>
    <w:rsid w:val="000E12E0"/>
    <w:rsid w:val="000E134F"/>
    <w:rsid w:val="00102506"/>
    <w:rsid w:val="00105F31"/>
    <w:rsid w:val="00112D77"/>
    <w:rsid w:val="0011594C"/>
    <w:rsid w:val="00134FCF"/>
    <w:rsid w:val="00135D26"/>
    <w:rsid w:val="001416CC"/>
    <w:rsid w:val="0014484C"/>
    <w:rsid w:val="00145EB6"/>
    <w:rsid w:val="00181F77"/>
    <w:rsid w:val="00184B64"/>
    <w:rsid w:val="00194E44"/>
    <w:rsid w:val="001965E4"/>
    <w:rsid w:val="001A2CE3"/>
    <w:rsid w:val="001B2CE4"/>
    <w:rsid w:val="001C7474"/>
    <w:rsid w:val="00204271"/>
    <w:rsid w:val="0020743F"/>
    <w:rsid w:val="00214189"/>
    <w:rsid w:val="00221247"/>
    <w:rsid w:val="00226505"/>
    <w:rsid w:val="00227587"/>
    <w:rsid w:val="00227CBA"/>
    <w:rsid w:val="002313EA"/>
    <w:rsid w:val="00232626"/>
    <w:rsid w:val="00236378"/>
    <w:rsid w:val="00236552"/>
    <w:rsid w:val="00266116"/>
    <w:rsid w:val="00281BB1"/>
    <w:rsid w:val="00290B1F"/>
    <w:rsid w:val="00296F99"/>
    <w:rsid w:val="002A3116"/>
    <w:rsid w:val="002B375A"/>
    <w:rsid w:val="002B4F98"/>
    <w:rsid w:val="002C3181"/>
    <w:rsid w:val="002C7008"/>
    <w:rsid w:val="002D27F2"/>
    <w:rsid w:val="002D63DE"/>
    <w:rsid w:val="002D7D7E"/>
    <w:rsid w:val="002F34B6"/>
    <w:rsid w:val="0030096D"/>
    <w:rsid w:val="00305F5E"/>
    <w:rsid w:val="00310792"/>
    <w:rsid w:val="00317618"/>
    <w:rsid w:val="00323CAF"/>
    <w:rsid w:val="00324473"/>
    <w:rsid w:val="0033450C"/>
    <w:rsid w:val="003469F9"/>
    <w:rsid w:val="003548CA"/>
    <w:rsid w:val="00380D2D"/>
    <w:rsid w:val="00383694"/>
    <w:rsid w:val="00391F4D"/>
    <w:rsid w:val="00394E0E"/>
    <w:rsid w:val="003A0B7A"/>
    <w:rsid w:val="003A4EE2"/>
    <w:rsid w:val="003C7A88"/>
    <w:rsid w:val="003D04DA"/>
    <w:rsid w:val="003E3A4D"/>
    <w:rsid w:val="003E68A7"/>
    <w:rsid w:val="003F5384"/>
    <w:rsid w:val="003F7659"/>
    <w:rsid w:val="00401CAD"/>
    <w:rsid w:val="004073BC"/>
    <w:rsid w:val="004108CE"/>
    <w:rsid w:val="00420C6B"/>
    <w:rsid w:val="0042100E"/>
    <w:rsid w:val="00421A2D"/>
    <w:rsid w:val="00426E3C"/>
    <w:rsid w:val="00444AA1"/>
    <w:rsid w:val="004774C5"/>
    <w:rsid w:val="0049256D"/>
    <w:rsid w:val="0049534F"/>
    <w:rsid w:val="00495A7F"/>
    <w:rsid w:val="004A20FC"/>
    <w:rsid w:val="004B3448"/>
    <w:rsid w:val="004F555B"/>
    <w:rsid w:val="00516A75"/>
    <w:rsid w:val="00536E64"/>
    <w:rsid w:val="00540C78"/>
    <w:rsid w:val="00543CAF"/>
    <w:rsid w:val="005448AA"/>
    <w:rsid w:val="00551989"/>
    <w:rsid w:val="005613EB"/>
    <w:rsid w:val="0058429C"/>
    <w:rsid w:val="005A355E"/>
    <w:rsid w:val="005A3F51"/>
    <w:rsid w:val="005A6E19"/>
    <w:rsid w:val="005A7A00"/>
    <w:rsid w:val="005D1213"/>
    <w:rsid w:val="005F0005"/>
    <w:rsid w:val="005F06D2"/>
    <w:rsid w:val="00600DFC"/>
    <w:rsid w:val="006151C3"/>
    <w:rsid w:val="00621C28"/>
    <w:rsid w:val="006243FF"/>
    <w:rsid w:val="00660C79"/>
    <w:rsid w:val="00660F74"/>
    <w:rsid w:val="00661CD2"/>
    <w:rsid w:val="006706EF"/>
    <w:rsid w:val="00671CAD"/>
    <w:rsid w:val="00673BC5"/>
    <w:rsid w:val="00684775"/>
    <w:rsid w:val="006A40C3"/>
    <w:rsid w:val="006A4D02"/>
    <w:rsid w:val="006A53EB"/>
    <w:rsid w:val="006A7CE7"/>
    <w:rsid w:val="006D16CE"/>
    <w:rsid w:val="006D6084"/>
    <w:rsid w:val="0076284B"/>
    <w:rsid w:val="007719D6"/>
    <w:rsid w:val="007A1C6B"/>
    <w:rsid w:val="007A7249"/>
    <w:rsid w:val="007A7A47"/>
    <w:rsid w:val="007C3F12"/>
    <w:rsid w:val="007D0AFD"/>
    <w:rsid w:val="007D3678"/>
    <w:rsid w:val="007D441B"/>
    <w:rsid w:val="00801105"/>
    <w:rsid w:val="00805B2F"/>
    <w:rsid w:val="0081798F"/>
    <w:rsid w:val="00823109"/>
    <w:rsid w:val="0083233F"/>
    <w:rsid w:val="008371C4"/>
    <w:rsid w:val="00857ED3"/>
    <w:rsid w:val="008604EB"/>
    <w:rsid w:val="00861B46"/>
    <w:rsid w:val="00872EF0"/>
    <w:rsid w:val="00880727"/>
    <w:rsid w:val="00884C97"/>
    <w:rsid w:val="008929DF"/>
    <w:rsid w:val="008A16C4"/>
    <w:rsid w:val="008C1A73"/>
    <w:rsid w:val="008D113C"/>
    <w:rsid w:val="008D376F"/>
    <w:rsid w:val="008D3CCA"/>
    <w:rsid w:val="008D6FDE"/>
    <w:rsid w:val="008E7795"/>
    <w:rsid w:val="00901D4B"/>
    <w:rsid w:val="00916B68"/>
    <w:rsid w:val="00917BB1"/>
    <w:rsid w:val="00923C04"/>
    <w:rsid w:val="00933A14"/>
    <w:rsid w:val="00934526"/>
    <w:rsid w:val="009457E2"/>
    <w:rsid w:val="009634E0"/>
    <w:rsid w:val="00970389"/>
    <w:rsid w:val="00975D21"/>
    <w:rsid w:val="00980531"/>
    <w:rsid w:val="009974A0"/>
    <w:rsid w:val="009A1AD1"/>
    <w:rsid w:val="009A240D"/>
    <w:rsid w:val="009A7801"/>
    <w:rsid w:val="009B6A1C"/>
    <w:rsid w:val="009F2AD3"/>
    <w:rsid w:val="009F3B5B"/>
    <w:rsid w:val="00A07A8B"/>
    <w:rsid w:val="00A14C43"/>
    <w:rsid w:val="00A53047"/>
    <w:rsid w:val="00A542B5"/>
    <w:rsid w:val="00A77159"/>
    <w:rsid w:val="00A80D50"/>
    <w:rsid w:val="00A825CF"/>
    <w:rsid w:val="00A9349C"/>
    <w:rsid w:val="00AA7248"/>
    <w:rsid w:val="00AA7CD8"/>
    <w:rsid w:val="00AB099F"/>
    <w:rsid w:val="00AD4AD2"/>
    <w:rsid w:val="00AE068C"/>
    <w:rsid w:val="00AE14A6"/>
    <w:rsid w:val="00AE25B8"/>
    <w:rsid w:val="00AE2654"/>
    <w:rsid w:val="00AF176B"/>
    <w:rsid w:val="00B0689F"/>
    <w:rsid w:val="00B106E8"/>
    <w:rsid w:val="00B142B8"/>
    <w:rsid w:val="00B20652"/>
    <w:rsid w:val="00B22748"/>
    <w:rsid w:val="00B30661"/>
    <w:rsid w:val="00B364E6"/>
    <w:rsid w:val="00B42845"/>
    <w:rsid w:val="00B46E48"/>
    <w:rsid w:val="00B53034"/>
    <w:rsid w:val="00B54CF4"/>
    <w:rsid w:val="00B64834"/>
    <w:rsid w:val="00B72DB4"/>
    <w:rsid w:val="00B81672"/>
    <w:rsid w:val="00B838EA"/>
    <w:rsid w:val="00B93546"/>
    <w:rsid w:val="00B97628"/>
    <w:rsid w:val="00BA0669"/>
    <w:rsid w:val="00BE7D59"/>
    <w:rsid w:val="00BF0314"/>
    <w:rsid w:val="00BF07BE"/>
    <w:rsid w:val="00BF2672"/>
    <w:rsid w:val="00C06D34"/>
    <w:rsid w:val="00C24840"/>
    <w:rsid w:val="00C569B9"/>
    <w:rsid w:val="00C669AC"/>
    <w:rsid w:val="00C946B6"/>
    <w:rsid w:val="00CA08B6"/>
    <w:rsid w:val="00CA6EFE"/>
    <w:rsid w:val="00CD6AC0"/>
    <w:rsid w:val="00CF4AC5"/>
    <w:rsid w:val="00CF7EFB"/>
    <w:rsid w:val="00D02DB9"/>
    <w:rsid w:val="00D16789"/>
    <w:rsid w:val="00D35448"/>
    <w:rsid w:val="00D3587E"/>
    <w:rsid w:val="00D4086C"/>
    <w:rsid w:val="00D514DF"/>
    <w:rsid w:val="00D51C39"/>
    <w:rsid w:val="00D529C2"/>
    <w:rsid w:val="00D66215"/>
    <w:rsid w:val="00D67600"/>
    <w:rsid w:val="00D905A9"/>
    <w:rsid w:val="00D93700"/>
    <w:rsid w:val="00DA0183"/>
    <w:rsid w:val="00DA5DC2"/>
    <w:rsid w:val="00DB7440"/>
    <w:rsid w:val="00DD77F4"/>
    <w:rsid w:val="00DE55FB"/>
    <w:rsid w:val="00DF737E"/>
    <w:rsid w:val="00DF77BB"/>
    <w:rsid w:val="00E10AA9"/>
    <w:rsid w:val="00E118F8"/>
    <w:rsid w:val="00E11A56"/>
    <w:rsid w:val="00E15464"/>
    <w:rsid w:val="00E22FE7"/>
    <w:rsid w:val="00E23361"/>
    <w:rsid w:val="00E60556"/>
    <w:rsid w:val="00E62E55"/>
    <w:rsid w:val="00E65993"/>
    <w:rsid w:val="00E65D04"/>
    <w:rsid w:val="00E67C75"/>
    <w:rsid w:val="00EB4CA3"/>
    <w:rsid w:val="00EC6A73"/>
    <w:rsid w:val="00F0226E"/>
    <w:rsid w:val="00F07048"/>
    <w:rsid w:val="00F11438"/>
    <w:rsid w:val="00F13324"/>
    <w:rsid w:val="00F21262"/>
    <w:rsid w:val="00F35A28"/>
    <w:rsid w:val="00F546AF"/>
    <w:rsid w:val="00F62E76"/>
    <w:rsid w:val="00F66585"/>
    <w:rsid w:val="00F70D7B"/>
    <w:rsid w:val="00F7169F"/>
    <w:rsid w:val="00F72274"/>
    <w:rsid w:val="00F81D56"/>
    <w:rsid w:val="00F91E89"/>
    <w:rsid w:val="00FA25EA"/>
    <w:rsid w:val="00FC0754"/>
    <w:rsid w:val="00FD2272"/>
    <w:rsid w:val="00FD2F37"/>
    <w:rsid w:val="00FE7030"/>
    <w:rsid w:val="00FE7D14"/>
    <w:rsid w:val="00FF571C"/>
    <w:rsid w:val="00FF5D5A"/>
    <w:rsid w:val="07646365"/>
    <w:rsid w:val="092BF983"/>
    <w:rsid w:val="099E6D9E"/>
    <w:rsid w:val="0EC11894"/>
    <w:rsid w:val="105DAFFC"/>
    <w:rsid w:val="1463E8F0"/>
    <w:rsid w:val="155E95DC"/>
    <w:rsid w:val="205F132D"/>
    <w:rsid w:val="213BE1E8"/>
    <w:rsid w:val="24D8A8B1"/>
    <w:rsid w:val="272359F2"/>
    <w:rsid w:val="275C34C9"/>
    <w:rsid w:val="2CBD39E1"/>
    <w:rsid w:val="3293F53D"/>
    <w:rsid w:val="37B68E07"/>
    <w:rsid w:val="38FE9A2D"/>
    <w:rsid w:val="3A437012"/>
    <w:rsid w:val="3C2BDD8E"/>
    <w:rsid w:val="3D918062"/>
    <w:rsid w:val="42D5AABC"/>
    <w:rsid w:val="447FA83A"/>
    <w:rsid w:val="4834243E"/>
    <w:rsid w:val="488B09DD"/>
    <w:rsid w:val="4CD87B86"/>
    <w:rsid w:val="516F598B"/>
    <w:rsid w:val="51D2D06E"/>
    <w:rsid w:val="56CF186E"/>
    <w:rsid w:val="5BF62271"/>
    <w:rsid w:val="5E680245"/>
    <w:rsid w:val="5F82A945"/>
    <w:rsid w:val="614A84EA"/>
    <w:rsid w:val="64293A9B"/>
    <w:rsid w:val="6B6C9333"/>
    <w:rsid w:val="6B8E6D19"/>
    <w:rsid w:val="6D2CD372"/>
    <w:rsid w:val="6F043F67"/>
    <w:rsid w:val="79DFBB93"/>
    <w:rsid w:val="7C9CF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B3E2"/>
  <w15:chartTrackingRefBased/>
  <w15:docId w15:val="{B97D4E9F-AA2F-4A65-B5D0-69BD9E04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rsid w:val="00181F77"/>
    <w:pPr>
      <w:tabs>
        <w:tab w:val="right" w:leader="dot" w:pos="10212"/>
      </w:tabs>
      <w:spacing w:after="100"/>
    </w:pPr>
    <w:rPr>
      <w:b/>
      <w:bCs/>
      <w:noProof/>
      <w:sz w:val="28"/>
      <w:szCs w:val="28"/>
    </w:rPr>
  </w:style>
  <w:style w:type="paragraph" w:styleId="TOC2">
    <w:name w:val="toc 2"/>
    <w:basedOn w:val="Normal"/>
    <w:next w:val="Normal"/>
    <w:autoRedefine/>
    <w:uiPriority w:val="39"/>
    <w:unhideWhenUsed/>
    <w:rsid w:val="00181F77"/>
    <w:pPr>
      <w:tabs>
        <w:tab w:val="right" w:leader="dot" w:pos="10212"/>
      </w:tabs>
      <w:spacing w:after="100"/>
    </w:pPr>
  </w:style>
  <w:style w:type="paragraph" w:styleId="TOC3">
    <w:name w:val="toc 3"/>
    <w:basedOn w:val="Normal"/>
    <w:next w:val="Normal"/>
    <w:autoRedefine/>
    <w:uiPriority w:val="39"/>
    <w:unhideWhenUsed/>
    <w:rsid w:val="00181F77"/>
    <w:pPr>
      <w:spacing w:after="100"/>
      <w:ind w:left="480"/>
    </w:pPr>
  </w:style>
  <w:style w:type="character" w:styleId="CommentReference">
    <w:name w:val="annotation reference"/>
    <w:basedOn w:val="DefaultParagraphFont"/>
    <w:uiPriority w:val="99"/>
    <w:semiHidden/>
    <w:unhideWhenUsed/>
    <w:rsid w:val="000C6E62"/>
    <w:rPr>
      <w:sz w:val="16"/>
      <w:szCs w:val="16"/>
    </w:rPr>
  </w:style>
  <w:style w:type="paragraph" w:styleId="CommentText">
    <w:name w:val="annotation text"/>
    <w:basedOn w:val="Normal"/>
    <w:link w:val="CommentTextChar"/>
    <w:uiPriority w:val="99"/>
    <w:unhideWhenUsed/>
    <w:rsid w:val="000C6E62"/>
    <w:pPr>
      <w:spacing w:line="240" w:lineRule="auto"/>
    </w:pPr>
    <w:rPr>
      <w:sz w:val="20"/>
      <w:szCs w:val="20"/>
    </w:rPr>
  </w:style>
  <w:style w:type="character" w:customStyle="1" w:styleId="CommentTextChar">
    <w:name w:val="Comment Text Char"/>
    <w:basedOn w:val="DefaultParagraphFont"/>
    <w:link w:val="CommentText"/>
    <w:uiPriority w:val="99"/>
    <w:rsid w:val="000C6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C6E62"/>
    <w:rPr>
      <w:b/>
      <w:bCs/>
    </w:rPr>
  </w:style>
  <w:style w:type="character" w:customStyle="1" w:styleId="CommentSubjectChar">
    <w:name w:val="Comment Subject Char"/>
    <w:basedOn w:val="CommentTextChar"/>
    <w:link w:val="CommentSubject"/>
    <w:uiPriority w:val="99"/>
    <w:semiHidden/>
    <w:rsid w:val="000C6E62"/>
    <w:rPr>
      <w:rFonts w:eastAsiaTheme="minorEastAsia"/>
      <w:b/>
      <w:bCs/>
      <w:sz w:val="20"/>
      <w:szCs w:val="20"/>
    </w:rPr>
  </w:style>
  <w:style w:type="character" w:styleId="Mention">
    <w:name w:val="Mention"/>
    <w:basedOn w:val="DefaultParagraphFont"/>
    <w:uiPriority w:val="99"/>
    <w:unhideWhenUsed/>
    <w:rsid w:val="000C6E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2348">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1486824307">
      <w:bodyDiv w:val="1"/>
      <w:marLeft w:val="0"/>
      <w:marRight w:val="0"/>
      <w:marTop w:val="0"/>
      <w:marBottom w:val="0"/>
      <w:divBdr>
        <w:top w:val="none" w:sz="0" w:space="0" w:color="auto"/>
        <w:left w:val="none" w:sz="0" w:space="0" w:color="auto"/>
        <w:bottom w:val="none" w:sz="0" w:space="0" w:color="auto"/>
        <w:right w:val="none" w:sz="0" w:space="0" w:color="auto"/>
      </w:divBdr>
    </w:div>
    <w:div w:id="19306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0907A924-0ABF-4AD5-BD0A-3B681F98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4.xml><?xml version="1.0" encoding="utf-8"?>
<ds:datastoreItem xmlns:ds="http://schemas.openxmlformats.org/officeDocument/2006/customXml" ds:itemID="{A3016898-C939-47D2-A4B3-A42BF1E3B413}">
  <ds:schemaRefs>
    <ds:schemaRef ds:uri="http://schemas.microsoft.com/office/2006/metadata/properties"/>
    <ds:schemaRef ds:uri="7dd4d6b0-2bd1-40f7-94aa-8d4785e79023"/>
    <ds:schemaRef ds:uri="http://www.w3.org/XML/1998/namespace"/>
    <ds:schemaRef ds:uri="http://purl.org/dc/terms/"/>
    <ds:schemaRef ds:uri="http://schemas.microsoft.com/office/2006/documentManagement/types"/>
    <ds:schemaRef ds:uri="ce5b52f7-9556-48ad-bf4f-1238de82834a"/>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5</TotalTime>
  <Pages>9</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Links>
    <vt:vector size="78" baseType="variant">
      <vt:variant>
        <vt:i4>3539032</vt:i4>
      </vt:variant>
      <vt:variant>
        <vt:i4>75</vt:i4>
      </vt:variant>
      <vt:variant>
        <vt:i4>0</vt:i4>
      </vt:variant>
      <vt:variant>
        <vt:i4>5</vt:i4>
      </vt:variant>
      <vt:variant>
        <vt:lpwstr>mailto:equalities@sepa.org.uk</vt:lpwstr>
      </vt:variant>
      <vt:variant>
        <vt:lpwstr/>
      </vt:variant>
      <vt:variant>
        <vt:i4>1638450</vt:i4>
      </vt:variant>
      <vt:variant>
        <vt:i4>68</vt:i4>
      </vt:variant>
      <vt:variant>
        <vt:i4>0</vt:i4>
      </vt:variant>
      <vt:variant>
        <vt:i4>5</vt:i4>
      </vt:variant>
      <vt:variant>
        <vt:lpwstr/>
      </vt:variant>
      <vt:variant>
        <vt:lpwstr>_Toc190856695</vt:lpwstr>
      </vt:variant>
      <vt:variant>
        <vt:i4>1638450</vt:i4>
      </vt:variant>
      <vt:variant>
        <vt:i4>62</vt:i4>
      </vt:variant>
      <vt:variant>
        <vt:i4>0</vt:i4>
      </vt:variant>
      <vt:variant>
        <vt:i4>5</vt:i4>
      </vt:variant>
      <vt:variant>
        <vt:lpwstr/>
      </vt:variant>
      <vt:variant>
        <vt:lpwstr>_Toc190856694</vt:lpwstr>
      </vt:variant>
      <vt:variant>
        <vt:i4>1638450</vt:i4>
      </vt:variant>
      <vt:variant>
        <vt:i4>56</vt:i4>
      </vt:variant>
      <vt:variant>
        <vt:i4>0</vt:i4>
      </vt:variant>
      <vt:variant>
        <vt:i4>5</vt:i4>
      </vt:variant>
      <vt:variant>
        <vt:lpwstr/>
      </vt:variant>
      <vt:variant>
        <vt:lpwstr>_Toc190856693</vt:lpwstr>
      </vt:variant>
      <vt:variant>
        <vt:i4>1638450</vt:i4>
      </vt:variant>
      <vt:variant>
        <vt:i4>50</vt:i4>
      </vt:variant>
      <vt:variant>
        <vt:i4>0</vt:i4>
      </vt:variant>
      <vt:variant>
        <vt:i4>5</vt:i4>
      </vt:variant>
      <vt:variant>
        <vt:lpwstr/>
      </vt:variant>
      <vt:variant>
        <vt:lpwstr>_Toc190856692</vt:lpwstr>
      </vt:variant>
      <vt:variant>
        <vt:i4>1638450</vt:i4>
      </vt:variant>
      <vt:variant>
        <vt:i4>44</vt:i4>
      </vt:variant>
      <vt:variant>
        <vt:i4>0</vt:i4>
      </vt:variant>
      <vt:variant>
        <vt:i4>5</vt:i4>
      </vt:variant>
      <vt:variant>
        <vt:lpwstr/>
      </vt:variant>
      <vt:variant>
        <vt:lpwstr>_Toc190856691</vt:lpwstr>
      </vt:variant>
      <vt:variant>
        <vt:i4>1638450</vt:i4>
      </vt:variant>
      <vt:variant>
        <vt:i4>38</vt:i4>
      </vt:variant>
      <vt:variant>
        <vt:i4>0</vt:i4>
      </vt:variant>
      <vt:variant>
        <vt:i4>5</vt:i4>
      </vt:variant>
      <vt:variant>
        <vt:lpwstr/>
      </vt:variant>
      <vt:variant>
        <vt:lpwstr>_Toc190856690</vt:lpwstr>
      </vt:variant>
      <vt:variant>
        <vt:i4>1572914</vt:i4>
      </vt:variant>
      <vt:variant>
        <vt:i4>32</vt:i4>
      </vt:variant>
      <vt:variant>
        <vt:i4>0</vt:i4>
      </vt:variant>
      <vt:variant>
        <vt:i4>5</vt:i4>
      </vt:variant>
      <vt:variant>
        <vt:lpwstr/>
      </vt:variant>
      <vt:variant>
        <vt:lpwstr>_Toc190856689</vt:lpwstr>
      </vt:variant>
      <vt:variant>
        <vt:i4>1572914</vt:i4>
      </vt:variant>
      <vt:variant>
        <vt:i4>26</vt:i4>
      </vt:variant>
      <vt:variant>
        <vt:i4>0</vt:i4>
      </vt:variant>
      <vt:variant>
        <vt:i4>5</vt:i4>
      </vt:variant>
      <vt:variant>
        <vt:lpwstr/>
      </vt:variant>
      <vt:variant>
        <vt:lpwstr>_Toc190856688</vt:lpwstr>
      </vt:variant>
      <vt:variant>
        <vt:i4>1572914</vt:i4>
      </vt:variant>
      <vt:variant>
        <vt:i4>20</vt:i4>
      </vt:variant>
      <vt:variant>
        <vt:i4>0</vt:i4>
      </vt:variant>
      <vt:variant>
        <vt:i4>5</vt:i4>
      </vt:variant>
      <vt:variant>
        <vt:lpwstr/>
      </vt:variant>
      <vt:variant>
        <vt:lpwstr>_Toc190856687</vt:lpwstr>
      </vt:variant>
      <vt:variant>
        <vt:i4>1572914</vt:i4>
      </vt:variant>
      <vt:variant>
        <vt:i4>14</vt:i4>
      </vt:variant>
      <vt:variant>
        <vt:i4>0</vt:i4>
      </vt:variant>
      <vt:variant>
        <vt:i4>5</vt:i4>
      </vt:variant>
      <vt:variant>
        <vt:lpwstr/>
      </vt:variant>
      <vt:variant>
        <vt:lpwstr>_Toc190856686</vt:lpwstr>
      </vt:variant>
      <vt:variant>
        <vt:i4>1572914</vt:i4>
      </vt:variant>
      <vt:variant>
        <vt:i4>8</vt:i4>
      </vt:variant>
      <vt:variant>
        <vt:i4>0</vt:i4>
      </vt:variant>
      <vt:variant>
        <vt:i4>5</vt:i4>
      </vt:variant>
      <vt:variant>
        <vt:lpwstr/>
      </vt:variant>
      <vt:variant>
        <vt:lpwstr>_Toc190856685</vt:lpwstr>
      </vt:variant>
      <vt:variant>
        <vt:i4>1572914</vt:i4>
      </vt:variant>
      <vt:variant>
        <vt:i4>2</vt:i4>
      </vt:variant>
      <vt:variant>
        <vt:i4>0</vt:i4>
      </vt:variant>
      <vt:variant>
        <vt:i4>5</vt:i4>
      </vt:variant>
      <vt:variant>
        <vt:lpwstr/>
      </vt:variant>
      <vt:variant>
        <vt:lpwstr>_Toc190856684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116</cp:revision>
  <cp:lastPrinted>2023-03-24T04:44:00Z</cp:lastPrinted>
  <dcterms:created xsi:type="dcterms:W3CDTF">2025-01-30T23:35:00Z</dcterms:created>
  <dcterms:modified xsi:type="dcterms:W3CDTF">2025-05-01T14:37:00Z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