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507F4" w14:textId="0BBF3BF2" w:rsidR="005C4F56" w:rsidRDefault="701A57DA" w:rsidP="5609930F">
      <w:pPr>
        <w:spacing w:after="240" w:line="360" w:lineRule="auto"/>
        <w:rPr>
          <w:rFonts w:ascii="Arial" w:eastAsia="Arial" w:hAnsi="Arial" w:cs="Arial"/>
          <w:color w:val="000000" w:themeColor="text1"/>
        </w:rPr>
      </w:pPr>
      <w:r w:rsidRPr="5609930F">
        <w:rPr>
          <w:rFonts w:ascii="Arial" w:eastAsia="Arial" w:hAnsi="Arial" w:cs="Arial"/>
          <w:color w:val="000000" w:themeColor="text1"/>
        </w:rPr>
        <w:t xml:space="preserve">  </w:t>
      </w:r>
      <w:r>
        <w:rPr>
          <w:noProof/>
        </w:rPr>
        <w:drawing>
          <wp:inline distT="0" distB="0" distL="0" distR="0" wp14:anchorId="06511947" wp14:editId="3E389D3A">
            <wp:extent cx="3067050" cy="771525"/>
            <wp:effectExtent l="0" t="0" r="0" b="0"/>
            <wp:docPr id="676947908" name="drawing" descr="Picture 2,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947908" name=""/>
                    <pic:cNvPicPr/>
                  </pic:nvPicPr>
                  <pic:blipFill>
                    <a:blip r:embed="rId9">
                      <a:extLst>
                        <a:ext uri="{28A0092B-C50C-407E-A947-70E740481C1C}">
                          <a14:useLocalDpi xmlns:a14="http://schemas.microsoft.com/office/drawing/2010/main" val="0"/>
                        </a:ext>
                      </a:extLst>
                    </a:blip>
                    <a:stretch>
                      <a:fillRect/>
                    </a:stretch>
                  </pic:blipFill>
                  <pic:spPr>
                    <a:xfrm>
                      <a:off x="0" y="0"/>
                      <a:ext cx="3067050" cy="771525"/>
                    </a:xfrm>
                    <a:prstGeom prst="rect">
                      <a:avLst/>
                    </a:prstGeom>
                  </pic:spPr>
                </pic:pic>
              </a:graphicData>
            </a:graphic>
          </wp:inline>
        </w:drawing>
      </w:r>
    </w:p>
    <w:p w14:paraId="6D51BA27" w14:textId="416698D6" w:rsidR="005C4F56" w:rsidRDefault="701A57DA" w:rsidP="5609930F">
      <w:pPr>
        <w:keepNext/>
        <w:keepLines/>
        <w:spacing w:after="240" w:line="276" w:lineRule="auto"/>
        <w:rPr>
          <w:rFonts w:ascii="Arial" w:eastAsia="Arial" w:hAnsi="Arial" w:cs="Arial"/>
          <w:b/>
          <w:bCs/>
          <w:color w:val="016574"/>
          <w:sz w:val="48"/>
          <w:szCs w:val="48"/>
        </w:rPr>
      </w:pPr>
      <w:r w:rsidRPr="5609930F">
        <w:rPr>
          <w:rFonts w:ascii="Arial" w:eastAsia="Arial" w:hAnsi="Arial" w:cs="Arial"/>
          <w:b/>
          <w:bCs/>
          <w:color w:val="016574"/>
          <w:sz w:val="48"/>
          <w:szCs w:val="48"/>
        </w:rPr>
        <w:t xml:space="preserve"> </w:t>
      </w:r>
      <w:r w:rsidR="16D53D46" w:rsidRPr="5609930F">
        <w:rPr>
          <w:rFonts w:ascii="Arial" w:eastAsia="Arial" w:hAnsi="Arial" w:cs="Arial"/>
          <w:b/>
          <w:bCs/>
          <w:color w:val="016574"/>
          <w:sz w:val="48"/>
          <w:szCs w:val="48"/>
        </w:rPr>
        <w:t>R</w:t>
      </w:r>
      <w:r w:rsidRPr="5609930F">
        <w:rPr>
          <w:rFonts w:ascii="Arial" w:eastAsia="Arial" w:hAnsi="Arial" w:cs="Arial"/>
          <w:b/>
          <w:bCs/>
          <w:color w:val="016574"/>
          <w:sz w:val="48"/>
          <w:szCs w:val="48"/>
        </w:rPr>
        <w:t xml:space="preserve">egulatory position statement </w:t>
      </w:r>
    </w:p>
    <w:p w14:paraId="0E072820" w14:textId="45F75A17" w:rsidR="005C4F56" w:rsidRDefault="33ABB709" w:rsidP="5609930F">
      <w:pPr>
        <w:keepNext/>
        <w:keepLines/>
        <w:spacing w:after="240" w:line="276" w:lineRule="auto"/>
        <w:rPr>
          <w:rFonts w:ascii="Arial" w:eastAsia="Arial" w:hAnsi="Arial" w:cs="Arial"/>
          <w:b/>
          <w:bCs/>
          <w:color w:val="016574"/>
          <w:sz w:val="48"/>
          <w:szCs w:val="48"/>
        </w:rPr>
      </w:pPr>
      <w:r w:rsidRPr="5609930F">
        <w:rPr>
          <w:b/>
          <w:bCs/>
          <w:color w:val="016574"/>
          <w:sz w:val="48"/>
          <w:szCs w:val="48"/>
        </w:rPr>
        <w:t>Permitting of Pyrolysis and Gasification of Waste Activities</w:t>
      </w:r>
    </w:p>
    <w:p w14:paraId="20280F86" w14:textId="49990D0B" w:rsidR="005C4F56" w:rsidRDefault="701A57DA" w:rsidP="5609930F">
      <w:pPr>
        <w:keepNext/>
        <w:keepLines/>
        <w:spacing w:after="240" w:line="276" w:lineRule="auto"/>
        <w:rPr>
          <w:rFonts w:ascii="Arial" w:eastAsia="Arial" w:hAnsi="Arial" w:cs="Arial"/>
          <w:b/>
          <w:bCs/>
          <w:color w:val="016574"/>
          <w:sz w:val="32"/>
          <w:szCs w:val="32"/>
        </w:rPr>
      </w:pPr>
      <w:r w:rsidRPr="5609930F">
        <w:rPr>
          <w:rFonts w:ascii="Arial" w:eastAsia="Arial" w:hAnsi="Arial" w:cs="Arial"/>
          <w:b/>
          <w:bCs/>
          <w:color w:val="016574"/>
          <w:sz w:val="32"/>
          <w:szCs w:val="32"/>
        </w:rPr>
        <w:t xml:space="preserve"> 01 June 2025</w:t>
      </w:r>
    </w:p>
    <w:p w14:paraId="3657AA30" w14:textId="300A1944" w:rsidR="005C4F56" w:rsidRDefault="701A57DA" w:rsidP="5609930F">
      <w:pPr>
        <w:tabs>
          <w:tab w:val="center" w:pos="4513"/>
          <w:tab w:val="right" w:pos="9026"/>
        </w:tabs>
        <w:spacing w:after="240" w:line="240" w:lineRule="auto"/>
        <w:ind w:right="360"/>
        <w:rPr>
          <w:rFonts w:ascii="Arial" w:eastAsia="Arial" w:hAnsi="Arial" w:cs="Arial"/>
          <w:color w:val="000000" w:themeColor="text1"/>
        </w:rPr>
      </w:pPr>
      <w:r>
        <w:rPr>
          <w:noProof/>
        </w:rPr>
        <w:drawing>
          <wp:inline distT="0" distB="0" distL="0" distR="0" wp14:anchorId="57E13103" wp14:editId="687C24A7">
            <wp:extent cx="9525" cy="9525"/>
            <wp:effectExtent l="0" t="0" r="0" b="0"/>
            <wp:docPr id="251290799" name="drawing" descr="Straight Connector 12,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290799" name=""/>
                    <pic:cNvPicPr/>
                  </pic:nvPicPr>
                  <pic:blipFill>
                    <a:blip r:embed="rId10">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5609930F">
        <w:rPr>
          <w:rFonts w:ascii="Arial" w:eastAsia="Arial" w:hAnsi="Arial" w:cs="Arial"/>
          <w:color w:val="000000" w:themeColor="text1"/>
        </w:rPr>
        <w:t xml:space="preserve"> </w:t>
      </w:r>
    </w:p>
    <w:p w14:paraId="7F5D3F6F" w14:textId="0DE309DC" w:rsidR="005C4F56" w:rsidRDefault="32AC7F3B" w:rsidP="5609930F">
      <w:pPr>
        <w:tabs>
          <w:tab w:val="center" w:pos="4513"/>
          <w:tab w:val="right" w:pos="9026"/>
        </w:tabs>
        <w:spacing w:after="240" w:line="276" w:lineRule="auto"/>
        <w:rPr>
          <w:rFonts w:ascii="Arial" w:eastAsia="Arial" w:hAnsi="Arial" w:cs="Arial"/>
          <w:b/>
          <w:bCs/>
          <w:color w:val="016574"/>
          <w:sz w:val="32"/>
          <w:szCs w:val="32"/>
        </w:rPr>
      </w:pPr>
      <w:r w:rsidRPr="5609930F">
        <w:rPr>
          <w:rFonts w:ascii="Arial" w:eastAsia="Arial" w:hAnsi="Arial" w:cs="Arial"/>
          <w:b/>
          <w:bCs/>
          <w:color w:val="016574"/>
          <w:sz w:val="32"/>
          <w:szCs w:val="32"/>
        </w:rPr>
        <w:t>Purpose</w:t>
      </w:r>
    </w:p>
    <w:p w14:paraId="61D5E3AF" w14:textId="22FD9990" w:rsidR="005C4F56" w:rsidRDefault="32AC7F3B" w:rsidP="5609930F">
      <w:pPr>
        <w:tabs>
          <w:tab w:val="center" w:pos="4513"/>
          <w:tab w:val="right" w:pos="9026"/>
        </w:tabs>
        <w:spacing w:after="240" w:line="360" w:lineRule="auto"/>
        <w:rPr>
          <w:rFonts w:ascii="Arial" w:eastAsia="Arial" w:hAnsi="Arial" w:cs="Arial"/>
          <w:color w:val="000000" w:themeColor="text1"/>
        </w:rPr>
      </w:pPr>
      <w:r w:rsidRPr="5609930F">
        <w:rPr>
          <w:rFonts w:ascii="Arial" w:eastAsia="Arial" w:hAnsi="Arial" w:cs="Arial"/>
          <w:color w:val="000000" w:themeColor="text1"/>
        </w:rPr>
        <w:t xml:space="preserve">This Regulatory Position Statement (RPS) sets out SEPA’s approach to the permitting of pyrolysis and gasification processes (which use waste as the starting material and then produce outputs such as syngas, </w:t>
      </w:r>
      <w:proofErr w:type="spellStart"/>
      <w:r w:rsidRPr="5609930F">
        <w:rPr>
          <w:rFonts w:ascii="Arial" w:eastAsia="Arial" w:hAnsi="Arial" w:cs="Arial"/>
          <w:color w:val="000000" w:themeColor="text1"/>
        </w:rPr>
        <w:t>synoil</w:t>
      </w:r>
      <w:proofErr w:type="spellEnd"/>
      <w:r w:rsidRPr="5609930F">
        <w:rPr>
          <w:rFonts w:ascii="Arial" w:eastAsia="Arial" w:hAnsi="Arial" w:cs="Arial"/>
          <w:color w:val="000000" w:themeColor="text1"/>
        </w:rPr>
        <w:t xml:space="preserve"> or char) where the </w:t>
      </w:r>
      <w:proofErr w:type="spellStart"/>
      <w:r w:rsidRPr="5609930F">
        <w:rPr>
          <w:rFonts w:ascii="Arial" w:eastAsia="Arial" w:hAnsi="Arial" w:cs="Arial"/>
          <w:color w:val="000000" w:themeColor="text1"/>
        </w:rPr>
        <w:t>syn</w:t>
      </w:r>
      <w:proofErr w:type="spellEnd"/>
      <w:r w:rsidRPr="5609930F">
        <w:rPr>
          <w:rFonts w:ascii="Arial" w:eastAsia="Arial" w:hAnsi="Arial" w:cs="Arial"/>
          <w:color w:val="000000" w:themeColor="text1"/>
        </w:rPr>
        <w:t>-gas meets the conditions laid out in Article 42(1) of the Industrial Emissions Directive (IED) and it, along with all other products as necessary, receive ‘End-of-Waste’ approval prior to being burned. Specifically, this RPS sets out the prescribed activity under the Environmental Authorisation (Scotland) Regulations 2018 (EASR)</w:t>
      </w:r>
      <w:r w:rsidR="0125E9C4" w:rsidRPr="5609930F">
        <w:rPr>
          <w:rFonts w:ascii="Arial" w:eastAsia="Arial" w:hAnsi="Arial" w:cs="Arial"/>
          <w:color w:val="000000" w:themeColor="text1"/>
        </w:rPr>
        <w:t>.</w:t>
      </w:r>
    </w:p>
    <w:p w14:paraId="35ECE4AC" w14:textId="59586B4F" w:rsidR="005C4F56" w:rsidRDefault="32AC7F3B" w:rsidP="5609930F">
      <w:pPr>
        <w:tabs>
          <w:tab w:val="center" w:pos="4513"/>
          <w:tab w:val="right" w:pos="9026"/>
        </w:tabs>
        <w:spacing w:after="240" w:line="360" w:lineRule="auto"/>
        <w:rPr>
          <w:rFonts w:ascii="Arial" w:eastAsia="Arial" w:hAnsi="Arial" w:cs="Arial"/>
          <w:color w:val="000000" w:themeColor="text1"/>
        </w:rPr>
      </w:pPr>
      <w:r w:rsidRPr="5609930F">
        <w:rPr>
          <w:rFonts w:ascii="Arial" w:eastAsia="Arial" w:hAnsi="Arial" w:cs="Arial"/>
          <w:color w:val="000000" w:themeColor="text1"/>
        </w:rPr>
        <w:t xml:space="preserve"> To support this Regulatory Position Statement, separate guidance </w:t>
      </w:r>
      <w:r w:rsidR="7D5C718A" w:rsidRPr="5609930F">
        <w:rPr>
          <w:rFonts w:ascii="Arial" w:eastAsia="Arial" w:hAnsi="Arial" w:cs="Arial"/>
          <w:color w:val="000000" w:themeColor="text1"/>
        </w:rPr>
        <w:t xml:space="preserve">is </w:t>
      </w:r>
      <w:r w:rsidR="5AF9C89C" w:rsidRPr="5609930F">
        <w:rPr>
          <w:rFonts w:ascii="Arial" w:eastAsia="Arial" w:hAnsi="Arial" w:cs="Arial"/>
          <w:color w:val="000000" w:themeColor="text1"/>
        </w:rPr>
        <w:t>available which</w:t>
      </w:r>
      <w:r w:rsidRPr="5609930F">
        <w:rPr>
          <w:rFonts w:ascii="Arial" w:eastAsia="Arial" w:hAnsi="Arial" w:cs="Arial"/>
          <w:color w:val="000000" w:themeColor="text1"/>
        </w:rPr>
        <w:t xml:space="preserve"> provide</w:t>
      </w:r>
      <w:r w:rsidR="04FBA02C" w:rsidRPr="5609930F">
        <w:rPr>
          <w:rFonts w:ascii="Arial" w:eastAsia="Arial" w:hAnsi="Arial" w:cs="Arial"/>
          <w:color w:val="000000" w:themeColor="text1"/>
        </w:rPr>
        <w:t>s</w:t>
      </w:r>
      <w:r w:rsidRPr="5609930F">
        <w:rPr>
          <w:rFonts w:ascii="Arial" w:eastAsia="Arial" w:hAnsi="Arial" w:cs="Arial"/>
          <w:color w:val="000000" w:themeColor="text1"/>
        </w:rPr>
        <w:t xml:space="preserve"> additional information on how to demonstrate an ‘End-of-Waste’ case for the </w:t>
      </w:r>
      <w:proofErr w:type="spellStart"/>
      <w:r w:rsidRPr="5609930F">
        <w:rPr>
          <w:rFonts w:ascii="Arial" w:eastAsia="Arial" w:hAnsi="Arial" w:cs="Arial"/>
          <w:color w:val="000000" w:themeColor="text1"/>
        </w:rPr>
        <w:t>syn</w:t>
      </w:r>
      <w:proofErr w:type="spellEnd"/>
      <w:r w:rsidRPr="5609930F">
        <w:rPr>
          <w:rFonts w:ascii="Arial" w:eastAsia="Arial" w:hAnsi="Arial" w:cs="Arial"/>
          <w:color w:val="000000" w:themeColor="text1"/>
        </w:rPr>
        <w:t>-gas and the information that will be required to support an application.</w:t>
      </w:r>
    </w:p>
    <w:p w14:paraId="1970E95C" w14:textId="21A744DF" w:rsidR="005C4F56" w:rsidRDefault="701A57DA" w:rsidP="5609930F">
      <w:pPr>
        <w:keepNext/>
        <w:keepLines/>
        <w:spacing w:after="240" w:line="276" w:lineRule="auto"/>
        <w:rPr>
          <w:rFonts w:ascii="Arial" w:eastAsia="Arial" w:hAnsi="Arial" w:cs="Arial"/>
          <w:b/>
          <w:bCs/>
          <w:color w:val="016574"/>
          <w:sz w:val="32"/>
          <w:szCs w:val="32"/>
        </w:rPr>
      </w:pPr>
      <w:r w:rsidRPr="5609930F">
        <w:rPr>
          <w:rFonts w:ascii="Arial" w:eastAsia="Arial" w:hAnsi="Arial" w:cs="Arial"/>
          <w:b/>
          <w:bCs/>
          <w:color w:val="016574"/>
          <w:sz w:val="32"/>
          <w:szCs w:val="32"/>
        </w:rPr>
        <w:lastRenderedPageBreak/>
        <w:t xml:space="preserve"> </w:t>
      </w:r>
    </w:p>
    <w:p w14:paraId="40FB1AD0" w14:textId="57A991B9" w:rsidR="005C4F56" w:rsidRDefault="701A57DA" w:rsidP="5609930F">
      <w:pPr>
        <w:keepNext/>
        <w:keepLines/>
        <w:spacing w:after="240" w:line="276" w:lineRule="auto"/>
        <w:rPr>
          <w:rFonts w:ascii="Arial" w:eastAsia="Arial" w:hAnsi="Arial" w:cs="Arial"/>
          <w:b/>
          <w:bCs/>
          <w:color w:val="016574"/>
          <w:sz w:val="32"/>
          <w:szCs w:val="32"/>
        </w:rPr>
      </w:pPr>
      <w:r w:rsidRPr="5609930F">
        <w:rPr>
          <w:rFonts w:ascii="Arial" w:eastAsia="Arial" w:hAnsi="Arial" w:cs="Arial"/>
          <w:b/>
          <w:bCs/>
          <w:color w:val="016574"/>
          <w:sz w:val="32"/>
          <w:szCs w:val="32"/>
        </w:rPr>
        <w:t>Background</w:t>
      </w:r>
    </w:p>
    <w:p w14:paraId="00315C4B" w14:textId="2F9C912F" w:rsidR="005C4F56" w:rsidRDefault="3392DC0E" w:rsidP="5609930F">
      <w:pPr>
        <w:keepNext/>
        <w:keepLines/>
        <w:spacing w:after="240" w:line="360" w:lineRule="auto"/>
        <w:rPr>
          <w:rFonts w:ascii="Arial" w:eastAsia="Arial" w:hAnsi="Arial" w:cs="Arial"/>
          <w:color w:val="000000" w:themeColor="text1"/>
        </w:rPr>
      </w:pPr>
      <w:r w:rsidRPr="5609930F">
        <w:rPr>
          <w:rFonts w:ascii="Arial" w:eastAsia="Arial" w:hAnsi="Arial" w:cs="Arial"/>
          <w:color w:val="000000" w:themeColor="text1"/>
        </w:rPr>
        <w:t xml:space="preserve">The second paragraph of Article 42(1) of the IED states: “This Chapter [Chapter IV] shall not apply to gasification or pyrolysis plants, if the gases resulting from this thermal treatment of waste are purified to such an extent that they are no longer a waste prior to their incineration and they can cause emissions no higher than those resulting from the burning of natural gas.” </w:t>
      </w:r>
    </w:p>
    <w:p w14:paraId="36DD6983" w14:textId="2243C689" w:rsidR="005C4F56" w:rsidRDefault="3392DC0E" w:rsidP="5609930F">
      <w:pPr>
        <w:keepNext/>
        <w:keepLines/>
        <w:spacing w:after="240" w:line="360" w:lineRule="auto"/>
        <w:rPr>
          <w:rFonts w:ascii="Arial" w:eastAsia="Arial" w:hAnsi="Arial" w:cs="Arial"/>
          <w:color w:val="000000" w:themeColor="text1"/>
        </w:rPr>
      </w:pPr>
      <w:r w:rsidRPr="5609930F">
        <w:rPr>
          <w:rFonts w:ascii="Arial" w:eastAsia="Arial" w:hAnsi="Arial" w:cs="Arial"/>
          <w:color w:val="000000" w:themeColor="text1"/>
        </w:rPr>
        <w:t xml:space="preserve">SEPA has received </w:t>
      </w:r>
      <w:proofErr w:type="gramStart"/>
      <w:r w:rsidRPr="5609930F">
        <w:rPr>
          <w:rFonts w:ascii="Arial" w:eastAsia="Arial" w:hAnsi="Arial" w:cs="Arial"/>
          <w:color w:val="000000" w:themeColor="text1"/>
        </w:rPr>
        <w:t>a number of</w:t>
      </w:r>
      <w:proofErr w:type="gramEnd"/>
      <w:r w:rsidRPr="5609930F">
        <w:rPr>
          <w:rFonts w:ascii="Arial" w:eastAsia="Arial" w:hAnsi="Arial" w:cs="Arial"/>
          <w:color w:val="000000" w:themeColor="text1"/>
        </w:rPr>
        <w:t xml:space="preserve"> proposals seeking to obtain a permit for pyrolysis and gasification processes used to produce outputs such as syngas, </w:t>
      </w:r>
      <w:proofErr w:type="spellStart"/>
      <w:r w:rsidRPr="5609930F">
        <w:rPr>
          <w:rFonts w:ascii="Arial" w:eastAsia="Arial" w:hAnsi="Arial" w:cs="Arial"/>
          <w:color w:val="000000" w:themeColor="text1"/>
        </w:rPr>
        <w:t>synoil</w:t>
      </w:r>
      <w:proofErr w:type="spellEnd"/>
      <w:r w:rsidRPr="5609930F">
        <w:rPr>
          <w:rFonts w:ascii="Arial" w:eastAsia="Arial" w:hAnsi="Arial" w:cs="Arial"/>
          <w:color w:val="000000" w:themeColor="text1"/>
        </w:rPr>
        <w:t xml:space="preserve"> or char, where the </w:t>
      </w:r>
      <w:proofErr w:type="spellStart"/>
      <w:r w:rsidRPr="5609930F">
        <w:rPr>
          <w:rFonts w:ascii="Arial" w:eastAsia="Arial" w:hAnsi="Arial" w:cs="Arial"/>
          <w:color w:val="000000" w:themeColor="text1"/>
        </w:rPr>
        <w:t>syn</w:t>
      </w:r>
      <w:proofErr w:type="spellEnd"/>
      <w:r w:rsidRPr="5609930F">
        <w:rPr>
          <w:rFonts w:ascii="Arial" w:eastAsia="Arial" w:hAnsi="Arial" w:cs="Arial"/>
          <w:color w:val="000000" w:themeColor="text1"/>
        </w:rPr>
        <w:t xml:space="preserve">-gas could meet the conditions laid out in Article 42(1) of the IED and an ‘End-of-Waste’ case could be made prior to being burned. </w:t>
      </w:r>
    </w:p>
    <w:p w14:paraId="3C33235D" w14:textId="50ACF134" w:rsidR="005C4F56" w:rsidRDefault="3392DC0E" w:rsidP="5609930F">
      <w:pPr>
        <w:keepNext/>
        <w:keepLines/>
        <w:spacing w:after="240" w:line="360" w:lineRule="auto"/>
        <w:rPr>
          <w:rFonts w:ascii="Arial" w:eastAsia="Arial" w:hAnsi="Arial" w:cs="Arial"/>
          <w:color w:val="000000" w:themeColor="text1"/>
        </w:rPr>
      </w:pPr>
      <w:r w:rsidRPr="5609930F">
        <w:rPr>
          <w:rFonts w:ascii="Arial" w:eastAsia="Arial" w:hAnsi="Arial" w:cs="Arial"/>
          <w:color w:val="000000" w:themeColor="text1"/>
        </w:rPr>
        <w:t xml:space="preserve">Where the waste </w:t>
      </w:r>
      <w:proofErr w:type="spellStart"/>
      <w:r w:rsidRPr="5609930F">
        <w:rPr>
          <w:rFonts w:ascii="Arial" w:eastAsia="Arial" w:hAnsi="Arial" w:cs="Arial"/>
          <w:color w:val="000000" w:themeColor="text1"/>
        </w:rPr>
        <w:t>syn</w:t>
      </w:r>
      <w:proofErr w:type="spellEnd"/>
      <w:r w:rsidRPr="5609930F">
        <w:rPr>
          <w:rFonts w:ascii="Arial" w:eastAsia="Arial" w:hAnsi="Arial" w:cs="Arial"/>
          <w:color w:val="000000" w:themeColor="text1"/>
        </w:rPr>
        <w:t xml:space="preserve">-gas does not meet these criteria and that </w:t>
      </w:r>
      <w:proofErr w:type="spellStart"/>
      <w:r w:rsidRPr="5609930F">
        <w:rPr>
          <w:rFonts w:ascii="Arial" w:eastAsia="Arial" w:hAnsi="Arial" w:cs="Arial"/>
          <w:color w:val="000000" w:themeColor="text1"/>
        </w:rPr>
        <w:t>syn</w:t>
      </w:r>
      <w:proofErr w:type="spellEnd"/>
      <w:r w:rsidRPr="5609930F">
        <w:rPr>
          <w:rFonts w:ascii="Arial" w:eastAsia="Arial" w:hAnsi="Arial" w:cs="Arial"/>
          <w:color w:val="000000" w:themeColor="text1"/>
        </w:rPr>
        <w:t>-gas is subsequently incinerated the activity will be treated as an activity under EASR.</w:t>
      </w:r>
    </w:p>
    <w:p w14:paraId="5C212CE1" w14:textId="6EF5D79E" w:rsidR="005C4F56" w:rsidRDefault="7CD2FE92" w:rsidP="5609930F">
      <w:pPr>
        <w:keepNext/>
        <w:keepLines/>
        <w:spacing w:after="240" w:line="360" w:lineRule="auto"/>
      </w:pPr>
      <w:r w:rsidRPr="5609930F">
        <w:rPr>
          <w:rFonts w:ascii="Arial" w:eastAsia="Arial" w:hAnsi="Arial" w:cs="Arial"/>
        </w:rPr>
        <w:t xml:space="preserve">In the situation where the waste </w:t>
      </w:r>
      <w:proofErr w:type="spellStart"/>
      <w:r w:rsidRPr="5609930F">
        <w:rPr>
          <w:rFonts w:ascii="Arial" w:eastAsia="Arial" w:hAnsi="Arial" w:cs="Arial"/>
        </w:rPr>
        <w:t>syn</w:t>
      </w:r>
      <w:proofErr w:type="spellEnd"/>
      <w:r w:rsidRPr="5609930F">
        <w:rPr>
          <w:rFonts w:ascii="Arial" w:eastAsia="Arial" w:hAnsi="Arial" w:cs="Arial"/>
        </w:rPr>
        <w:t xml:space="preserve">-gas is cleaned to such an extent that it can meet an ‘End-of-Waste’ case (meeting a standard equivalent to natural gas) before it is burned, the activity that is being carried out could </w:t>
      </w:r>
      <w:proofErr w:type="gramStart"/>
      <w:r w:rsidRPr="5609930F">
        <w:rPr>
          <w:rFonts w:ascii="Arial" w:eastAsia="Arial" w:hAnsi="Arial" w:cs="Arial"/>
        </w:rPr>
        <w:t>be considered to be</w:t>
      </w:r>
      <w:proofErr w:type="gramEnd"/>
      <w:r w:rsidRPr="5609930F">
        <w:rPr>
          <w:rFonts w:ascii="Arial" w:eastAsia="Arial" w:hAnsi="Arial" w:cs="Arial"/>
        </w:rPr>
        <w:t xml:space="preserve"> either combustion or pyrolysis</w:t>
      </w:r>
      <w:r w:rsidRPr="5609930F">
        <w:rPr>
          <w:rFonts w:ascii="Arial" w:eastAsia="Arial" w:hAnsi="Arial" w:cs="Arial"/>
          <w:vertAlign w:val="superscript"/>
        </w:rPr>
        <w:t xml:space="preserve"> 2</w:t>
      </w:r>
      <w:r w:rsidRPr="5609930F">
        <w:rPr>
          <w:rFonts w:ascii="Arial" w:eastAsia="Arial" w:hAnsi="Arial" w:cs="Arial"/>
        </w:rPr>
        <w:t xml:space="preserve">. </w:t>
      </w:r>
    </w:p>
    <w:p w14:paraId="6DA45C33" w14:textId="41287FFF" w:rsidR="005C4F56" w:rsidRDefault="005C4F56" w:rsidP="5609930F">
      <w:pPr>
        <w:keepNext/>
        <w:keepLines/>
        <w:spacing w:after="240" w:line="360" w:lineRule="auto"/>
        <w:rPr>
          <w:rFonts w:ascii="Arial" w:eastAsia="Arial" w:hAnsi="Arial" w:cs="Arial"/>
          <w:color w:val="000000" w:themeColor="text1"/>
        </w:rPr>
      </w:pPr>
    </w:p>
    <w:p w14:paraId="3A936CE0" w14:textId="048440A8" w:rsidR="005C4F56" w:rsidRDefault="701A57DA" w:rsidP="5609930F">
      <w:pPr>
        <w:spacing w:after="240" w:line="360" w:lineRule="auto"/>
        <w:rPr>
          <w:rFonts w:ascii="Arial" w:eastAsia="Arial" w:hAnsi="Arial" w:cs="Arial"/>
          <w:b/>
          <w:bCs/>
          <w:color w:val="016574"/>
          <w:sz w:val="32"/>
          <w:szCs w:val="32"/>
        </w:rPr>
      </w:pPr>
      <w:r w:rsidRPr="5609930F">
        <w:rPr>
          <w:rFonts w:ascii="Arial" w:eastAsia="Arial" w:hAnsi="Arial" w:cs="Arial"/>
          <w:b/>
          <w:bCs/>
          <w:color w:val="016574"/>
          <w:sz w:val="32"/>
          <w:szCs w:val="32"/>
        </w:rPr>
        <w:t xml:space="preserve"> SEPA Position </w:t>
      </w:r>
    </w:p>
    <w:p w14:paraId="4F5CDA7E" w14:textId="131E0CBF" w:rsidR="005C4F56" w:rsidRDefault="76383877" w:rsidP="082E5A0F">
      <w:pPr>
        <w:spacing w:after="240" w:line="360" w:lineRule="auto"/>
        <w:rPr>
          <w:rFonts w:ascii="Arial" w:eastAsia="Arial" w:hAnsi="Arial" w:cs="Arial"/>
          <w:color w:val="000000" w:themeColor="text1"/>
        </w:rPr>
      </w:pPr>
      <w:r w:rsidRPr="082E5A0F">
        <w:rPr>
          <w:rFonts w:ascii="Arial" w:eastAsia="Arial" w:hAnsi="Arial" w:cs="Arial"/>
        </w:rPr>
        <w:t xml:space="preserve">Until publication of additional guidance where waste undergoes pyrolysis/gasification and the requirements of Article 42(1) of the IED are met (an ‘End-of-Waste’ case can be made for the </w:t>
      </w:r>
      <w:proofErr w:type="spellStart"/>
      <w:r w:rsidRPr="082E5A0F">
        <w:rPr>
          <w:rFonts w:ascii="Arial" w:eastAsia="Arial" w:hAnsi="Arial" w:cs="Arial"/>
        </w:rPr>
        <w:t>syn</w:t>
      </w:r>
      <w:proofErr w:type="spellEnd"/>
      <w:r w:rsidRPr="082E5A0F">
        <w:rPr>
          <w:rFonts w:ascii="Arial" w:eastAsia="Arial" w:hAnsi="Arial" w:cs="Arial"/>
        </w:rPr>
        <w:t>-gas, along with all other products as necessary, prior to being burned), the activity shall be permitted as a Section 1.2(c) activity</w:t>
      </w:r>
      <w:r w:rsidRPr="082E5A0F">
        <w:rPr>
          <w:rFonts w:ascii="Arial" w:eastAsia="Arial" w:hAnsi="Arial" w:cs="Arial"/>
          <w:vertAlign w:val="superscript"/>
        </w:rPr>
        <w:t xml:space="preserve"> 3 </w:t>
      </w:r>
      <w:r w:rsidRPr="082E5A0F">
        <w:rPr>
          <w:rFonts w:ascii="Arial" w:eastAsia="Arial" w:hAnsi="Arial" w:cs="Arial"/>
        </w:rPr>
        <w:t>, unless the process produces charcoal as the main product.</w:t>
      </w:r>
      <w:r w:rsidRPr="082E5A0F">
        <w:rPr>
          <w:rFonts w:ascii="Arial" w:eastAsia="Arial" w:hAnsi="Arial" w:cs="Arial"/>
          <w:vertAlign w:val="superscript"/>
        </w:rPr>
        <w:t xml:space="preserve"> 4</w:t>
      </w:r>
      <w:r w:rsidRPr="082E5A0F">
        <w:rPr>
          <w:rFonts w:ascii="Arial" w:eastAsia="Arial" w:hAnsi="Arial" w:cs="Arial"/>
        </w:rPr>
        <w:t xml:space="preserve"> </w:t>
      </w:r>
    </w:p>
    <w:p w14:paraId="08062054" w14:textId="0303E477" w:rsidR="005C4F56" w:rsidRDefault="76383877" w:rsidP="082E5A0F">
      <w:pPr>
        <w:spacing w:after="240" w:line="360" w:lineRule="auto"/>
        <w:rPr>
          <w:rFonts w:ascii="Arial" w:eastAsia="Arial" w:hAnsi="Arial" w:cs="Arial"/>
          <w:color w:val="000000" w:themeColor="text1"/>
        </w:rPr>
      </w:pPr>
      <w:r w:rsidRPr="082E5A0F">
        <w:rPr>
          <w:rFonts w:ascii="Arial" w:eastAsia="Arial" w:hAnsi="Arial" w:cs="Arial"/>
        </w:rPr>
        <w:lastRenderedPageBreak/>
        <w:t xml:space="preserve">Where the </w:t>
      </w:r>
      <w:proofErr w:type="spellStart"/>
      <w:r w:rsidRPr="082E5A0F">
        <w:rPr>
          <w:rFonts w:ascii="Arial" w:eastAsia="Arial" w:hAnsi="Arial" w:cs="Arial"/>
        </w:rPr>
        <w:t>syn</w:t>
      </w:r>
      <w:proofErr w:type="spellEnd"/>
      <w:r w:rsidRPr="082E5A0F">
        <w:rPr>
          <w:rFonts w:ascii="Arial" w:eastAsia="Arial" w:hAnsi="Arial" w:cs="Arial"/>
        </w:rPr>
        <w:t xml:space="preserve">-gas produced does not meet the requirements of Article 42(1), the syngas or other products do not receive ‘End-of-Waste’ approval or the operator cannot demonstrate evidence of compliance with the requirements, this Regulatory Position Statement shall not apply. In such circumstances, the operator will require to be permitted as a waste incineration activity or will risk committing an offence. </w:t>
      </w:r>
    </w:p>
    <w:p w14:paraId="1C7EC2DD" w14:textId="7E244813" w:rsidR="005C4F56" w:rsidRDefault="005C4F56" w:rsidP="5609930F">
      <w:pPr>
        <w:spacing w:after="240" w:line="360" w:lineRule="auto"/>
        <w:rPr>
          <w:rFonts w:ascii="Arial" w:eastAsia="Arial" w:hAnsi="Arial" w:cs="Arial"/>
        </w:rPr>
      </w:pPr>
    </w:p>
    <w:p w14:paraId="78D906A0" w14:textId="59F74146" w:rsidR="005C4F56" w:rsidRDefault="76383877" w:rsidP="5609930F">
      <w:pPr>
        <w:spacing w:after="240" w:line="360" w:lineRule="auto"/>
        <w:rPr>
          <w:rFonts w:ascii="Arial" w:eastAsia="Arial" w:hAnsi="Arial" w:cs="Arial"/>
          <w:color w:val="000000" w:themeColor="text1"/>
        </w:rPr>
      </w:pPr>
      <w:r w:rsidRPr="5609930F">
        <w:rPr>
          <w:rFonts w:ascii="Arial" w:eastAsia="Arial" w:hAnsi="Arial" w:cs="Arial"/>
        </w:rPr>
        <w:t xml:space="preserve">This statement applies only in Scotland. The terms of this statement may be subject to periodical review and be changed or withdrawn </w:t>
      </w:r>
      <w:proofErr w:type="gramStart"/>
      <w:r w:rsidRPr="5609930F">
        <w:rPr>
          <w:rFonts w:ascii="Arial" w:eastAsia="Arial" w:hAnsi="Arial" w:cs="Arial"/>
        </w:rPr>
        <w:t>in light of</w:t>
      </w:r>
      <w:proofErr w:type="gramEnd"/>
      <w:r w:rsidRPr="5609930F">
        <w:rPr>
          <w:rFonts w:ascii="Arial" w:eastAsia="Arial" w:hAnsi="Arial" w:cs="Arial"/>
        </w:rPr>
        <w:t xml:space="preserve"> technological developments, regulatory or legislative changes, future government guidance or experience of its use. SEPA reserves its discretion to depart from the position outlined in this statement and to take appropriate action to avoid any risk of pollution or harm to human health or the environment.</w:t>
      </w:r>
    </w:p>
    <w:p w14:paraId="5E5787A5" w14:textId="49E022C7" w:rsidR="005C4F56" w:rsidRDefault="701A57DA">
      <w:r>
        <w:rPr>
          <w:noProof/>
        </w:rPr>
        <w:drawing>
          <wp:inline distT="0" distB="0" distL="0" distR="0" wp14:anchorId="0112CD27" wp14:editId="199A1F6F">
            <wp:extent cx="4314825" cy="200025"/>
            <wp:effectExtent l="0" t="0" r="0" b="0"/>
            <wp:docPr id="1647670397" name="drawing" descr="Text Box 3,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670397" name=""/>
                    <pic:cNvPicPr/>
                  </pic:nvPicPr>
                  <pic:blipFill>
                    <a:blip r:embed="rId11">
                      <a:extLst>
                        <a:ext uri="{28A0092B-C50C-407E-A947-70E740481C1C}">
                          <a14:useLocalDpi xmlns:a14="http://schemas.microsoft.com/office/drawing/2010/main" val="0"/>
                        </a:ext>
                      </a:extLst>
                    </a:blip>
                    <a:stretch>
                      <a:fillRect/>
                    </a:stretch>
                  </pic:blipFill>
                  <pic:spPr>
                    <a:xfrm>
                      <a:off x="0" y="0"/>
                      <a:ext cx="4314825" cy="200025"/>
                    </a:xfrm>
                    <a:prstGeom prst="rect">
                      <a:avLst/>
                    </a:prstGeom>
                  </pic:spPr>
                </pic:pic>
              </a:graphicData>
            </a:graphic>
          </wp:inline>
        </w:drawing>
      </w:r>
      <w:r w:rsidRPr="5609930F">
        <w:rPr>
          <w:rFonts w:ascii="Arial" w:eastAsia="Arial" w:hAnsi="Arial" w:cs="Arial"/>
          <w:color w:val="000000" w:themeColor="text1"/>
        </w:rPr>
        <w:t xml:space="preserve">  </w:t>
      </w:r>
    </w:p>
    <w:sectPr w:rsidR="005C4F5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1734A" w14:textId="77777777" w:rsidR="00C90998" w:rsidRDefault="00C90998" w:rsidP="006662C6">
      <w:pPr>
        <w:spacing w:after="0" w:line="240" w:lineRule="auto"/>
      </w:pPr>
      <w:r>
        <w:separator/>
      </w:r>
    </w:p>
  </w:endnote>
  <w:endnote w:type="continuationSeparator" w:id="0">
    <w:p w14:paraId="4A9AC15E" w14:textId="77777777" w:rsidR="00C90998" w:rsidRDefault="00C90998" w:rsidP="00666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53ED5" w14:textId="059ECC3D" w:rsidR="006662C6" w:rsidRDefault="006662C6">
    <w:pPr>
      <w:pStyle w:val="Footer"/>
    </w:pPr>
    <w:r>
      <w:rPr>
        <w:noProof/>
      </w:rPr>
      <mc:AlternateContent>
        <mc:Choice Requires="wps">
          <w:drawing>
            <wp:anchor distT="0" distB="0" distL="0" distR="0" simplePos="0" relativeHeight="251662336" behindDoc="0" locked="0" layoutInCell="1" allowOverlap="1" wp14:anchorId="380DE1D7" wp14:editId="13C34CE2">
              <wp:simplePos x="635" y="635"/>
              <wp:positionH relativeFrom="page">
                <wp:align>center</wp:align>
              </wp:positionH>
              <wp:positionV relativeFrom="page">
                <wp:align>bottom</wp:align>
              </wp:positionV>
              <wp:extent cx="457200" cy="352425"/>
              <wp:effectExtent l="0" t="0" r="0" b="0"/>
              <wp:wrapNone/>
              <wp:docPr id="71550229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78D85D8F" w14:textId="1F8A3295" w:rsidR="006662C6" w:rsidRPr="006662C6" w:rsidRDefault="006662C6" w:rsidP="006662C6">
                          <w:pPr>
                            <w:spacing w:after="0"/>
                            <w:rPr>
                              <w:rFonts w:ascii="Calibri" w:eastAsia="Calibri" w:hAnsi="Calibri" w:cs="Calibri"/>
                              <w:noProof/>
                              <w:color w:val="0000FF"/>
                              <w:sz w:val="20"/>
                              <w:szCs w:val="20"/>
                            </w:rPr>
                          </w:pPr>
                          <w:r w:rsidRPr="006662C6">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0DE1D7" id="_x0000_t202" coordsize="21600,21600" o:spt="202" path="m,l,21600r21600,l21600,xe">
              <v:stroke joinstyle="miter"/>
              <v:path gradientshapeok="t" o:connecttype="rect"/>
            </v:shapetype>
            <v:shape id="Text Box 5" o:spid="_x0000_s1028" type="#_x0000_t202" alt="OFFICIAL" style="position:absolute;margin-left:0;margin-top:0;width:36pt;height:27.7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" filled="f" stroked="f">
              <v:textbox style="mso-fit-shape-to-text:t" inset="0,0,0,15pt">
                <w:txbxContent>
                  <w:p w14:paraId="78D85D8F" w14:textId="1F8A3295" w:rsidR="006662C6" w:rsidRPr="006662C6" w:rsidRDefault="006662C6" w:rsidP="006662C6">
                    <w:pPr>
                      <w:spacing w:after="0"/>
                      <w:rPr>
                        <w:rFonts w:ascii="Calibri" w:eastAsia="Calibri" w:hAnsi="Calibri" w:cs="Calibri"/>
                        <w:noProof/>
                        <w:color w:val="0000FF"/>
                        <w:sz w:val="20"/>
                        <w:szCs w:val="20"/>
                      </w:rPr>
                    </w:pPr>
                    <w:r w:rsidRPr="006662C6">
                      <w:rPr>
                        <w:rFonts w:ascii="Calibri" w:eastAsia="Calibri" w:hAnsi="Calibri" w:cs="Calibri"/>
                        <w:noProof/>
                        <w:color w:val="0000FF"/>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A3652" w14:textId="3A50C372" w:rsidR="006662C6" w:rsidRDefault="006662C6">
    <w:pPr>
      <w:pStyle w:val="Footer"/>
    </w:pPr>
    <w:r>
      <w:rPr>
        <w:noProof/>
      </w:rPr>
      <mc:AlternateContent>
        <mc:Choice Requires="wps">
          <w:drawing>
            <wp:anchor distT="0" distB="0" distL="0" distR="0" simplePos="0" relativeHeight="251663360" behindDoc="0" locked="0" layoutInCell="1" allowOverlap="1" wp14:anchorId="0F015570" wp14:editId="35A17D51">
              <wp:simplePos x="635" y="635"/>
              <wp:positionH relativeFrom="page">
                <wp:align>center</wp:align>
              </wp:positionH>
              <wp:positionV relativeFrom="page">
                <wp:align>bottom</wp:align>
              </wp:positionV>
              <wp:extent cx="457200" cy="352425"/>
              <wp:effectExtent l="0" t="0" r="0" b="0"/>
              <wp:wrapNone/>
              <wp:docPr id="6368114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7D39089A" w14:textId="100BF422" w:rsidR="006662C6" w:rsidRPr="006662C6" w:rsidRDefault="006662C6" w:rsidP="006662C6">
                          <w:pPr>
                            <w:spacing w:after="0"/>
                            <w:rPr>
                              <w:rFonts w:ascii="Calibri" w:eastAsia="Calibri" w:hAnsi="Calibri" w:cs="Calibri"/>
                              <w:noProof/>
                              <w:color w:val="0000FF"/>
                              <w:sz w:val="20"/>
                              <w:szCs w:val="20"/>
                            </w:rPr>
                          </w:pPr>
                          <w:r w:rsidRPr="006662C6">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015570" id="_x0000_t202" coordsize="21600,21600" o:spt="202" path="m,l,21600r21600,l21600,xe">
              <v:stroke joinstyle="miter"/>
              <v:path gradientshapeok="t" o:connecttype="rect"/>
            </v:shapetype>
            <v:shape id="Text Box 6" o:spid="_x0000_s1029" type="#_x0000_t202" alt="OFFICIAL" style="position:absolute;margin-left:0;margin-top:0;width:36pt;height:27.7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" filled="f" stroked="f">
              <v:textbox style="mso-fit-shape-to-text:t" inset="0,0,0,15pt">
                <w:txbxContent>
                  <w:p w14:paraId="7D39089A" w14:textId="100BF422" w:rsidR="006662C6" w:rsidRPr="006662C6" w:rsidRDefault="006662C6" w:rsidP="006662C6">
                    <w:pPr>
                      <w:spacing w:after="0"/>
                      <w:rPr>
                        <w:rFonts w:ascii="Calibri" w:eastAsia="Calibri" w:hAnsi="Calibri" w:cs="Calibri"/>
                        <w:noProof/>
                        <w:color w:val="0000FF"/>
                        <w:sz w:val="20"/>
                        <w:szCs w:val="20"/>
                      </w:rPr>
                    </w:pPr>
                    <w:r w:rsidRPr="006662C6">
                      <w:rPr>
                        <w:rFonts w:ascii="Calibri" w:eastAsia="Calibri" w:hAnsi="Calibri" w:cs="Calibri"/>
                        <w:noProof/>
                        <w:color w:val="0000FF"/>
                        <w:sz w:val="20"/>
                        <w:szCs w:val="20"/>
                      </w:rPr>
                      <w:t>OFFICIAL</w:t>
                    </w:r>
                  </w:p>
                </w:txbxContent>
              </v:textbox>
              <w10:wrap anchorx="page" anchory="page"/>
            </v:shape>
          </w:pict>
        </mc:Fallback>
      </mc:AlternateContent>
    </w:r>
    <w:r w:rsidR="082E5A0F" w:rsidRPr="082E5A0F">
      <w:rPr>
        <w:vertAlign w:val="superscript"/>
      </w:rPr>
      <w:t>3</w:t>
    </w:r>
    <w:r w:rsidR="082E5A0F" w:rsidRPr="082E5A0F">
      <w:t xml:space="preserve"> There is an exemption in IED for “experimental plants used for research, development and testing in order to improve the incineration process and which treat less than 50 tonnes of waste per year.” For further information on this please speak to a SEPA officer. </w:t>
    </w:r>
  </w:p>
  <w:p w14:paraId="43A8C837" w14:textId="2422DD6B" w:rsidR="006662C6" w:rsidRDefault="082E5A0F">
    <w:pPr>
      <w:pStyle w:val="Footer"/>
    </w:pPr>
    <w:r w:rsidRPr="082E5A0F">
      <w:rPr>
        <w:vertAlign w:val="superscript"/>
      </w:rPr>
      <w:t xml:space="preserve">4 </w:t>
    </w:r>
    <w:r w:rsidRPr="082E5A0F">
      <w:t>This will likely require an EASR authorisation. For further information on this please speak to a SEPA officer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C6932" w14:textId="08EDB020" w:rsidR="006662C6" w:rsidRDefault="006662C6">
    <w:pPr>
      <w:pStyle w:val="Footer"/>
    </w:pPr>
    <w:r>
      <w:rPr>
        <w:noProof/>
      </w:rPr>
      <mc:AlternateContent>
        <mc:Choice Requires="wps">
          <w:drawing>
            <wp:anchor distT="0" distB="0" distL="0" distR="0" simplePos="0" relativeHeight="251661312" behindDoc="0" locked="0" layoutInCell="1" allowOverlap="1" wp14:anchorId="218A7060" wp14:editId="0092597D">
              <wp:simplePos x="635" y="635"/>
              <wp:positionH relativeFrom="page">
                <wp:align>center</wp:align>
              </wp:positionH>
              <wp:positionV relativeFrom="page">
                <wp:align>bottom</wp:align>
              </wp:positionV>
              <wp:extent cx="457200" cy="352425"/>
              <wp:effectExtent l="0" t="0" r="0" b="0"/>
              <wp:wrapNone/>
              <wp:docPr id="27146620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272D0A8F" w14:textId="05FAC634" w:rsidR="006662C6" w:rsidRPr="006662C6" w:rsidRDefault="006662C6" w:rsidP="006662C6">
                          <w:pPr>
                            <w:spacing w:after="0"/>
                            <w:rPr>
                              <w:rFonts w:ascii="Calibri" w:eastAsia="Calibri" w:hAnsi="Calibri" w:cs="Calibri"/>
                              <w:noProof/>
                              <w:color w:val="0000FF"/>
                              <w:sz w:val="20"/>
                              <w:szCs w:val="20"/>
                            </w:rPr>
                          </w:pPr>
                          <w:r w:rsidRPr="006662C6">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8A7060" id="_x0000_t202" coordsize="21600,21600" o:spt="202" path="m,l,21600r21600,l21600,xe">
              <v:stroke joinstyle="miter"/>
              <v:path gradientshapeok="t" o:connecttype="rect"/>
            </v:shapetype>
            <v:shape id="Text Box 4" o:spid="_x0000_s1031" type="#_x0000_t202" alt="OFFICIAL" style="position:absolute;margin-left:0;margin-top:0;width:36pt;height:27.7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" filled="f" stroked="f">
              <v:textbox style="mso-fit-shape-to-text:t" inset="0,0,0,15pt">
                <w:txbxContent>
                  <w:p w14:paraId="272D0A8F" w14:textId="05FAC634" w:rsidR="006662C6" w:rsidRPr="006662C6" w:rsidRDefault="006662C6" w:rsidP="006662C6">
                    <w:pPr>
                      <w:spacing w:after="0"/>
                      <w:rPr>
                        <w:rFonts w:ascii="Calibri" w:eastAsia="Calibri" w:hAnsi="Calibri" w:cs="Calibri"/>
                        <w:noProof/>
                        <w:color w:val="0000FF"/>
                        <w:sz w:val="20"/>
                        <w:szCs w:val="20"/>
                      </w:rPr>
                    </w:pPr>
                    <w:r w:rsidRPr="006662C6">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DF255" w14:textId="77777777" w:rsidR="00C90998" w:rsidRDefault="00C90998" w:rsidP="006662C6">
      <w:pPr>
        <w:spacing w:after="0" w:line="240" w:lineRule="auto"/>
      </w:pPr>
      <w:r>
        <w:separator/>
      </w:r>
    </w:p>
  </w:footnote>
  <w:footnote w:type="continuationSeparator" w:id="0">
    <w:p w14:paraId="1D0B163C" w14:textId="77777777" w:rsidR="00C90998" w:rsidRDefault="00C90998" w:rsidP="006662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CED1" w14:textId="199C610B" w:rsidR="006662C6" w:rsidRDefault="006662C6">
    <w:pPr>
      <w:pStyle w:val="Header"/>
    </w:pPr>
    <w:r>
      <w:rPr>
        <w:noProof/>
      </w:rPr>
      <mc:AlternateContent>
        <mc:Choice Requires="wps">
          <w:drawing>
            <wp:anchor distT="0" distB="0" distL="0" distR="0" simplePos="0" relativeHeight="251659264" behindDoc="0" locked="0" layoutInCell="1" allowOverlap="1" wp14:anchorId="1F4399FF" wp14:editId="3B7367A1">
              <wp:simplePos x="635" y="635"/>
              <wp:positionH relativeFrom="page">
                <wp:align>center</wp:align>
              </wp:positionH>
              <wp:positionV relativeFrom="page">
                <wp:align>top</wp:align>
              </wp:positionV>
              <wp:extent cx="457200" cy="352425"/>
              <wp:effectExtent l="0" t="0" r="0" b="9525"/>
              <wp:wrapNone/>
              <wp:docPr id="98106087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0CCB6D7F" w14:textId="733460D3" w:rsidR="006662C6" w:rsidRPr="006662C6" w:rsidRDefault="006662C6" w:rsidP="006662C6">
                          <w:pPr>
                            <w:spacing w:after="0"/>
                            <w:rPr>
                              <w:rFonts w:ascii="Calibri" w:eastAsia="Calibri" w:hAnsi="Calibri" w:cs="Calibri"/>
                              <w:noProof/>
                              <w:color w:val="0000FF"/>
                              <w:sz w:val="20"/>
                              <w:szCs w:val="20"/>
                            </w:rPr>
                          </w:pPr>
                          <w:r w:rsidRPr="006662C6">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4399FF" id="_x0000_t202" coordsize="21600,21600" o:spt="202" path="m,l,21600r21600,l21600,xe">
              <v:stroke joinstyle="miter"/>
              <v:path gradientshapeok="t" o:connecttype="rect"/>
            </v:shapetype>
            <v:shape id="Text Box 2" o:spid="_x0000_s1026" type="#_x0000_t202" alt="OFFICIAL" style="position:absolute;margin-left:0;margin-top:0;width:36pt;height:27.7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" filled="f" stroked="f">
              <v:textbox style="mso-fit-shape-to-text:t" inset="0,15pt,0,0">
                <w:txbxContent>
                  <w:p w14:paraId="0CCB6D7F" w14:textId="733460D3" w:rsidR="006662C6" w:rsidRPr="006662C6" w:rsidRDefault="006662C6" w:rsidP="006662C6">
                    <w:pPr>
                      <w:spacing w:after="0"/>
                      <w:rPr>
                        <w:rFonts w:ascii="Calibri" w:eastAsia="Calibri" w:hAnsi="Calibri" w:cs="Calibri"/>
                        <w:noProof/>
                        <w:color w:val="0000FF"/>
                        <w:sz w:val="20"/>
                        <w:szCs w:val="20"/>
                      </w:rPr>
                    </w:pPr>
                    <w:r w:rsidRPr="006662C6">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700EA" w14:textId="2B4E7B97" w:rsidR="006662C6" w:rsidRDefault="006662C6">
    <w:pPr>
      <w:pStyle w:val="Header"/>
    </w:pPr>
    <w:r>
      <w:rPr>
        <w:noProof/>
      </w:rPr>
      <mc:AlternateContent>
        <mc:Choice Requires="wps">
          <w:drawing>
            <wp:anchor distT="0" distB="0" distL="0" distR="0" simplePos="0" relativeHeight="251660288" behindDoc="0" locked="0" layoutInCell="1" allowOverlap="1" wp14:anchorId="7CE818E8" wp14:editId="2349C633">
              <wp:simplePos x="635" y="635"/>
              <wp:positionH relativeFrom="page">
                <wp:align>center</wp:align>
              </wp:positionH>
              <wp:positionV relativeFrom="page">
                <wp:align>top</wp:align>
              </wp:positionV>
              <wp:extent cx="457200" cy="352425"/>
              <wp:effectExtent l="0" t="0" r="0" b="9525"/>
              <wp:wrapNone/>
              <wp:docPr id="1649662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7A3EAE78" w14:textId="51B83804" w:rsidR="006662C6" w:rsidRPr="006662C6" w:rsidRDefault="006662C6" w:rsidP="006662C6">
                          <w:pPr>
                            <w:spacing w:after="0"/>
                            <w:rPr>
                              <w:rFonts w:ascii="Calibri" w:eastAsia="Calibri" w:hAnsi="Calibri" w:cs="Calibri"/>
                              <w:noProof/>
                              <w:color w:val="0000FF"/>
                              <w:sz w:val="20"/>
                              <w:szCs w:val="20"/>
                            </w:rPr>
                          </w:pPr>
                          <w:r w:rsidRPr="006662C6">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E818E8" id="_x0000_t202" coordsize="21600,21600" o:spt="202" path="m,l,21600r21600,l21600,xe">
              <v:stroke joinstyle="miter"/>
              <v:path gradientshapeok="t" o:connecttype="rect"/>
            </v:shapetype>
            <v:shape id="Text Box 3" o:spid="_x0000_s1027" type="#_x0000_t202" alt="OFFICIAL" style="position:absolute;margin-left:0;margin-top:0;width:36pt;height:27.7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" filled="f" stroked="f">
              <v:textbox style="mso-fit-shape-to-text:t" inset="0,15pt,0,0">
                <w:txbxContent>
                  <w:p w14:paraId="7A3EAE78" w14:textId="51B83804" w:rsidR="006662C6" w:rsidRPr="006662C6" w:rsidRDefault="006662C6" w:rsidP="006662C6">
                    <w:pPr>
                      <w:spacing w:after="0"/>
                      <w:rPr>
                        <w:rFonts w:ascii="Calibri" w:eastAsia="Calibri" w:hAnsi="Calibri" w:cs="Calibri"/>
                        <w:noProof/>
                        <w:color w:val="0000FF"/>
                        <w:sz w:val="20"/>
                        <w:szCs w:val="20"/>
                      </w:rPr>
                    </w:pPr>
                    <w:r w:rsidRPr="006662C6">
                      <w:rPr>
                        <w:rFonts w:ascii="Calibri" w:eastAsia="Calibri" w:hAnsi="Calibri" w:cs="Calibri"/>
                        <w:noProof/>
                        <w:color w:val="0000FF"/>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C2EC1" w14:textId="13037562" w:rsidR="006662C6" w:rsidRDefault="006662C6">
    <w:pPr>
      <w:pStyle w:val="Header"/>
    </w:pPr>
    <w:r>
      <w:rPr>
        <w:noProof/>
      </w:rPr>
      <mc:AlternateContent>
        <mc:Choice Requires="wps">
          <w:drawing>
            <wp:anchor distT="0" distB="0" distL="0" distR="0" simplePos="0" relativeHeight="251658240" behindDoc="0" locked="0" layoutInCell="1" allowOverlap="1" wp14:anchorId="06BADB77" wp14:editId="6B87BD47">
              <wp:simplePos x="635" y="635"/>
              <wp:positionH relativeFrom="page">
                <wp:align>center</wp:align>
              </wp:positionH>
              <wp:positionV relativeFrom="page">
                <wp:align>top</wp:align>
              </wp:positionV>
              <wp:extent cx="457200" cy="352425"/>
              <wp:effectExtent l="0" t="0" r="0" b="9525"/>
              <wp:wrapNone/>
              <wp:docPr id="199494244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6B3748AC" w14:textId="42EBCF97" w:rsidR="006662C6" w:rsidRPr="006662C6" w:rsidRDefault="006662C6" w:rsidP="006662C6">
                          <w:pPr>
                            <w:spacing w:after="0"/>
                            <w:rPr>
                              <w:rFonts w:ascii="Calibri" w:eastAsia="Calibri" w:hAnsi="Calibri" w:cs="Calibri"/>
                              <w:noProof/>
                              <w:color w:val="0000FF"/>
                              <w:sz w:val="20"/>
                              <w:szCs w:val="20"/>
                            </w:rPr>
                          </w:pPr>
                          <w:r w:rsidRPr="006662C6">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BADB77" id="_x0000_t202" coordsize="21600,21600" o:spt="202" path="m,l,21600r21600,l21600,xe">
              <v:stroke joinstyle="miter"/>
              <v:path gradientshapeok="t" o:connecttype="rect"/>
            </v:shapetype>
            <v:shape id="Text Box 1" o:spid="_x0000_s1030" type="#_x0000_t202" alt="OFFICIAL" style="position:absolute;margin-left:0;margin-top:0;width:36pt;height:27.7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" filled="f" stroked="f">
              <v:textbox style="mso-fit-shape-to-text:t" inset="0,15pt,0,0">
                <w:txbxContent>
                  <w:p w14:paraId="6B3748AC" w14:textId="42EBCF97" w:rsidR="006662C6" w:rsidRPr="006662C6" w:rsidRDefault="006662C6" w:rsidP="006662C6">
                    <w:pPr>
                      <w:spacing w:after="0"/>
                      <w:rPr>
                        <w:rFonts w:ascii="Calibri" w:eastAsia="Calibri" w:hAnsi="Calibri" w:cs="Calibri"/>
                        <w:noProof/>
                        <w:color w:val="0000FF"/>
                        <w:sz w:val="20"/>
                        <w:szCs w:val="20"/>
                      </w:rPr>
                    </w:pPr>
                    <w:r w:rsidRPr="006662C6">
                      <w:rPr>
                        <w:rFonts w:ascii="Calibri" w:eastAsia="Calibri" w:hAnsi="Calibri" w:cs="Calibri"/>
                        <w:noProof/>
                        <w:color w:val="0000FF"/>
                        <w:sz w:val="20"/>
                        <w:szCs w:val="20"/>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A54D16"/>
    <w:rsid w:val="000B600D"/>
    <w:rsid w:val="00161ADC"/>
    <w:rsid w:val="005C4F56"/>
    <w:rsid w:val="005F018F"/>
    <w:rsid w:val="006662C6"/>
    <w:rsid w:val="006A4B41"/>
    <w:rsid w:val="00C90998"/>
    <w:rsid w:val="00EB7736"/>
    <w:rsid w:val="0125E9C4"/>
    <w:rsid w:val="04FBA02C"/>
    <w:rsid w:val="082E5A0F"/>
    <w:rsid w:val="0AA54D16"/>
    <w:rsid w:val="0DEDDE39"/>
    <w:rsid w:val="0DFE4833"/>
    <w:rsid w:val="120F284C"/>
    <w:rsid w:val="1301E938"/>
    <w:rsid w:val="16D53D46"/>
    <w:rsid w:val="26A45F5B"/>
    <w:rsid w:val="2E8616A3"/>
    <w:rsid w:val="32AC7F3B"/>
    <w:rsid w:val="3392DC0E"/>
    <w:rsid w:val="33ABB709"/>
    <w:rsid w:val="36D6D712"/>
    <w:rsid w:val="38CAE48B"/>
    <w:rsid w:val="3C9637CF"/>
    <w:rsid w:val="3CD02AEE"/>
    <w:rsid w:val="48E86977"/>
    <w:rsid w:val="51985417"/>
    <w:rsid w:val="5609930F"/>
    <w:rsid w:val="58456C6C"/>
    <w:rsid w:val="5AF9C89C"/>
    <w:rsid w:val="641553F7"/>
    <w:rsid w:val="6E0F3475"/>
    <w:rsid w:val="701A57DA"/>
    <w:rsid w:val="716643BD"/>
    <w:rsid w:val="74216503"/>
    <w:rsid w:val="76383877"/>
    <w:rsid w:val="7AA3FD49"/>
    <w:rsid w:val="7CB8EADD"/>
    <w:rsid w:val="7CD2FE92"/>
    <w:rsid w:val="7D5C71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54D16"/>
  <w15:chartTrackingRefBased/>
  <w15:docId w15:val="{FDD6D17B-FC1F-4349-9861-81511530A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6662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62C6"/>
  </w:style>
  <w:style w:type="paragraph" w:styleId="Footer">
    <w:name w:val="footer"/>
    <w:basedOn w:val="Normal"/>
    <w:link w:val="FooterChar"/>
    <w:uiPriority w:val="99"/>
    <w:unhideWhenUsed/>
    <w:rsid w:val="006662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62C6"/>
  </w:style>
  <w:style w:type="paragraph" w:customStyle="1" w:styleId="Reportheader">
    <w:name w:val="Report header"/>
    <w:basedOn w:val="Normal"/>
    <w:uiPriority w:val="1"/>
    <w:qFormat/>
    <w:rsid w:val="5609930F"/>
    <w:pPr>
      <w:keepNext/>
      <w:keepLines/>
      <w:spacing w:after="240" w:line="276" w:lineRule="auto"/>
      <w:outlineLvl w:val="0"/>
    </w:pPr>
    <w:rPr>
      <w:rFonts w:asciiTheme="majorHAnsi" w:eastAsiaTheme="majorEastAsia" w:hAnsiTheme="majorHAnsi" w:cstheme="majorBidi"/>
      <w:b/>
      <w:bCs/>
      <w:color w:val="016574"/>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rrectonguidancetracker xmlns="7dd4d6b0-2bd1-40f7-94aa-8d4785e79023" xsi:nil="true"/>
    <_Flow_SignoffStatus xmlns="7dd4d6b0-2bd1-40f7-94aa-8d4785e79023" xsi:nil="true"/>
    <SharedWithUsers xmlns="ce5b52f7-9556-48ad-bf4f-1238de82834a">
      <UserInfo>
        <DisplayName/>
        <AccountId xsi:nil="true"/>
        <AccountType/>
      </UserInfo>
    </SharedWithUsers>
    <lcf76f155ced4ddcb4097134ff3c332f xmlns="7dd4d6b0-2bd1-40f7-94aa-8d4785e79023">
      <Terms xmlns="http://schemas.microsoft.com/office/infopath/2007/PartnerControls"/>
    </lcf76f155ced4ddcb4097134ff3c332f>
    <TaxCatchAll xmlns="ce5b52f7-9556-48ad-bf4f-1238de82834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A5FEB8-BBE8-4ABE-9CC6-1178CB1BA033}">
  <ds:schemaRefs>
    <ds:schemaRef ds:uri="http://schemas.microsoft.com/sharepoint/v3/contenttype/forms"/>
  </ds:schemaRefs>
</ds:datastoreItem>
</file>

<file path=customXml/itemProps2.xml><?xml version="1.0" encoding="utf-8"?>
<ds:datastoreItem xmlns:ds="http://schemas.openxmlformats.org/officeDocument/2006/customXml" ds:itemID="{8DFF86CB-D03A-4AA6-9DE0-60F9DE644268}">
  <ds:schemaRefs>
    <ds:schemaRef ds:uri="http://schemas.openxmlformats.org/package/2006/metadata/core-properties"/>
    <ds:schemaRef ds:uri="ce5b52f7-9556-48ad-bf4f-1238de82834a"/>
    <ds:schemaRef ds:uri="http://schemas.microsoft.com/office/2006/documentManagement/types"/>
    <ds:schemaRef ds:uri="http://www.w3.org/XML/1998/namespace"/>
    <ds:schemaRef ds:uri="http://schemas.microsoft.com/office/infopath/2007/PartnerControls"/>
    <ds:schemaRef ds:uri="http://purl.org/dc/elements/1.1/"/>
    <ds:schemaRef ds:uri="http://purl.org/dc/terms/"/>
    <ds:schemaRef ds:uri="7dd4d6b0-2bd1-40f7-94aa-8d4785e79023"/>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5A55EAC1-A7BB-4328-8987-C312BF290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500</Words>
  <Characters>2851</Characters>
  <Application>Microsoft Office Word</Application>
  <DocSecurity>0</DocSecurity>
  <Lines>23</Lines>
  <Paragraphs>6</Paragraphs>
  <ScaleCrop>false</ScaleCrop>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Cunningham, Olivia</dc:creator>
  <cp:keywords/>
  <dc:description/>
  <cp:lastModifiedBy>Smith-Welsh, Lola</cp:lastModifiedBy>
  <cp:revision>2</cp:revision>
  <dcterms:created xsi:type="dcterms:W3CDTF">2025-07-24T10:49:00Z</dcterms:created>
  <dcterms:modified xsi:type="dcterms:W3CDTF">2025-07-24T10:49:00Z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76e867ed,3a79cd0a,9d52f99</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102e3edd,2aa5b2da,3cbb276</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2025-05-13T17:40:38Z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44b1689c-f50f-4d7e-83e0-b5ac9d1285e4</vt:lpwstr>
  </property>
  <property fmtid="{D5CDD505-2E9C-101B-9397-08002B2CF9AE}" pid="14" name="MSIP_Label_ea4fd52f-9814-4cae-aa53-0ea7b16cd381_ContentBits">
    <vt:lpwstr>3</vt:lpwstr>
  </property>
  <property fmtid="{D5CDD505-2E9C-101B-9397-08002B2CF9AE}" pid="15" name="MSIP_Label_ea4fd52f-9814-4cae-aa53-0ea7b16cd381_Tag">
    <vt:lpwstr>10, 0, 1, 2</vt:lpwstr>
  </property>
  <property fmtid="{D5CDD505-2E9C-101B-9397-08002B2CF9AE}" pid="16" name="MediaServiceImageTags">
    <vt:lpwstr/>
  </property>
  <property fmtid="{D5CDD505-2E9C-101B-9397-08002B2CF9AE}" pid="17" name="ContentTypeId">
    <vt:lpwstr>0x01010004C80374B95F7240955C67127CD440EB</vt:lpwstr>
  </property>
  <property fmtid="{D5CDD505-2E9C-101B-9397-08002B2CF9AE}" pid="18" name="ComplianceAssetId">
    <vt:lpwstr/>
  </property>
  <property fmtid="{D5CDD505-2E9C-101B-9397-08002B2CF9AE}" pid="19" name="_ExtendedDescription">
    <vt:lpwstr/>
  </property>
  <property fmtid="{D5CDD505-2E9C-101B-9397-08002B2CF9AE}" pid="20" name="TriggerFlowInfo">
    <vt:lpwstr/>
  </property>
</Properties>
</file>