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color w:val="auto"/>
          <w:sz w:val="24"/>
          <w:szCs w:val="24"/>
        </w:rPr>
        <w:id w:val="-191923907"/>
        <w:docPartObj>
          <w:docPartGallery w:val="Cover Pages"/>
          <w:docPartUnique/>
        </w:docPartObj>
      </w:sdtPr>
      <w:sdtEndPr/>
      <w:sdtContent>
        <w:p w14:paraId="49F7ED1F" w14:textId="77777777" w:rsidR="004073BC" w:rsidRDefault="00F72274" w:rsidP="00587EA6">
          <w:pPr>
            <w:pStyle w:val="Heading1"/>
          </w:pPr>
          <w:r>
            <w:rPr>
              <w:noProof/>
            </w:rPr>
            <w:drawing>
              <wp:anchor distT="0" distB="0" distL="114300" distR="114300" simplePos="0" relativeHeight="251658241" behindDoc="1" locked="0" layoutInCell="1" allowOverlap="1" wp14:anchorId="27BF9523" wp14:editId="7BC91968">
                <wp:simplePos x="0" y="0"/>
                <wp:positionH relativeFrom="column">
                  <wp:posOffset>-532765</wp:posOffset>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6CE0A5BC" wp14:editId="0143205A">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4750A909" w14:textId="77777777" w:rsidR="004073BC" w:rsidRDefault="004073BC" w:rsidP="008C1A73"/>
        <w:p w14:paraId="7C7191E3" w14:textId="273FE9D6" w:rsidR="004073BC" w:rsidRPr="00077EE6" w:rsidRDefault="00930B80" w:rsidP="008C1A73">
          <w:pPr>
            <w:rPr>
              <w:b/>
              <w:bCs/>
              <w:color w:val="FFFFFF" w:themeColor="background1"/>
              <w:sz w:val="48"/>
              <w:szCs w:val="48"/>
            </w:rPr>
          </w:pPr>
          <w:r w:rsidRPr="00077EE6">
            <w:rPr>
              <w:b/>
              <w:bCs/>
              <w:color w:val="FFFFFF" w:themeColor="background1"/>
              <w:sz w:val="48"/>
              <w:szCs w:val="48"/>
            </w:rPr>
            <w:t>WAT-G-001</w:t>
          </w:r>
        </w:p>
        <w:p w14:paraId="2C352168" w14:textId="77777777" w:rsidR="00011BEC" w:rsidRDefault="00011BEC" w:rsidP="004133B7">
          <w:pPr>
            <w:spacing w:line="240" w:lineRule="auto"/>
            <w:rPr>
              <w:b/>
              <w:bCs/>
              <w:color w:val="FFFFFF" w:themeColor="background1"/>
              <w:sz w:val="72"/>
              <w:szCs w:val="72"/>
            </w:rPr>
          </w:pPr>
        </w:p>
        <w:p w14:paraId="0766F5E6" w14:textId="4A5A9CCD" w:rsidR="00801105" w:rsidRPr="006F0FAB" w:rsidRDefault="00281BB1" w:rsidP="004133B7">
          <w:pPr>
            <w:spacing w:line="240" w:lineRule="auto"/>
            <w:rPr>
              <w:b/>
              <w:bCs/>
              <w:color w:val="FFFFFF" w:themeColor="background1"/>
              <w:sz w:val="72"/>
              <w:szCs w:val="72"/>
            </w:rPr>
          </w:pPr>
          <w:r w:rsidRPr="006F0FAB">
            <w:rPr>
              <w:noProof/>
              <w:sz w:val="72"/>
              <w:szCs w:val="72"/>
            </w:rPr>
            <mc:AlternateContent>
              <mc:Choice Requires="wps">
                <w:drawing>
                  <wp:anchor distT="0" distB="0" distL="114300" distR="114300" simplePos="0" relativeHeight="251658240" behindDoc="0" locked="1" layoutInCell="1" allowOverlap="1" wp14:anchorId="073CC456" wp14:editId="3D0E1A73">
                    <wp:simplePos x="0" y="0"/>
                    <wp:positionH relativeFrom="column">
                      <wp:posOffset>95885</wp:posOffset>
                    </wp:positionH>
                    <wp:positionV relativeFrom="paragraph">
                      <wp:posOffset>7233920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444C11F9" w14:textId="03D4AF44" w:rsidR="00281BB1" w:rsidRPr="009A240D" w:rsidRDefault="006F0FAB" w:rsidP="00281BB1">
                                <w:pPr>
                                  <w:pStyle w:val="BodyText1"/>
                                  <w:rPr>
                                    <w:color w:val="FFFFFF" w:themeColor="background1"/>
                                  </w:rPr>
                                </w:pPr>
                                <w:r>
                                  <w:rPr>
                                    <w:color w:val="FFFFFF" w:themeColor="background1"/>
                                  </w:rPr>
                                  <w:t>Version 1.0, August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3CC456" id="_x0000_t202" coordsize="21600,21600" o:spt="202" path="m,l,21600r21600,l21600,xe">
                    <v:stroke joinstyle="miter"/>
                    <v:path gradientshapeok="t" o:connecttype="rect"/>
                  </v:shapetype>
                  <v:shape id="Text Box 3" o:spid="_x0000_s1026" type="#_x0000_t202" alt="&quot;&quot;" style="position:absolute;margin-left:7.55pt;margin-top:569.6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" filled="f" stroked="f" strokeweight=".5pt">
                    <v:textbox inset="0,0,0,0">
                      <w:txbxContent>
                        <w:p w14:paraId="444C11F9" w14:textId="03D4AF44" w:rsidR="00281BB1" w:rsidRPr="009A240D" w:rsidRDefault="006F0FAB" w:rsidP="00281BB1">
                          <w:pPr>
                            <w:pStyle w:val="BodyText1"/>
                            <w:rPr>
                              <w:color w:val="FFFFFF" w:themeColor="background1"/>
                            </w:rPr>
                          </w:pPr>
                          <w:r>
                            <w:rPr>
                              <w:color w:val="FFFFFF" w:themeColor="background1"/>
                            </w:rPr>
                            <w:t>Version 1.0, August 2025</w:t>
                          </w:r>
                        </w:p>
                      </w:txbxContent>
                    </v:textbox>
                    <w10:anchorlock/>
                  </v:shape>
                </w:pict>
              </mc:Fallback>
            </mc:AlternateContent>
          </w:r>
          <w:r w:rsidR="006F0FAB" w:rsidRPr="006F0FAB">
            <w:rPr>
              <w:b/>
              <w:bCs/>
              <w:color w:val="FFFFFF" w:themeColor="background1"/>
              <w:sz w:val="72"/>
              <w:szCs w:val="72"/>
            </w:rPr>
            <w:t xml:space="preserve">EASR Guidance: Registration Activity: </w:t>
          </w:r>
          <w:r w:rsidR="005524DD">
            <w:rPr>
              <w:b/>
              <w:bCs/>
              <w:color w:val="FFFFFF" w:themeColor="background1"/>
              <w:sz w:val="72"/>
              <w:szCs w:val="72"/>
            </w:rPr>
            <w:t>O</w:t>
          </w:r>
          <w:r w:rsidR="00707847" w:rsidRPr="00707847">
            <w:rPr>
              <w:b/>
              <w:bCs/>
              <w:color w:val="FFFFFF" w:themeColor="background1"/>
              <w:sz w:val="72"/>
              <w:szCs w:val="72"/>
            </w:rPr>
            <w:t xml:space="preserve">peration </w:t>
          </w:r>
          <w:r w:rsidR="005524DD">
            <w:rPr>
              <w:b/>
              <w:bCs/>
              <w:color w:val="FFFFFF" w:themeColor="background1"/>
              <w:sz w:val="72"/>
              <w:szCs w:val="72"/>
            </w:rPr>
            <w:t xml:space="preserve">of an existing impoundment </w:t>
          </w:r>
          <w:r w:rsidR="00707847" w:rsidRPr="00707847">
            <w:rPr>
              <w:b/>
              <w:bCs/>
              <w:color w:val="FFFFFF" w:themeColor="background1"/>
              <w:sz w:val="72"/>
              <w:szCs w:val="72"/>
            </w:rPr>
            <w:t>more than 1m h</w:t>
          </w:r>
          <w:r w:rsidR="005524DD">
            <w:rPr>
              <w:b/>
              <w:bCs/>
              <w:color w:val="FFFFFF" w:themeColor="background1"/>
              <w:sz w:val="72"/>
              <w:szCs w:val="72"/>
            </w:rPr>
            <w:t>igh</w:t>
          </w:r>
        </w:p>
        <w:p w14:paraId="13F42D88" w14:textId="77777777" w:rsidR="008C1A73" w:rsidRPr="00CF7EFB" w:rsidRDefault="008C1A73" w:rsidP="00CF7EFB">
          <w:pPr>
            <w:rPr>
              <w:b/>
              <w:bCs/>
              <w:color w:val="FFFFFF" w:themeColor="background1"/>
              <w:sz w:val="84"/>
              <w:szCs w:val="84"/>
            </w:rPr>
          </w:pPr>
          <w:r>
            <w:br w:type="page"/>
          </w:r>
        </w:p>
      </w:sdtContent>
    </w:sdt>
    <w:p w14:paraId="2EBF8E86" w14:textId="77777777" w:rsidR="00A01E6B" w:rsidRDefault="00A01E6B" w:rsidP="00A01E6B">
      <w:pPr>
        <w:pStyle w:val="BodyText1"/>
        <w:rPr>
          <w:rFonts w:eastAsia="Times New Roman"/>
          <w:sz w:val="32"/>
          <w:szCs w:val="32"/>
        </w:rPr>
      </w:pPr>
    </w:p>
    <w:p w14:paraId="6B06BB3A" w14:textId="77777777" w:rsidR="00A01E6B" w:rsidRDefault="00A01E6B" w:rsidP="00A01E6B">
      <w:pPr>
        <w:pStyle w:val="BodyText1"/>
        <w:rPr>
          <w:rFonts w:eastAsia="Times New Roman"/>
          <w:sz w:val="32"/>
          <w:szCs w:val="32"/>
        </w:rPr>
      </w:pPr>
    </w:p>
    <w:p w14:paraId="2F9C2EEB" w14:textId="77777777" w:rsidR="00A01E6B" w:rsidRDefault="00A01E6B" w:rsidP="00A01E6B">
      <w:pPr>
        <w:pStyle w:val="BodyText1"/>
        <w:rPr>
          <w:rFonts w:eastAsia="Times New Roman"/>
          <w:sz w:val="32"/>
          <w:szCs w:val="32"/>
        </w:rPr>
      </w:pPr>
    </w:p>
    <w:p w14:paraId="1F67F723" w14:textId="77777777" w:rsidR="00A01E6B" w:rsidRDefault="00A01E6B" w:rsidP="00A01E6B">
      <w:pPr>
        <w:pStyle w:val="BodyText1"/>
        <w:rPr>
          <w:rFonts w:eastAsia="Times New Roman"/>
          <w:sz w:val="32"/>
          <w:szCs w:val="32"/>
        </w:rPr>
      </w:pPr>
    </w:p>
    <w:p w14:paraId="4F866B31" w14:textId="77777777" w:rsidR="00A01E6B" w:rsidRDefault="00A01E6B" w:rsidP="00A01E6B">
      <w:pPr>
        <w:pStyle w:val="BodyText1"/>
        <w:rPr>
          <w:rFonts w:eastAsia="Times New Roman"/>
          <w:sz w:val="32"/>
          <w:szCs w:val="32"/>
        </w:rPr>
      </w:pPr>
    </w:p>
    <w:p w14:paraId="771009CB" w14:textId="77777777" w:rsidR="00A01E6B" w:rsidRDefault="00A01E6B" w:rsidP="00A01E6B">
      <w:pPr>
        <w:pStyle w:val="BodyText1"/>
        <w:rPr>
          <w:rFonts w:eastAsia="Times New Roman"/>
          <w:sz w:val="32"/>
          <w:szCs w:val="32"/>
        </w:rPr>
      </w:pPr>
    </w:p>
    <w:p w14:paraId="747FB2BF" w14:textId="77777777" w:rsidR="00A01E6B" w:rsidRDefault="00A01E6B" w:rsidP="00A01E6B">
      <w:pPr>
        <w:pStyle w:val="BodyText1"/>
        <w:rPr>
          <w:rFonts w:eastAsia="Times New Roman"/>
          <w:sz w:val="32"/>
          <w:szCs w:val="32"/>
        </w:rPr>
      </w:pPr>
    </w:p>
    <w:p w14:paraId="3221A7D8" w14:textId="77777777" w:rsidR="00A01E6B" w:rsidRDefault="00A01E6B" w:rsidP="00A01E6B">
      <w:pPr>
        <w:pStyle w:val="BodyText1"/>
        <w:rPr>
          <w:rFonts w:eastAsia="Times New Roman"/>
          <w:sz w:val="32"/>
          <w:szCs w:val="32"/>
        </w:rPr>
      </w:pPr>
    </w:p>
    <w:p w14:paraId="7D484DFB" w14:textId="77777777" w:rsidR="00A01E6B" w:rsidRDefault="00A01E6B" w:rsidP="00A01E6B">
      <w:pPr>
        <w:pStyle w:val="BodyText1"/>
        <w:rPr>
          <w:rFonts w:eastAsia="Times New Roman"/>
          <w:sz w:val="32"/>
          <w:szCs w:val="32"/>
        </w:rPr>
      </w:pPr>
    </w:p>
    <w:p w14:paraId="3224FD3B" w14:textId="77777777" w:rsidR="00A01E6B" w:rsidRDefault="00A01E6B" w:rsidP="00A01E6B">
      <w:pPr>
        <w:pStyle w:val="BodyText1"/>
        <w:rPr>
          <w:rFonts w:eastAsia="Times New Roman"/>
          <w:sz w:val="32"/>
          <w:szCs w:val="32"/>
        </w:rPr>
      </w:pPr>
    </w:p>
    <w:p w14:paraId="1B1AE0B7" w14:textId="77777777" w:rsidR="00A01E6B" w:rsidRDefault="00A01E6B" w:rsidP="00A01E6B">
      <w:pPr>
        <w:pStyle w:val="BodyText1"/>
        <w:rPr>
          <w:rFonts w:eastAsia="Times New Roman"/>
          <w:sz w:val="32"/>
          <w:szCs w:val="32"/>
        </w:rPr>
      </w:pPr>
    </w:p>
    <w:p w14:paraId="30ACDF94" w14:textId="77777777" w:rsidR="00A01E6B" w:rsidRDefault="00A01E6B" w:rsidP="00A01E6B">
      <w:pPr>
        <w:pStyle w:val="BodyText1"/>
        <w:rPr>
          <w:rFonts w:eastAsia="Times New Roman"/>
          <w:sz w:val="32"/>
          <w:szCs w:val="32"/>
        </w:rPr>
      </w:pPr>
    </w:p>
    <w:p w14:paraId="5F96D866" w14:textId="77777777" w:rsidR="00A01E6B" w:rsidRDefault="00A01E6B" w:rsidP="00A01E6B">
      <w:pPr>
        <w:pStyle w:val="BodyText1"/>
        <w:rPr>
          <w:rFonts w:eastAsia="Times New Roman"/>
          <w:sz w:val="32"/>
          <w:szCs w:val="32"/>
        </w:rPr>
      </w:pPr>
    </w:p>
    <w:p w14:paraId="35A885DD" w14:textId="77777777" w:rsidR="00A01E6B" w:rsidRDefault="00A01E6B" w:rsidP="00A01E6B">
      <w:pPr>
        <w:pStyle w:val="BodyText1"/>
        <w:rPr>
          <w:rFonts w:eastAsia="Times New Roman"/>
          <w:sz w:val="32"/>
          <w:szCs w:val="32"/>
        </w:rPr>
      </w:pPr>
    </w:p>
    <w:p w14:paraId="163945E9" w14:textId="1D2436FE" w:rsidR="00A01E6B" w:rsidRPr="00504B45" w:rsidRDefault="00A01E6B" w:rsidP="00A01E6B">
      <w:pPr>
        <w:pStyle w:val="BodyText1"/>
        <w:rPr>
          <w:rFonts w:eastAsia="Times New Roman"/>
          <w:sz w:val="32"/>
          <w:szCs w:val="32"/>
        </w:rPr>
      </w:pPr>
      <w:r w:rsidRPr="007777DA">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7777DA">
          <w:rPr>
            <w:rFonts w:eastAsia="Times New Roman"/>
            <w:color w:val="016574" w:themeColor="hyperlink"/>
            <w:sz w:val="32"/>
            <w:szCs w:val="32"/>
            <w:u w:val="single"/>
          </w:rPr>
          <w:t>equalities@sepa.org.uk</w:t>
        </w:r>
      </w:hyperlink>
      <w:r w:rsidRPr="007777DA">
        <w:rPr>
          <w:rFonts w:eastAsia="Times New Roman"/>
          <w:sz w:val="32"/>
          <w:szCs w:val="32"/>
        </w:rPr>
        <w:t xml:space="preserve"> </w:t>
      </w:r>
    </w:p>
    <w:p w14:paraId="6CCEB7D5" w14:textId="0A69A757" w:rsidR="006F0FAB" w:rsidRPr="006F0FAB" w:rsidRDefault="006F0FAB" w:rsidP="006F0FAB">
      <w:pPr>
        <w:pStyle w:val="Heading1"/>
      </w:pPr>
      <w:r w:rsidRPr="006F0FAB">
        <w:lastRenderedPageBreak/>
        <w:t>Purpose</w:t>
      </w:r>
    </w:p>
    <w:p w14:paraId="3A0FB041" w14:textId="3FC99454" w:rsidR="006F0FAB" w:rsidRDefault="006F0FAB" w:rsidP="006F0FAB">
      <w:pPr>
        <w:pStyle w:val="BodyText1"/>
        <w:rPr>
          <w:rFonts w:eastAsia="Arial"/>
          <w:lang w:val="en-US"/>
        </w:rPr>
      </w:pPr>
      <w:r w:rsidRPr="30EC639C">
        <w:rPr>
          <w:rFonts w:eastAsia="Arial"/>
          <w:lang w:val="en-US"/>
        </w:rPr>
        <w:t xml:space="preserve">This document provides information and guidance for anyone undertaking </w:t>
      </w:r>
      <w:r>
        <w:rPr>
          <w:rFonts w:eastAsia="Arial"/>
          <w:lang w:val="en-US"/>
        </w:rPr>
        <w:t xml:space="preserve">the operation of an impoundment in inland surface water or wetlands constructed before 1 April 2006 that </w:t>
      </w:r>
      <w:r w:rsidRPr="30EC639C">
        <w:rPr>
          <w:rFonts w:eastAsia="Arial"/>
          <w:lang w:val="en-US"/>
        </w:rPr>
        <w:t>requires an authorisation under The Environmental Authorisations (Scotland) Regulations.</w:t>
      </w:r>
    </w:p>
    <w:p w14:paraId="548302FC" w14:textId="72D2033A" w:rsidR="00FC280E" w:rsidRPr="00952954" w:rsidRDefault="001B3F23" w:rsidP="006F0FAB">
      <w:pPr>
        <w:pStyle w:val="BodyText1"/>
        <w:rPr>
          <w:rFonts w:eastAsia="Arial"/>
        </w:rPr>
      </w:pPr>
      <w:r>
        <w:rPr>
          <w:rFonts w:eastAsia="Arial"/>
          <w:lang w:val="en-US"/>
        </w:rPr>
        <w:t xml:space="preserve">This guidance does not cover any other </w:t>
      </w:r>
      <w:r w:rsidR="00E1185A">
        <w:rPr>
          <w:rFonts w:eastAsia="Arial"/>
          <w:lang w:val="en-US"/>
        </w:rPr>
        <w:t xml:space="preserve">permissions that may be required. </w:t>
      </w:r>
      <w:r>
        <w:rPr>
          <w:rFonts w:eastAsia="Arial"/>
          <w:lang w:val="en-US"/>
        </w:rPr>
        <w:t xml:space="preserve"> </w:t>
      </w:r>
    </w:p>
    <w:p w14:paraId="3192D425" w14:textId="77777777" w:rsidR="006F0FAB" w:rsidRPr="006F0FAB" w:rsidRDefault="006F0FAB" w:rsidP="006F0FAB">
      <w:pPr>
        <w:pStyle w:val="Heading1"/>
      </w:pPr>
      <w:r w:rsidRPr="006F0FAB">
        <w:t>What activity does this guidance apply to?</w:t>
      </w:r>
    </w:p>
    <w:p w14:paraId="68E16A67" w14:textId="482A77E2" w:rsidR="006F0FAB" w:rsidRPr="00AC5BF8" w:rsidRDefault="006F0FAB" w:rsidP="006F0FAB">
      <w:pPr>
        <w:pStyle w:val="BodyText1"/>
      </w:pPr>
      <w:r w:rsidRPr="00AC5BF8">
        <w:rPr>
          <w:rFonts w:eastAsia="Times New Roman"/>
          <w:lang w:eastAsia="en-GB"/>
        </w:rPr>
        <w:t>This guidance applies to impoundment activities granted as a registration under the Environmental Authorisation (Scotland) Regulation 2018 for:</w:t>
      </w:r>
    </w:p>
    <w:p w14:paraId="2ABBDEE4" w14:textId="77777777" w:rsidR="006F0FAB" w:rsidRPr="00AC5BF8" w:rsidRDefault="006F0FAB" w:rsidP="006F0FAB">
      <w:pPr>
        <w:pStyle w:val="BodyText1"/>
      </w:pPr>
      <w:r w:rsidRPr="00AC5BF8">
        <w:t xml:space="preserve"> The operation of an impoundment </w:t>
      </w:r>
      <w:r w:rsidRPr="0D46AF85">
        <w:t>in inland surface water or wetlands that</w:t>
      </w:r>
      <w:r w:rsidRPr="00AC5BF8">
        <w:t>;</w:t>
      </w:r>
    </w:p>
    <w:p w14:paraId="046292C5" w14:textId="77777777" w:rsidR="006F0FAB" w:rsidRDefault="006F0FAB" w:rsidP="006F0FAB">
      <w:pPr>
        <w:pStyle w:val="BodyText1"/>
      </w:pPr>
      <w:r w:rsidRPr="61542258">
        <w:t xml:space="preserve">        (a) is more than 1 metre in height;</w:t>
      </w:r>
    </w:p>
    <w:p w14:paraId="54A53D0C" w14:textId="77777777" w:rsidR="006F0FAB" w:rsidRDefault="006F0FAB" w:rsidP="006F0FAB">
      <w:pPr>
        <w:pStyle w:val="BodyText1"/>
      </w:pPr>
      <w:r w:rsidRPr="61542258">
        <w:t xml:space="preserve">        (b) was constructed before </w:t>
      </w:r>
      <w:r w:rsidRPr="0D46AF85">
        <w:t>1</w:t>
      </w:r>
      <w:r w:rsidRPr="0D46AF85">
        <w:rPr>
          <w:vertAlign w:val="superscript"/>
        </w:rPr>
        <w:t>st</w:t>
      </w:r>
      <w:r>
        <w:t xml:space="preserve"> April </w:t>
      </w:r>
      <w:r w:rsidRPr="61542258">
        <w:t>2006; and</w:t>
      </w:r>
    </w:p>
    <w:p w14:paraId="6223D903" w14:textId="2DD29CE2" w:rsidR="006F0FAB" w:rsidRDefault="006F0FAB" w:rsidP="006F0FAB">
      <w:pPr>
        <w:pStyle w:val="BodyText1"/>
      </w:pPr>
      <w:r w:rsidRPr="61542258">
        <w:t xml:space="preserve">        (c) does not adversely affect the passage of salmon </w:t>
      </w:r>
      <w:r w:rsidRPr="61542258" w:rsidDel="00EF1354">
        <w:t xml:space="preserve">or </w:t>
      </w:r>
      <w:r w:rsidRPr="61542258">
        <w:t>sea trout</w:t>
      </w:r>
      <w:r>
        <w:t>.</w:t>
      </w:r>
    </w:p>
    <w:p w14:paraId="74BEA155" w14:textId="77777777" w:rsidR="006F0FAB" w:rsidRPr="006F0FAB" w:rsidRDefault="006F0FAB" w:rsidP="006F0FAB">
      <w:pPr>
        <w:pStyle w:val="Heading1"/>
      </w:pPr>
      <w:r w:rsidRPr="006F0FAB">
        <w:t>Understanding the activity  </w:t>
      </w:r>
    </w:p>
    <w:p w14:paraId="504028FF" w14:textId="77777777" w:rsidR="006F0FAB" w:rsidRDefault="006F0FAB" w:rsidP="006F0FAB">
      <w:pPr>
        <w:pStyle w:val="BodyText1"/>
      </w:pPr>
      <w:r>
        <w:t xml:space="preserve">This activity covers authorisation of an existing impoundment constructed prior to 1 April 2006. </w:t>
      </w:r>
    </w:p>
    <w:p w14:paraId="4871A6DD" w14:textId="77777777" w:rsidR="006F0FAB" w:rsidRDefault="006F0FAB" w:rsidP="006F0FAB">
      <w:pPr>
        <w:pStyle w:val="BodyText1"/>
      </w:pPr>
      <w:r w:rsidRPr="007D2F68">
        <w:t>In applying for this activity, you will be asked to supply information on the height of the existing impoundment. This</w:t>
      </w:r>
      <w:r w:rsidRPr="5DD678E8">
        <w:t xml:space="preserve"> height is the difference between water levels at the crest of the impounding structure and at the downstream extent of the structure. The horizontal distance between these points is also desirable information, and photographs of the impounding structure and any associated structures are also helpful.</w:t>
      </w:r>
    </w:p>
    <w:p w14:paraId="396B73BC" w14:textId="069DDF22" w:rsidR="006F0FAB" w:rsidRPr="0071138C" w:rsidRDefault="006F0FAB" w:rsidP="006F0FAB">
      <w:pPr>
        <w:pStyle w:val="BodyText1"/>
      </w:pPr>
      <w:r>
        <w:t>Should any modification of the impoundment be proposed, for example if the height of the impoundment is to be altered, or a fish pass added</w:t>
      </w:r>
      <w:r w:rsidR="008C464C">
        <w:t>,</w:t>
      </w:r>
      <w:r>
        <w:t xml:space="preserve"> this will require a permit application.</w:t>
      </w:r>
    </w:p>
    <w:p w14:paraId="792A0677" w14:textId="77777777" w:rsidR="006F0FAB" w:rsidRDefault="006F0FAB" w:rsidP="006F0FAB">
      <w:pPr>
        <w:pStyle w:val="Heading1"/>
      </w:pPr>
      <w:r w:rsidRPr="006F0FAB">
        <w:lastRenderedPageBreak/>
        <w:t>Understanding and minimising risks to the water environment </w:t>
      </w:r>
    </w:p>
    <w:p w14:paraId="46B13F79" w14:textId="399ECEEA" w:rsidR="003563A9" w:rsidRPr="003563A9" w:rsidRDefault="003563A9" w:rsidP="003563A9">
      <w:pPr>
        <w:pStyle w:val="Heading2"/>
        <w:rPr>
          <w:shd w:val="clear" w:color="auto" w:fill="FFFFFF"/>
        </w:rPr>
      </w:pPr>
      <w:r>
        <w:rPr>
          <w:shd w:val="clear" w:color="auto" w:fill="FFFFFF"/>
        </w:rPr>
        <w:t>Risks to the water environment</w:t>
      </w:r>
    </w:p>
    <w:p w14:paraId="5C4705E7" w14:textId="77777777" w:rsidR="006F0FAB" w:rsidRDefault="006F0FAB" w:rsidP="006F0FAB">
      <w:pPr>
        <w:pStyle w:val="BodyText1"/>
      </w:pPr>
      <w:r w:rsidRPr="5DD678E8">
        <w:t>The impoundment must be operated and maintained to ensure it does not adversely affect the passage of fish. If there is an existing fish pass this must be maintained and cleared to ensure proper ongoing function.</w:t>
      </w:r>
    </w:p>
    <w:p w14:paraId="2BBA66BB" w14:textId="77777777" w:rsidR="006F0FAB" w:rsidRDefault="006F0FAB" w:rsidP="006F0FAB">
      <w:pPr>
        <w:pStyle w:val="BodyText1"/>
      </w:pPr>
      <w:r w:rsidRPr="5DD678E8">
        <w:t xml:space="preserve">The impoundment, or any structures associated with it, must not cause harm to fish. This includes the maintenance and operation of any associated sluices, screens or other equipment. To prevent the loss of fish from the watercourse, the dimensions of </w:t>
      </w:r>
      <w:r>
        <w:t xml:space="preserve">any </w:t>
      </w:r>
      <w:r w:rsidRPr="5DD678E8">
        <w:t>screens must be sufficient to prevent fish entering an abstracted flow (entrainment)</w:t>
      </w:r>
      <w:r>
        <w:t xml:space="preserve"> </w:t>
      </w:r>
      <w:r w:rsidRPr="5DD678E8">
        <w:t>or becoming trapped on the face of a screen (impingement). Fish harm may also include indirect losses of fish due to delays in their movements upstream or downstream which can lead to increased predation, physical damage or disease. This can occur where water depths over an impounding structure inhibit fish movements, or there is a significant distraction flow that attracts fish away from a safe route of passage.</w:t>
      </w:r>
    </w:p>
    <w:p w14:paraId="0F345DC8" w14:textId="50CEFDB5" w:rsidR="009953B7" w:rsidRDefault="009953B7" w:rsidP="006F0FAB">
      <w:pPr>
        <w:pStyle w:val="BodyText1"/>
      </w:pPr>
      <w:r w:rsidRPr="000677EE">
        <w:t xml:space="preserve">To minimise risks to the water environment and to help you comply with the standard conditions for this activity, you should follow the </w:t>
      </w:r>
      <w:r>
        <w:t>D</w:t>
      </w:r>
      <w:r w:rsidRPr="000677EE">
        <w:t xml:space="preserve">os and </w:t>
      </w:r>
      <w:r>
        <w:t>D</w:t>
      </w:r>
      <w:r w:rsidRPr="000677EE">
        <w:t>on’ts below</w:t>
      </w:r>
      <w:r>
        <w:t xml:space="preserve">. </w:t>
      </w:r>
    </w:p>
    <w:p w14:paraId="2903D86B" w14:textId="0B6C3236" w:rsidR="006F0FAB" w:rsidRPr="009A0D89" w:rsidRDefault="006F0FAB" w:rsidP="003563A9">
      <w:pPr>
        <w:pStyle w:val="Heading2"/>
      </w:pPr>
      <w:r w:rsidRPr="009A0D89">
        <w:t xml:space="preserve">Dos and Don’ts </w:t>
      </w:r>
    </w:p>
    <w:p w14:paraId="13925B76" w14:textId="77777777" w:rsidR="006F0FAB" w:rsidRDefault="006F0FAB" w:rsidP="009A0D89">
      <w:pPr>
        <w:pStyle w:val="BodyText1"/>
        <w:numPr>
          <w:ilvl w:val="0"/>
          <w:numId w:val="15"/>
        </w:numPr>
      </w:pPr>
      <w:r>
        <w:t xml:space="preserve">Do ensure that the impoundment does not cause harm to fish </w:t>
      </w:r>
    </w:p>
    <w:p w14:paraId="70CB887E" w14:textId="12EA80BD" w:rsidR="006F0FAB" w:rsidRDefault="006F0FAB" w:rsidP="009A0D89">
      <w:pPr>
        <w:pStyle w:val="BodyText1"/>
        <w:numPr>
          <w:ilvl w:val="0"/>
          <w:numId w:val="15"/>
        </w:numPr>
      </w:pPr>
      <w:r w:rsidRPr="0D46AF85">
        <w:t xml:space="preserve">Do ensure that the impoundment is maintained and operated to ensure that there is no adverse impact on the upstream and downstream passage of </w:t>
      </w:r>
      <w:r>
        <w:t>fish.</w:t>
      </w:r>
      <w:r w:rsidRPr="0D46AF85">
        <w:t xml:space="preserve"> For further guidance and information see </w:t>
      </w:r>
      <w:hyperlink r:id="rId14" w:anchor=":~:text=Fisheries%20Management%20Scotland%20is%20the%20representative%20body%20for%20Scotland's%20District" w:history="1">
        <w:r w:rsidRPr="00D20F44">
          <w:rPr>
            <w:rStyle w:val="Hyperlink"/>
          </w:rPr>
          <w:t>Fisheries Management Scotland</w:t>
        </w:r>
        <w:r w:rsidR="00D20F44" w:rsidRPr="00D20F44">
          <w:rPr>
            <w:rStyle w:val="Hyperlink"/>
          </w:rPr>
          <w:t>.</w:t>
        </w:r>
      </w:hyperlink>
    </w:p>
    <w:p w14:paraId="69A774DF" w14:textId="77777777" w:rsidR="000E5909" w:rsidRPr="007973CB" w:rsidRDefault="000E5909" w:rsidP="000E5909">
      <w:pPr>
        <w:pStyle w:val="Heading1"/>
      </w:pPr>
      <w:r w:rsidRPr="007973CB">
        <w:t>Glossary</w:t>
      </w:r>
    </w:p>
    <w:p w14:paraId="583B6FD1" w14:textId="77777777" w:rsidR="000E5909" w:rsidRPr="003A0587" w:rsidRDefault="000E5909" w:rsidP="000E5909">
      <w:pPr>
        <w:pStyle w:val="BodyText1"/>
      </w:pPr>
      <w:r w:rsidRPr="00257CCA">
        <w:t xml:space="preserve">A full list of terms is available in the </w:t>
      </w:r>
      <w:r>
        <w:t xml:space="preserve">main </w:t>
      </w:r>
      <w:r w:rsidRPr="00257CCA">
        <w:t>Glossary</w:t>
      </w:r>
      <w:r>
        <w:t>.</w:t>
      </w:r>
    </w:p>
    <w:p w14:paraId="19A4DCC9" w14:textId="7D206466" w:rsidR="00236659" w:rsidRPr="00A01E6B" w:rsidRDefault="006F0FAB" w:rsidP="00077EE6">
      <w:pPr>
        <w:pStyle w:val="BodyText1"/>
        <w:rPr>
          <w:shd w:val="clear" w:color="auto" w:fill="FFFFFF"/>
        </w:rPr>
      </w:pPr>
      <w:r w:rsidRPr="009A0D89">
        <w:rPr>
          <w:b/>
          <w:bCs/>
        </w:rPr>
        <w:lastRenderedPageBreak/>
        <w:t>Impoundment</w:t>
      </w:r>
      <w:r w:rsidRPr="009553F5">
        <w:rPr>
          <w:color w:val="016574" w:themeColor="accent2"/>
        </w:rPr>
        <w:t xml:space="preserve"> </w:t>
      </w:r>
      <w:r w:rsidR="009A0D89">
        <w:t>means</w:t>
      </w:r>
      <w:r w:rsidRPr="009553F5">
        <w:rPr>
          <w:shd w:val="clear" w:color="auto" w:fill="FFFFFF"/>
        </w:rPr>
        <w:t xml:space="preserve"> any dam, weir or other structure that can raise the water level of a water body above its natural level. </w:t>
      </w:r>
    </w:p>
    <w:p w14:paraId="60C1A803" w14:textId="3E7EA650" w:rsidR="00A01E6B" w:rsidRPr="009A0D89" w:rsidRDefault="00A01E6B" w:rsidP="00A01E6B">
      <w:pPr>
        <w:pStyle w:val="Heading1"/>
      </w:pPr>
      <w:r w:rsidRPr="009A0D89">
        <w:t>D</w:t>
      </w:r>
      <w:r>
        <w:t xml:space="preserve">isclaimer </w:t>
      </w:r>
    </w:p>
    <w:p w14:paraId="0447A975" w14:textId="1D7EF9C5" w:rsidR="000F7833" w:rsidRPr="00077EE6" w:rsidRDefault="000F7833" w:rsidP="00077EE6">
      <w:pPr>
        <w:pStyle w:val="BodyText1"/>
      </w:pPr>
      <w:r w:rsidRPr="00077EE6">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4C3C9BF6" w14:textId="77777777" w:rsidR="000F7833" w:rsidRPr="00077EE6" w:rsidRDefault="000F7833" w:rsidP="00077EE6">
      <w:pPr>
        <w:pStyle w:val="BodyText1"/>
        <w:numPr>
          <w:ilvl w:val="0"/>
          <w:numId w:val="17"/>
        </w:numPr>
      </w:pPr>
      <w:r w:rsidRPr="00077EE6">
        <w:t>any direct, indirect and consequential losses</w:t>
      </w:r>
    </w:p>
    <w:p w14:paraId="1A1F8A47" w14:textId="64D19C25" w:rsidR="000F7833" w:rsidRPr="00077EE6" w:rsidRDefault="000F7833" w:rsidP="00077EE6">
      <w:pPr>
        <w:pStyle w:val="BodyText1"/>
        <w:numPr>
          <w:ilvl w:val="0"/>
          <w:numId w:val="17"/>
        </w:numPr>
      </w:pPr>
      <w:r w:rsidRPr="00077EE6">
        <w:t>any loss or damage caused by civil wrongs, breach of contract or otherwise</w:t>
      </w:r>
    </w:p>
    <w:p w14:paraId="47087AEB" w14:textId="77777777" w:rsidR="000F7833" w:rsidRPr="00077EE6" w:rsidRDefault="000F7833" w:rsidP="00077EE6">
      <w:pPr>
        <w:pStyle w:val="BodyText1"/>
      </w:pPr>
      <w:r w:rsidRPr="00077EE6">
        <w:t xml:space="preserve">SEPA reserves the right to depart from this guidance and take appropriate action as it considers necessary or appropriate. Operators are responsible for ensuring that they are compliant with the law. If necessary, independent legal / specialist advice should be sought.  </w:t>
      </w:r>
    </w:p>
    <w:sectPr w:rsidR="000F7833" w:rsidRPr="00077EE6" w:rsidSect="006A6137">
      <w:headerReference w:type="even" r:id="rId15"/>
      <w:headerReference w:type="default" r:id="rId16"/>
      <w:footerReference w:type="even" r:id="rId17"/>
      <w:footerReference w:type="default" r:id="rId18"/>
      <w:headerReference w:type="first" r:id="rId19"/>
      <w:footerReference w:type="first" r:id="rId20"/>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C674F" w14:textId="77777777" w:rsidR="00871624" w:rsidRDefault="00871624" w:rsidP="00660C79">
      <w:pPr>
        <w:spacing w:line="240" w:lineRule="auto"/>
      </w:pPr>
      <w:r>
        <w:separator/>
      </w:r>
    </w:p>
  </w:endnote>
  <w:endnote w:type="continuationSeparator" w:id="0">
    <w:p w14:paraId="24030002" w14:textId="77777777" w:rsidR="00871624" w:rsidRDefault="00871624" w:rsidP="00660C79">
      <w:pPr>
        <w:spacing w:line="240" w:lineRule="auto"/>
      </w:pPr>
      <w:r>
        <w:continuationSeparator/>
      </w:r>
    </w:p>
  </w:endnote>
  <w:endnote w:type="continuationNotice" w:id="1">
    <w:p w14:paraId="5BBDEA53" w14:textId="77777777" w:rsidR="00871624" w:rsidRDefault="008716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4C069"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7E1E8276" wp14:editId="737FE432">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AE61AF"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1E8276"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7AE61AF"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38F66186"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5F08224D"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18CEE5"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7443" w14:textId="77777777" w:rsidR="00EC6A73" w:rsidRDefault="00751749" w:rsidP="00917BB1">
    <w:pPr>
      <w:pStyle w:val="Footer"/>
      <w:ind w:right="360"/>
    </w:pPr>
    <w:r>
      <w:rPr>
        <w:noProof/>
      </w:rPr>
      <mc:AlternateContent>
        <mc:Choice Requires="wps">
          <w:drawing>
            <wp:anchor distT="0" distB="0" distL="0" distR="0" simplePos="0" relativeHeight="251658247" behindDoc="0" locked="0" layoutInCell="1" allowOverlap="1" wp14:anchorId="0C6251C5" wp14:editId="32E7B2EE">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E3CA72"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6251C5"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BE3CA72"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p w14:paraId="7B5ADEE4"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7DC82F6C" wp14:editId="03D02FB5">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2CE4A96"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6825C5A4"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C1C0550" w14:textId="77777777" w:rsidR="00917BB1" w:rsidRDefault="00917BB1" w:rsidP="00917BB1">
    <w:pPr>
      <w:pStyle w:val="Footer"/>
      <w:ind w:right="360"/>
    </w:pPr>
    <w:r>
      <w:rPr>
        <w:noProof/>
      </w:rPr>
      <w:drawing>
        <wp:inline distT="0" distB="0" distL="0" distR="0" wp14:anchorId="64C2F4C4" wp14:editId="2634DE05">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97701"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40D73774" wp14:editId="1B77217A">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2C418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D73774"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3A2C418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FCC97" w14:textId="77777777" w:rsidR="00871624" w:rsidRDefault="00871624" w:rsidP="00660C79">
      <w:pPr>
        <w:spacing w:line="240" w:lineRule="auto"/>
      </w:pPr>
      <w:r>
        <w:separator/>
      </w:r>
    </w:p>
  </w:footnote>
  <w:footnote w:type="continuationSeparator" w:id="0">
    <w:p w14:paraId="1B74681B" w14:textId="77777777" w:rsidR="00871624" w:rsidRDefault="00871624" w:rsidP="00660C79">
      <w:pPr>
        <w:spacing w:line="240" w:lineRule="auto"/>
      </w:pPr>
      <w:r>
        <w:continuationSeparator/>
      </w:r>
    </w:p>
  </w:footnote>
  <w:footnote w:type="continuationNotice" w:id="1">
    <w:p w14:paraId="0818BAA1" w14:textId="77777777" w:rsidR="00871624" w:rsidRDefault="0087162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7EA24"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4DE1361C" wp14:editId="53E5A31E">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CBEA31"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E1361C"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ACBEA31"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C438" w14:textId="389ECCDA" w:rsidR="008D113C" w:rsidRPr="00917BB1" w:rsidRDefault="00751749"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2BAF92A9" wp14:editId="099A324B">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D40756"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AF92A9"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FD40756"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D93B3C">
      <w:rPr>
        <w:color w:val="6E7571" w:themeColor="text2"/>
      </w:rPr>
      <w:t xml:space="preserve">EASR Guidance: Registration Activity: Operation of an </w:t>
    </w:r>
    <w:r w:rsidR="0016531C">
      <w:rPr>
        <w:color w:val="6E7571" w:themeColor="text2"/>
      </w:rPr>
      <w:t xml:space="preserve">existing </w:t>
    </w:r>
    <w:r w:rsidR="00D93B3C">
      <w:rPr>
        <w:color w:val="6E7571" w:themeColor="text2"/>
      </w:rPr>
      <w:t xml:space="preserve">impoundment </w:t>
    </w:r>
    <w:r w:rsidR="00011BEC">
      <w:rPr>
        <w:color w:val="6E7571" w:themeColor="text2"/>
      </w:rPr>
      <w:t xml:space="preserve">more than 1 metre high </w:t>
    </w:r>
  </w:p>
  <w:p w14:paraId="067E6779"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7B881300" wp14:editId="2E4DEA33">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1718FA2B"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75BD4"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55361EFC" wp14:editId="184F9A18">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2FF60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361EFC"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C2FF60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DC1743"/>
    <w:multiLevelType w:val="hybridMultilevel"/>
    <w:tmpl w:val="34B2F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F3588D"/>
    <w:multiLevelType w:val="hybridMultilevel"/>
    <w:tmpl w:val="B0DA4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A42513"/>
    <w:multiLevelType w:val="hybridMultilevel"/>
    <w:tmpl w:val="ABBA7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B63916"/>
    <w:multiLevelType w:val="hybridMultilevel"/>
    <w:tmpl w:val="7F28CA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15"/>
  </w:num>
  <w:num w:numId="12" w16cid:durableId="791052000">
    <w:abstractNumId w:val="10"/>
  </w:num>
  <w:num w:numId="13" w16cid:durableId="593785568">
    <w:abstractNumId w:val="16"/>
  </w:num>
  <w:num w:numId="14" w16cid:durableId="1774012272">
    <w:abstractNumId w:val="13"/>
  </w:num>
  <w:num w:numId="15" w16cid:durableId="2098743355">
    <w:abstractNumId w:val="12"/>
  </w:num>
  <w:num w:numId="16" w16cid:durableId="1592083134">
    <w:abstractNumId w:val="14"/>
  </w:num>
  <w:num w:numId="17" w16cid:durableId="2690536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FAB"/>
    <w:rsid w:val="00011BEC"/>
    <w:rsid w:val="0003257F"/>
    <w:rsid w:val="00032829"/>
    <w:rsid w:val="00040561"/>
    <w:rsid w:val="000453A6"/>
    <w:rsid w:val="00070937"/>
    <w:rsid w:val="00077EE6"/>
    <w:rsid w:val="000B7559"/>
    <w:rsid w:val="000C1B83"/>
    <w:rsid w:val="000E0D15"/>
    <w:rsid w:val="000E5909"/>
    <w:rsid w:val="000E61CB"/>
    <w:rsid w:val="000E6DD9"/>
    <w:rsid w:val="000F7833"/>
    <w:rsid w:val="00105F31"/>
    <w:rsid w:val="00124119"/>
    <w:rsid w:val="00165044"/>
    <w:rsid w:val="0016531C"/>
    <w:rsid w:val="00196EF4"/>
    <w:rsid w:val="001A5936"/>
    <w:rsid w:val="001B3F23"/>
    <w:rsid w:val="001E4E9F"/>
    <w:rsid w:val="001F0827"/>
    <w:rsid w:val="001F1151"/>
    <w:rsid w:val="002042E6"/>
    <w:rsid w:val="002043BF"/>
    <w:rsid w:val="00236552"/>
    <w:rsid w:val="00236659"/>
    <w:rsid w:val="002401DD"/>
    <w:rsid w:val="00281BB1"/>
    <w:rsid w:val="00290B1F"/>
    <w:rsid w:val="002B003B"/>
    <w:rsid w:val="0030096D"/>
    <w:rsid w:val="00317618"/>
    <w:rsid w:val="00325B10"/>
    <w:rsid w:val="003563A9"/>
    <w:rsid w:val="00394726"/>
    <w:rsid w:val="003A69EB"/>
    <w:rsid w:val="003F5384"/>
    <w:rsid w:val="004073BC"/>
    <w:rsid w:val="004133B7"/>
    <w:rsid w:val="00444AA1"/>
    <w:rsid w:val="00496210"/>
    <w:rsid w:val="004B79BB"/>
    <w:rsid w:val="004E1575"/>
    <w:rsid w:val="004F54CF"/>
    <w:rsid w:val="00504B45"/>
    <w:rsid w:val="00506FB0"/>
    <w:rsid w:val="00551989"/>
    <w:rsid w:val="005524DD"/>
    <w:rsid w:val="00587EA6"/>
    <w:rsid w:val="005A2E8F"/>
    <w:rsid w:val="005A355E"/>
    <w:rsid w:val="005B7D86"/>
    <w:rsid w:val="005D1213"/>
    <w:rsid w:val="005E1401"/>
    <w:rsid w:val="006243FF"/>
    <w:rsid w:val="00660C79"/>
    <w:rsid w:val="00664A4F"/>
    <w:rsid w:val="00684F5A"/>
    <w:rsid w:val="006871A4"/>
    <w:rsid w:val="006A6137"/>
    <w:rsid w:val="006D16CE"/>
    <w:rsid w:val="006F0FAB"/>
    <w:rsid w:val="00707847"/>
    <w:rsid w:val="00725053"/>
    <w:rsid w:val="007404EA"/>
    <w:rsid w:val="00751749"/>
    <w:rsid w:val="00776453"/>
    <w:rsid w:val="007777DA"/>
    <w:rsid w:val="007A5EF8"/>
    <w:rsid w:val="007B3D8E"/>
    <w:rsid w:val="007C3F12"/>
    <w:rsid w:val="007D2F68"/>
    <w:rsid w:val="007D441B"/>
    <w:rsid w:val="00801105"/>
    <w:rsid w:val="00811CBE"/>
    <w:rsid w:val="00861B46"/>
    <w:rsid w:val="00871624"/>
    <w:rsid w:val="008856A5"/>
    <w:rsid w:val="008A6D84"/>
    <w:rsid w:val="008C1A73"/>
    <w:rsid w:val="008C464C"/>
    <w:rsid w:val="008D113C"/>
    <w:rsid w:val="008D376F"/>
    <w:rsid w:val="009119E7"/>
    <w:rsid w:val="00911B06"/>
    <w:rsid w:val="00917BB1"/>
    <w:rsid w:val="0092503F"/>
    <w:rsid w:val="00930B80"/>
    <w:rsid w:val="009402D1"/>
    <w:rsid w:val="009501D0"/>
    <w:rsid w:val="00975D21"/>
    <w:rsid w:val="00980531"/>
    <w:rsid w:val="0099486A"/>
    <w:rsid w:val="009953B7"/>
    <w:rsid w:val="0099700E"/>
    <w:rsid w:val="009A0D89"/>
    <w:rsid w:val="009A240D"/>
    <w:rsid w:val="009A3B41"/>
    <w:rsid w:val="009C5F29"/>
    <w:rsid w:val="00A01E6B"/>
    <w:rsid w:val="00A11CAD"/>
    <w:rsid w:val="00A42B67"/>
    <w:rsid w:val="00A56DE0"/>
    <w:rsid w:val="00A60B0B"/>
    <w:rsid w:val="00A8465C"/>
    <w:rsid w:val="00A9349C"/>
    <w:rsid w:val="00A944AF"/>
    <w:rsid w:val="00AD5117"/>
    <w:rsid w:val="00AE068C"/>
    <w:rsid w:val="00AE43E6"/>
    <w:rsid w:val="00B258E0"/>
    <w:rsid w:val="00B4435B"/>
    <w:rsid w:val="00B46E48"/>
    <w:rsid w:val="00B54CF4"/>
    <w:rsid w:val="00B55AE4"/>
    <w:rsid w:val="00B66238"/>
    <w:rsid w:val="00B83525"/>
    <w:rsid w:val="00BE11A8"/>
    <w:rsid w:val="00BE2613"/>
    <w:rsid w:val="00BE4F71"/>
    <w:rsid w:val="00BF1987"/>
    <w:rsid w:val="00C07973"/>
    <w:rsid w:val="00C55301"/>
    <w:rsid w:val="00C569B9"/>
    <w:rsid w:val="00C60C8B"/>
    <w:rsid w:val="00C76F04"/>
    <w:rsid w:val="00C9082B"/>
    <w:rsid w:val="00C95B22"/>
    <w:rsid w:val="00CA14AC"/>
    <w:rsid w:val="00CD6672"/>
    <w:rsid w:val="00CD6AC0"/>
    <w:rsid w:val="00CE6150"/>
    <w:rsid w:val="00CF7EFB"/>
    <w:rsid w:val="00D06E81"/>
    <w:rsid w:val="00D20F44"/>
    <w:rsid w:val="00D30573"/>
    <w:rsid w:val="00D35448"/>
    <w:rsid w:val="00D846DB"/>
    <w:rsid w:val="00D93B3C"/>
    <w:rsid w:val="00DA4074"/>
    <w:rsid w:val="00DE0829"/>
    <w:rsid w:val="00DF0877"/>
    <w:rsid w:val="00DF3CC6"/>
    <w:rsid w:val="00E1185A"/>
    <w:rsid w:val="00E11A56"/>
    <w:rsid w:val="00E12B9F"/>
    <w:rsid w:val="00E326A4"/>
    <w:rsid w:val="00E45CBE"/>
    <w:rsid w:val="00E632DD"/>
    <w:rsid w:val="00E6398F"/>
    <w:rsid w:val="00E67C75"/>
    <w:rsid w:val="00E9376A"/>
    <w:rsid w:val="00EC1F6F"/>
    <w:rsid w:val="00EC6A73"/>
    <w:rsid w:val="00ED2CC0"/>
    <w:rsid w:val="00F07048"/>
    <w:rsid w:val="00F268C1"/>
    <w:rsid w:val="00F42553"/>
    <w:rsid w:val="00F622E7"/>
    <w:rsid w:val="00F72274"/>
    <w:rsid w:val="00F7634B"/>
    <w:rsid w:val="00F87DFC"/>
    <w:rsid w:val="00FC280E"/>
    <w:rsid w:val="00FE1324"/>
    <w:rsid w:val="00FF5D5A"/>
    <w:rsid w:val="1D66B4A6"/>
    <w:rsid w:val="208CC894"/>
    <w:rsid w:val="64367E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C7B0B"/>
  <w15:chartTrackingRefBased/>
  <w15:docId w15:val="{F969AE18-3B34-424F-9F9D-9D76ADCC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6F0FAB"/>
  </w:style>
  <w:style w:type="character" w:customStyle="1" w:styleId="contentcontrolboundarysink">
    <w:name w:val="contentcontrolboundarysink"/>
    <w:basedOn w:val="DefaultParagraphFont"/>
    <w:uiPriority w:val="1"/>
    <w:rsid w:val="006F0FAB"/>
    <w:rPr>
      <w:rFonts w:asciiTheme="minorHAnsi" w:eastAsiaTheme="minorEastAsia" w:hAnsiTheme="minorHAnsi" w:cstheme="minorBidi"/>
      <w:sz w:val="24"/>
      <w:szCs w:val="24"/>
    </w:rPr>
  </w:style>
  <w:style w:type="paragraph" w:styleId="ListParagraph">
    <w:name w:val="List Paragraph"/>
    <w:basedOn w:val="Normal"/>
    <w:link w:val="ListParagraphChar"/>
    <w:uiPriority w:val="34"/>
    <w:qFormat/>
    <w:rsid w:val="006F0FAB"/>
    <w:pPr>
      <w:spacing w:after="160" w:line="259" w:lineRule="auto"/>
      <w:ind w:left="720"/>
      <w:contextualSpacing/>
    </w:pPr>
    <w:rPr>
      <w:rFonts w:ascii="Arial" w:eastAsiaTheme="minorHAnsi" w:hAnsi="Arial"/>
      <w:sz w:val="22"/>
      <w:szCs w:val="22"/>
    </w:rPr>
  </w:style>
  <w:style w:type="character" w:customStyle="1" w:styleId="ListParagraphChar">
    <w:name w:val="List Paragraph Char"/>
    <w:basedOn w:val="DefaultParagraphFont"/>
    <w:link w:val="ListParagraph"/>
    <w:uiPriority w:val="34"/>
    <w:rsid w:val="006F0FAB"/>
    <w:rPr>
      <w:rFonts w:ascii="Arial" w:hAnsi="Arial"/>
      <w:sz w:val="22"/>
      <w:szCs w:val="22"/>
    </w:rPr>
  </w:style>
  <w:style w:type="character" w:styleId="CommentReference">
    <w:name w:val="annotation reference"/>
    <w:basedOn w:val="DefaultParagraphFont"/>
    <w:uiPriority w:val="99"/>
    <w:semiHidden/>
    <w:unhideWhenUsed/>
    <w:rsid w:val="006F0FAB"/>
    <w:rPr>
      <w:sz w:val="16"/>
      <w:szCs w:val="16"/>
    </w:rPr>
  </w:style>
  <w:style w:type="paragraph" w:styleId="CommentText">
    <w:name w:val="annotation text"/>
    <w:basedOn w:val="Normal"/>
    <w:link w:val="CommentTextChar"/>
    <w:uiPriority w:val="99"/>
    <w:unhideWhenUsed/>
    <w:rsid w:val="006F0FAB"/>
    <w:pPr>
      <w:spacing w:line="240" w:lineRule="auto"/>
    </w:pPr>
    <w:rPr>
      <w:sz w:val="20"/>
      <w:szCs w:val="20"/>
    </w:rPr>
  </w:style>
  <w:style w:type="character" w:customStyle="1" w:styleId="CommentTextChar">
    <w:name w:val="Comment Text Char"/>
    <w:basedOn w:val="DefaultParagraphFont"/>
    <w:link w:val="CommentText"/>
    <w:uiPriority w:val="99"/>
    <w:rsid w:val="006F0FA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A0D89"/>
    <w:rPr>
      <w:b/>
      <w:bCs/>
    </w:rPr>
  </w:style>
  <w:style w:type="character" w:customStyle="1" w:styleId="CommentSubjectChar">
    <w:name w:val="Comment Subject Char"/>
    <w:basedOn w:val="CommentTextChar"/>
    <w:link w:val="CommentSubject"/>
    <w:uiPriority w:val="99"/>
    <w:semiHidden/>
    <w:rsid w:val="009A0D89"/>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757017036">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08360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ms.scot/"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500E6-2EE1-4CB0-81B9-7FC22FA0E17B}"/>
</file>

<file path=customXml/itemProps2.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3.xml><?xml version="1.0" encoding="utf-8"?>
<ds:datastoreItem xmlns:ds="http://schemas.openxmlformats.org/officeDocument/2006/customXml" ds:itemID="{07AEB60E-9E87-4E21-8612-30C2A1D2F723}">
  <ds:schemaRefs>
    <ds:schemaRef ds:uri="ce5b52f7-9556-48ad-bf4f-1238de82834a"/>
    <ds:schemaRef ds:uri="http://purl.org/dc/terms/"/>
    <ds:schemaRef ds:uri="7dd4d6b0-2bd1-40f7-94aa-8d4785e79023"/>
    <ds:schemaRef ds:uri="http://schemas.microsoft.com/office/2006/documentManagement/types"/>
    <ds:schemaRef ds:uri="http://www.w3.org/XML/1998/namespace"/>
    <ds:schemaRef ds:uri="http://purl.org/dc/dcmitype/"/>
    <ds:schemaRef ds:uri="http://purl.org/dc/elements/1.1/"/>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257</TotalTime>
  <Pages>5</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and Land Unit</dc:creator>
  <cp:keywords/>
  <dc:description/>
  <cp:lastModifiedBy>Pritchard, Alex</cp:lastModifiedBy>
  <cp:revision>30</cp:revision>
  <cp:lastPrinted>2023-03-24T04:44:00Z</cp:lastPrinted>
  <dcterms:created xsi:type="dcterms:W3CDTF">2024-12-12T00:05:00Z</dcterms:created>
  <dcterms:modified xsi:type="dcterms:W3CDTF">2025-03-17T14:33:00Z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