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7BD669BA" w14:textId="77777777" w:rsidR="004073BC" w:rsidRDefault="00F72274" w:rsidP="00F72274">
          <w:r>
            <w:rPr>
              <w:noProof/>
            </w:rPr>
            <w:drawing>
              <wp:anchor distT="0" distB="0" distL="114300" distR="114300" simplePos="0" relativeHeight="251658241" behindDoc="1" locked="0" layoutInCell="1" allowOverlap="1" wp14:anchorId="4A102C27" wp14:editId="697AA96F">
                <wp:simplePos x="0" y="0"/>
                <wp:positionH relativeFrom="column">
                  <wp:posOffset>-532765</wp:posOffset>
                </wp:positionH>
                <wp:positionV relativeFrom="paragraph">
                  <wp:posOffset>-717550</wp:posOffset>
                </wp:positionV>
                <wp:extent cx="755964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095" cy="10879170"/>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1C2FC4A" wp14:editId="50556B1D">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6BA306CB" w14:textId="77777777" w:rsidR="004073BC" w:rsidRDefault="004073BC" w:rsidP="008C1A73"/>
        <w:p w14:paraId="68488E42" w14:textId="77777777" w:rsidR="004073BC" w:rsidRDefault="004073BC" w:rsidP="008C1A73"/>
        <w:p w14:paraId="42866533" w14:textId="60F7B895" w:rsidR="004073BC" w:rsidRPr="00797A93" w:rsidRDefault="00ED00D2" w:rsidP="008C1A73">
          <w:pPr>
            <w:rPr>
              <w:b/>
              <w:bCs/>
              <w:color w:val="FFFFFF" w:themeColor="background1"/>
              <w:sz w:val="36"/>
              <w:szCs w:val="36"/>
            </w:rPr>
          </w:pPr>
          <w:r w:rsidRPr="00797A93">
            <w:rPr>
              <w:b/>
              <w:bCs/>
              <w:color w:val="FFFFFF" w:themeColor="background1"/>
              <w:sz w:val="36"/>
              <w:szCs w:val="36"/>
            </w:rPr>
            <w:t>WAS-G-02</w:t>
          </w:r>
        </w:p>
        <w:p w14:paraId="38E52C98" w14:textId="77777777" w:rsidR="004073BC" w:rsidRDefault="004073BC" w:rsidP="008C1A73"/>
        <w:p w14:paraId="4AEC9F9B" w14:textId="77777777" w:rsidR="004073BC" w:rsidRDefault="004073BC" w:rsidP="008C1A73"/>
        <w:p w14:paraId="72B3D5B9" w14:textId="77777777" w:rsidR="00281BB1" w:rsidRDefault="00281BB1" w:rsidP="00281BB1">
          <w:pPr>
            <w:rPr>
              <w:b/>
              <w:bCs/>
              <w:color w:val="FFFFFF" w:themeColor="background1"/>
              <w:sz w:val="84"/>
              <w:szCs w:val="84"/>
            </w:rPr>
          </w:pPr>
        </w:p>
        <w:p w14:paraId="781B00EE" w14:textId="13593970" w:rsidR="00801105" w:rsidRDefault="00281BB1" w:rsidP="00B42845">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77FB1544" wp14:editId="766BDAD2">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9DE327C" w14:textId="5BE2BD61" w:rsidR="00281BB1" w:rsidRPr="009A240D" w:rsidRDefault="00FF1BE9" w:rsidP="00281BB1">
                                <w:pPr>
                                  <w:pStyle w:val="BodyText1"/>
                                  <w:rPr>
                                    <w:color w:val="FFFFFF" w:themeColor="background1"/>
                                  </w:rPr>
                                </w:pPr>
                                <w:r>
                                  <w:rPr>
                                    <w:color w:val="FFFFFF" w:themeColor="background1"/>
                                  </w:rPr>
                                  <w:t>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FB1544"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49DE327C" w14:textId="5BE2BD61" w:rsidR="00281BB1" w:rsidRPr="009A240D" w:rsidRDefault="00FF1BE9" w:rsidP="00281BB1">
                          <w:pPr>
                            <w:pStyle w:val="BodyText1"/>
                            <w:rPr>
                              <w:color w:val="FFFFFF" w:themeColor="background1"/>
                            </w:rPr>
                          </w:pPr>
                          <w:r>
                            <w:rPr>
                              <w:color w:val="FFFFFF" w:themeColor="background1"/>
                            </w:rPr>
                            <w:t>August 2025</w:t>
                          </w:r>
                        </w:p>
                      </w:txbxContent>
                    </v:textbox>
                    <w10:anchorlock/>
                  </v:shape>
                </w:pict>
              </mc:Fallback>
            </mc:AlternateContent>
          </w:r>
          <w:r w:rsidR="002B386E">
            <w:rPr>
              <w:b/>
              <w:bCs/>
              <w:color w:val="FFFFFF" w:themeColor="background1"/>
              <w:sz w:val="84"/>
              <w:szCs w:val="84"/>
            </w:rPr>
            <w:t xml:space="preserve">SEPA Guidance: Land Remediation and Waste Management </w:t>
          </w:r>
        </w:p>
        <w:p w14:paraId="3EFFABDD"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1400664477"/>
        <w:docPartObj>
          <w:docPartGallery w:val="Table of Contents"/>
          <w:docPartUnique/>
        </w:docPartObj>
      </w:sdtPr>
      <w:sdtEndPr>
        <w:rPr>
          <w:b/>
          <w:bCs/>
          <w:noProof/>
        </w:rPr>
      </w:sdtEndPr>
      <w:sdtContent>
        <w:p w14:paraId="7A637681" w14:textId="02C83913" w:rsidR="000C729E" w:rsidRPr="006367AF" w:rsidRDefault="000C729E" w:rsidP="006367AF">
          <w:pPr>
            <w:pStyle w:val="TOCHeading"/>
            <w:spacing w:before="0" w:after="240" w:line="360" w:lineRule="auto"/>
            <w:rPr>
              <w:b/>
              <w:bCs/>
            </w:rPr>
          </w:pPr>
          <w:r w:rsidRPr="006367AF">
            <w:rPr>
              <w:b/>
              <w:bCs/>
            </w:rPr>
            <w:t>Contents</w:t>
          </w:r>
        </w:p>
        <w:p w14:paraId="690767C3" w14:textId="203B7A66" w:rsidR="003A0533" w:rsidRDefault="000C729E">
          <w:pPr>
            <w:pStyle w:val="TOC2"/>
            <w:rPr>
              <w:noProof/>
              <w:kern w:val="2"/>
              <w:lang w:eastAsia="en-GB"/>
              <w14:ligatures w14:val="standardContextual"/>
            </w:rPr>
          </w:pPr>
          <w:r>
            <w:fldChar w:fldCharType="begin"/>
          </w:r>
          <w:r>
            <w:instrText xml:space="preserve"> TOC \o "1-3" \h \z \u </w:instrText>
          </w:r>
          <w:r>
            <w:fldChar w:fldCharType="separate"/>
          </w:r>
          <w:hyperlink w:anchor="_Toc191996566" w:history="1">
            <w:r w:rsidR="003A0533" w:rsidRPr="00673D05">
              <w:rPr>
                <w:rStyle w:val="Hyperlink"/>
                <w:noProof/>
              </w:rPr>
              <w:t>Introduction</w:t>
            </w:r>
            <w:r w:rsidR="003A0533">
              <w:rPr>
                <w:noProof/>
                <w:webHidden/>
              </w:rPr>
              <w:tab/>
            </w:r>
            <w:r w:rsidR="003A0533">
              <w:rPr>
                <w:noProof/>
                <w:webHidden/>
              </w:rPr>
              <w:fldChar w:fldCharType="begin"/>
            </w:r>
            <w:r w:rsidR="003A0533">
              <w:rPr>
                <w:noProof/>
                <w:webHidden/>
              </w:rPr>
              <w:instrText xml:space="preserve"> PAGEREF _Toc191996566 \h </w:instrText>
            </w:r>
            <w:r w:rsidR="003A0533">
              <w:rPr>
                <w:noProof/>
                <w:webHidden/>
              </w:rPr>
            </w:r>
            <w:r w:rsidR="003A0533">
              <w:rPr>
                <w:noProof/>
                <w:webHidden/>
              </w:rPr>
              <w:fldChar w:fldCharType="separate"/>
            </w:r>
            <w:r w:rsidR="003A0533">
              <w:rPr>
                <w:noProof/>
                <w:webHidden/>
              </w:rPr>
              <w:t>2</w:t>
            </w:r>
            <w:r w:rsidR="003A0533">
              <w:rPr>
                <w:noProof/>
                <w:webHidden/>
              </w:rPr>
              <w:fldChar w:fldCharType="end"/>
            </w:r>
          </w:hyperlink>
        </w:p>
        <w:p w14:paraId="5C24A1A5" w14:textId="31505DA5" w:rsidR="003A0533" w:rsidRDefault="003A0533">
          <w:pPr>
            <w:pStyle w:val="TOC2"/>
            <w:rPr>
              <w:noProof/>
              <w:kern w:val="2"/>
              <w:lang w:eastAsia="en-GB"/>
              <w14:ligatures w14:val="standardContextual"/>
            </w:rPr>
          </w:pPr>
          <w:hyperlink w:anchor="_Toc191996567" w:history="1">
            <w:r w:rsidRPr="00673D05">
              <w:rPr>
                <w:rStyle w:val="Hyperlink"/>
                <w:noProof/>
              </w:rPr>
              <w:t>Roles and Responsibilities</w:t>
            </w:r>
            <w:r>
              <w:rPr>
                <w:noProof/>
                <w:webHidden/>
              </w:rPr>
              <w:tab/>
            </w:r>
            <w:r>
              <w:rPr>
                <w:noProof/>
                <w:webHidden/>
              </w:rPr>
              <w:fldChar w:fldCharType="begin"/>
            </w:r>
            <w:r>
              <w:rPr>
                <w:noProof/>
                <w:webHidden/>
              </w:rPr>
              <w:instrText xml:space="preserve"> PAGEREF _Toc191996567 \h </w:instrText>
            </w:r>
            <w:r>
              <w:rPr>
                <w:noProof/>
                <w:webHidden/>
              </w:rPr>
            </w:r>
            <w:r>
              <w:rPr>
                <w:noProof/>
                <w:webHidden/>
              </w:rPr>
              <w:fldChar w:fldCharType="separate"/>
            </w:r>
            <w:r>
              <w:rPr>
                <w:noProof/>
                <w:webHidden/>
              </w:rPr>
              <w:t>2</w:t>
            </w:r>
            <w:r>
              <w:rPr>
                <w:noProof/>
                <w:webHidden/>
              </w:rPr>
              <w:fldChar w:fldCharType="end"/>
            </w:r>
          </w:hyperlink>
        </w:p>
        <w:p w14:paraId="045A0FCF" w14:textId="190FE8EB" w:rsidR="003A0533" w:rsidRDefault="003A0533">
          <w:pPr>
            <w:pStyle w:val="TOC2"/>
            <w:rPr>
              <w:noProof/>
              <w:kern w:val="2"/>
              <w:lang w:eastAsia="en-GB"/>
              <w14:ligatures w14:val="standardContextual"/>
            </w:rPr>
          </w:pPr>
          <w:hyperlink w:anchor="_Toc191996568" w:history="1">
            <w:r w:rsidRPr="00673D05">
              <w:rPr>
                <w:rStyle w:val="Hyperlink"/>
                <w:noProof/>
              </w:rPr>
              <w:t>On-site use of excavated material without treatment</w:t>
            </w:r>
            <w:r>
              <w:rPr>
                <w:noProof/>
                <w:webHidden/>
              </w:rPr>
              <w:tab/>
            </w:r>
            <w:r>
              <w:rPr>
                <w:noProof/>
                <w:webHidden/>
              </w:rPr>
              <w:fldChar w:fldCharType="begin"/>
            </w:r>
            <w:r>
              <w:rPr>
                <w:noProof/>
                <w:webHidden/>
              </w:rPr>
              <w:instrText xml:space="preserve"> PAGEREF _Toc191996568 \h </w:instrText>
            </w:r>
            <w:r>
              <w:rPr>
                <w:noProof/>
                <w:webHidden/>
              </w:rPr>
            </w:r>
            <w:r>
              <w:rPr>
                <w:noProof/>
                <w:webHidden/>
              </w:rPr>
              <w:fldChar w:fldCharType="separate"/>
            </w:r>
            <w:r>
              <w:rPr>
                <w:noProof/>
                <w:webHidden/>
              </w:rPr>
              <w:t>3</w:t>
            </w:r>
            <w:r>
              <w:rPr>
                <w:noProof/>
                <w:webHidden/>
              </w:rPr>
              <w:fldChar w:fldCharType="end"/>
            </w:r>
          </w:hyperlink>
        </w:p>
        <w:p w14:paraId="0E1D3C03" w14:textId="574E5122" w:rsidR="003A0533" w:rsidRDefault="003A0533">
          <w:pPr>
            <w:pStyle w:val="TOC2"/>
            <w:rPr>
              <w:noProof/>
              <w:kern w:val="2"/>
              <w:lang w:eastAsia="en-GB"/>
              <w14:ligatures w14:val="standardContextual"/>
            </w:rPr>
          </w:pPr>
          <w:hyperlink w:anchor="_Toc191996569" w:history="1">
            <w:r w:rsidRPr="00673D05">
              <w:rPr>
                <w:rStyle w:val="Hyperlink"/>
                <w:noProof/>
              </w:rPr>
              <w:t>On-site treatment and use</w:t>
            </w:r>
            <w:r>
              <w:rPr>
                <w:noProof/>
                <w:webHidden/>
              </w:rPr>
              <w:tab/>
            </w:r>
            <w:r>
              <w:rPr>
                <w:noProof/>
                <w:webHidden/>
              </w:rPr>
              <w:fldChar w:fldCharType="begin"/>
            </w:r>
            <w:r>
              <w:rPr>
                <w:noProof/>
                <w:webHidden/>
              </w:rPr>
              <w:instrText xml:space="preserve"> PAGEREF _Toc191996569 \h </w:instrText>
            </w:r>
            <w:r>
              <w:rPr>
                <w:noProof/>
                <w:webHidden/>
              </w:rPr>
            </w:r>
            <w:r>
              <w:rPr>
                <w:noProof/>
                <w:webHidden/>
              </w:rPr>
              <w:fldChar w:fldCharType="separate"/>
            </w:r>
            <w:r>
              <w:rPr>
                <w:noProof/>
                <w:webHidden/>
              </w:rPr>
              <w:t>5</w:t>
            </w:r>
            <w:r>
              <w:rPr>
                <w:noProof/>
                <w:webHidden/>
              </w:rPr>
              <w:fldChar w:fldCharType="end"/>
            </w:r>
          </w:hyperlink>
        </w:p>
        <w:p w14:paraId="12940154" w14:textId="48AAC0BF" w:rsidR="003A0533" w:rsidRDefault="003A0533">
          <w:pPr>
            <w:pStyle w:val="TOC2"/>
            <w:rPr>
              <w:noProof/>
              <w:kern w:val="2"/>
              <w:lang w:eastAsia="en-GB"/>
              <w14:ligatures w14:val="standardContextual"/>
            </w:rPr>
          </w:pPr>
          <w:hyperlink w:anchor="_Toc191996570" w:history="1">
            <w:r w:rsidRPr="00673D05">
              <w:rPr>
                <w:rStyle w:val="Hyperlink"/>
                <w:noProof/>
              </w:rPr>
              <w:t>Off-site treatment and use – hub sites</w:t>
            </w:r>
            <w:r>
              <w:rPr>
                <w:noProof/>
                <w:webHidden/>
              </w:rPr>
              <w:tab/>
            </w:r>
            <w:r>
              <w:rPr>
                <w:noProof/>
                <w:webHidden/>
              </w:rPr>
              <w:fldChar w:fldCharType="begin"/>
            </w:r>
            <w:r>
              <w:rPr>
                <w:noProof/>
                <w:webHidden/>
              </w:rPr>
              <w:instrText xml:space="preserve"> PAGEREF _Toc191996570 \h </w:instrText>
            </w:r>
            <w:r>
              <w:rPr>
                <w:noProof/>
                <w:webHidden/>
              </w:rPr>
            </w:r>
            <w:r>
              <w:rPr>
                <w:noProof/>
                <w:webHidden/>
              </w:rPr>
              <w:fldChar w:fldCharType="separate"/>
            </w:r>
            <w:r>
              <w:rPr>
                <w:noProof/>
                <w:webHidden/>
              </w:rPr>
              <w:t>5</w:t>
            </w:r>
            <w:r>
              <w:rPr>
                <w:noProof/>
                <w:webHidden/>
              </w:rPr>
              <w:fldChar w:fldCharType="end"/>
            </w:r>
          </w:hyperlink>
        </w:p>
        <w:p w14:paraId="5303BCDF" w14:textId="7721DED6" w:rsidR="003A0533" w:rsidRDefault="003A0533">
          <w:pPr>
            <w:pStyle w:val="TOC2"/>
            <w:rPr>
              <w:noProof/>
              <w:kern w:val="2"/>
              <w:lang w:eastAsia="en-GB"/>
              <w14:ligatures w14:val="standardContextual"/>
            </w:rPr>
          </w:pPr>
          <w:hyperlink w:anchor="_Toc191996571" w:history="1">
            <w:r w:rsidRPr="00673D05">
              <w:rPr>
                <w:rStyle w:val="Hyperlink"/>
                <w:noProof/>
              </w:rPr>
              <w:t>Fixed Soil Treatment Facilities</w:t>
            </w:r>
            <w:r>
              <w:rPr>
                <w:noProof/>
                <w:webHidden/>
              </w:rPr>
              <w:tab/>
            </w:r>
            <w:r>
              <w:rPr>
                <w:noProof/>
                <w:webHidden/>
              </w:rPr>
              <w:fldChar w:fldCharType="begin"/>
            </w:r>
            <w:r>
              <w:rPr>
                <w:noProof/>
                <w:webHidden/>
              </w:rPr>
              <w:instrText xml:space="preserve"> PAGEREF _Toc191996571 \h </w:instrText>
            </w:r>
            <w:r>
              <w:rPr>
                <w:noProof/>
                <w:webHidden/>
              </w:rPr>
            </w:r>
            <w:r>
              <w:rPr>
                <w:noProof/>
                <w:webHidden/>
              </w:rPr>
              <w:fldChar w:fldCharType="separate"/>
            </w:r>
            <w:r>
              <w:rPr>
                <w:noProof/>
                <w:webHidden/>
              </w:rPr>
              <w:t>6</w:t>
            </w:r>
            <w:r>
              <w:rPr>
                <w:noProof/>
                <w:webHidden/>
              </w:rPr>
              <w:fldChar w:fldCharType="end"/>
            </w:r>
          </w:hyperlink>
        </w:p>
        <w:p w14:paraId="51718A2E" w14:textId="33FB5CFB" w:rsidR="003A0533" w:rsidRDefault="003A0533">
          <w:pPr>
            <w:pStyle w:val="TOC2"/>
            <w:rPr>
              <w:noProof/>
              <w:kern w:val="2"/>
              <w:lang w:eastAsia="en-GB"/>
              <w14:ligatures w14:val="standardContextual"/>
            </w:rPr>
          </w:pPr>
          <w:hyperlink w:anchor="_Toc191996572" w:history="1">
            <w:r w:rsidRPr="00673D05">
              <w:rPr>
                <w:rStyle w:val="Hyperlink"/>
                <w:noProof/>
              </w:rPr>
              <w:t>Site specific working plan</w:t>
            </w:r>
            <w:r>
              <w:rPr>
                <w:noProof/>
                <w:webHidden/>
              </w:rPr>
              <w:tab/>
            </w:r>
            <w:r>
              <w:rPr>
                <w:noProof/>
                <w:webHidden/>
              </w:rPr>
              <w:fldChar w:fldCharType="begin"/>
            </w:r>
            <w:r>
              <w:rPr>
                <w:noProof/>
                <w:webHidden/>
              </w:rPr>
              <w:instrText xml:space="preserve"> PAGEREF _Toc191996572 \h </w:instrText>
            </w:r>
            <w:r>
              <w:rPr>
                <w:noProof/>
                <w:webHidden/>
              </w:rPr>
            </w:r>
            <w:r>
              <w:rPr>
                <w:noProof/>
                <w:webHidden/>
              </w:rPr>
              <w:fldChar w:fldCharType="separate"/>
            </w:r>
            <w:r>
              <w:rPr>
                <w:noProof/>
                <w:webHidden/>
              </w:rPr>
              <w:t>6</w:t>
            </w:r>
            <w:r>
              <w:rPr>
                <w:noProof/>
                <w:webHidden/>
              </w:rPr>
              <w:fldChar w:fldCharType="end"/>
            </w:r>
          </w:hyperlink>
        </w:p>
        <w:p w14:paraId="54C62EA5" w14:textId="2AA89F29" w:rsidR="000C729E" w:rsidRDefault="000C729E">
          <w:r>
            <w:rPr>
              <w:b/>
              <w:bCs/>
              <w:noProof/>
            </w:rPr>
            <w:fldChar w:fldCharType="end"/>
          </w:r>
        </w:p>
      </w:sdtContent>
    </w:sdt>
    <w:p w14:paraId="0153E75F" w14:textId="77777777" w:rsidR="000C729E" w:rsidRDefault="000C729E" w:rsidP="002B386E">
      <w:pPr>
        <w:pStyle w:val="Heading2"/>
        <w:rPr>
          <w:rFonts w:eastAsia="Times New Roman"/>
        </w:rPr>
      </w:pPr>
    </w:p>
    <w:p w14:paraId="6B0B55E4" w14:textId="77777777" w:rsidR="000C729E" w:rsidRDefault="000C729E" w:rsidP="002B386E">
      <w:pPr>
        <w:pStyle w:val="Heading2"/>
        <w:rPr>
          <w:rFonts w:eastAsia="Times New Roman"/>
        </w:rPr>
      </w:pPr>
    </w:p>
    <w:p w14:paraId="4C87AB47" w14:textId="77777777" w:rsidR="000C729E" w:rsidRDefault="000C729E" w:rsidP="002B386E">
      <w:pPr>
        <w:pStyle w:val="Heading2"/>
        <w:rPr>
          <w:rFonts w:eastAsia="Times New Roman"/>
        </w:rPr>
      </w:pPr>
    </w:p>
    <w:p w14:paraId="423C78D4" w14:textId="77777777" w:rsidR="000C729E" w:rsidRDefault="000C729E" w:rsidP="002B386E">
      <w:pPr>
        <w:pStyle w:val="Heading2"/>
        <w:rPr>
          <w:rFonts w:eastAsia="Times New Roman"/>
        </w:rPr>
      </w:pPr>
    </w:p>
    <w:p w14:paraId="4711AAEE" w14:textId="77777777" w:rsidR="000C729E" w:rsidRDefault="000C729E" w:rsidP="002B386E">
      <w:pPr>
        <w:pStyle w:val="Heading2"/>
        <w:rPr>
          <w:rFonts w:eastAsia="Times New Roman"/>
        </w:rPr>
      </w:pPr>
    </w:p>
    <w:p w14:paraId="6227A374" w14:textId="77777777" w:rsidR="000C729E" w:rsidRDefault="000C729E" w:rsidP="000C729E"/>
    <w:p w14:paraId="6576C10F" w14:textId="77777777" w:rsidR="000C729E" w:rsidRDefault="000C729E" w:rsidP="000C729E"/>
    <w:p w14:paraId="044C37D1" w14:textId="77777777" w:rsidR="000C729E" w:rsidRDefault="000C729E" w:rsidP="000C729E"/>
    <w:p w14:paraId="2ECED22A" w14:textId="77777777" w:rsidR="000C729E" w:rsidRPr="000C729E" w:rsidRDefault="000C729E" w:rsidP="000C729E"/>
    <w:p w14:paraId="7E7F8E27" w14:textId="77777777" w:rsidR="000C729E" w:rsidRDefault="000C729E" w:rsidP="000C729E"/>
    <w:p w14:paraId="2D2E0231" w14:textId="42F39700" w:rsidR="000C729E" w:rsidRPr="000C729E" w:rsidRDefault="000C729E" w:rsidP="000C729E">
      <w:pPr>
        <w:pStyle w:val="BodyText1"/>
        <w:rPr>
          <w:rFonts w:eastAsia="Times New Roman"/>
          <w:sz w:val="32"/>
          <w:szCs w:val="32"/>
        </w:rPr>
      </w:pPr>
      <w:r w:rsidRPr="0020743F">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20743F">
          <w:rPr>
            <w:rFonts w:eastAsia="Times New Roman"/>
            <w:color w:val="016574" w:themeColor="hyperlink"/>
            <w:sz w:val="32"/>
            <w:szCs w:val="32"/>
            <w:u w:val="single"/>
          </w:rPr>
          <w:t>equalities@sepa.org.uk</w:t>
        </w:r>
      </w:hyperlink>
      <w:r w:rsidRPr="0020743F">
        <w:rPr>
          <w:rFonts w:eastAsia="Times New Roman"/>
          <w:sz w:val="32"/>
          <w:szCs w:val="32"/>
        </w:rPr>
        <w:t xml:space="preserve"> </w:t>
      </w:r>
    </w:p>
    <w:p w14:paraId="5244FDDE" w14:textId="28F10820" w:rsidR="00934526" w:rsidRPr="003F3D10" w:rsidRDefault="002B386E" w:rsidP="003F3D10">
      <w:pPr>
        <w:pStyle w:val="Heading2"/>
      </w:pPr>
      <w:bookmarkStart w:id="0" w:name="_Toc191996566"/>
      <w:r w:rsidRPr="003F3D10">
        <w:lastRenderedPageBreak/>
        <w:t>Introduction</w:t>
      </w:r>
      <w:bookmarkEnd w:id="0"/>
      <w:r w:rsidRPr="003F3D10">
        <w:t xml:space="preserve"> </w:t>
      </w:r>
    </w:p>
    <w:p w14:paraId="468B1611" w14:textId="514CD452" w:rsidR="00355997" w:rsidRPr="003F3D10" w:rsidRDefault="002B386E" w:rsidP="003F3D10">
      <w:pPr>
        <w:spacing w:after="240"/>
        <w:rPr>
          <w:rFonts w:ascii="Arial" w:eastAsia="Times New Roman" w:hAnsi="Arial" w:cs="Arial"/>
        </w:rPr>
      </w:pPr>
      <w:r w:rsidRPr="003F3D10">
        <w:rPr>
          <w:rFonts w:ascii="Arial" w:eastAsia="Times New Roman" w:hAnsi="Arial" w:cs="Arial"/>
        </w:rPr>
        <w:t xml:space="preserve">This document is intended to help site developers, consultants, contractors, local authorities and SEPA staff understand when waste management regulation </w:t>
      </w:r>
      <w:r w:rsidR="006F59D1" w:rsidRPr="003F3D10">
        <w:rPr>
          <w:rFonts w:ascii="Arial" w:eastAsia="Times New Roman" w:hAnsi="Arial" w:cs="Arial"/>
        </w:rPr>
        <w:t>applies</w:t>
      </w:r>
      <w:r w:rsidRPr="003F3D10">
        <w:rPr>
          <w:rFonts w:ascii="Arial" w:eastAsia="Times New Roman" w:hAnsi="Arial" w:cs="Arial"/>
        </w:rPr>
        <w:t xml:space="preserve"> to </w:t>
      </w:r>
      <w:r w:rsidR="0018573B" w:rsidRPr="003F3D10">
        <w:rPr>
          <w:rFonts w:ascii="Arial" w:eastAsia="Times New Roman" w:hAnsi="Arial" w:cs="Arial"/>
        </w:rPr>
        <w:t>land</w:t>
      </w:r>
      <w:r w:rsidRPr="003F3D10">
        <w:rPr>
          <w:rFonts w:ascii="Arial" w:eastAsia="Times New Roman" w:hAnsi="Arial" w:cs="Arial"/>
        </w:rPr>
        <w:t xml:space="preserve"> remediation</w:t>
      </w:r>
      <w:r w:rsidR="0018573B" w:rsidRPr="003F3D10">
        <w:rPr>
          <w:rFonts w:ascii="Arial" w:eastAsia="Times New Roman" w:hAnsi="Arial" w:cs="Arial"/>
        </w:rPr>
        <w:t xml:space="preserve"> </w:t>
      </w:r>
      <w:r w:rsidR="005A3378" w:rsidRPr="003F3D10">
        <w:rPr>
          <w:rFonts w:ascii="Arial" w:eastAsia="Times New Roman" w:hAnsi="Arial" w:cs="Arial"/>
        </w:rPr>
        <w:t>projects</w:t>
      </w:r>
      <w:r w:rsidR="00355997" w:rsidRPr="003F3D10">
        <w:rPr>
          <w:rFonts w:ascii="Arial" w:eastAsia="Times New Roman" w:hAnsi="Arial" w:cs="Arial"/>
        </w:rPr>
        <w:t>. It does not apply to the remediation of radioactive contaminated land</w:t>
      </w:r>
      <w:r w:rsidR="00575C74">
        <w:rPr>
          <w:rFonts w:ascii="Arial" w:eastAsia="Times New Roman" w:hAnsi="Arial" w:cs="Arial"/>
        </w:rPr>
        <w:t xml:space="preserve"> or</w:t>
      </w:r>
      <w:r w:rsidR="00355997" w:rsidRPr="003F3D10">
        <w:rPr>
          <w:rFonts w:ascii="Arial" w:eastAsia="Times New Roman" w:hAnsi="Arial" w:cs="Arial"/>
        </w:rPr>
        <w:t xml:space="preserve"> the treatment of Japanese knotweed or other invasive species.</w:t>
      </w:r>
    </w:p>
    <w:p w14:paraId="019D1C6A" w14:textId="3AA50A29" w:rsidR="006F59D1" w:rsidRPr="003F3D10" w:rsidRDefault="006F59D1" w:rsidP="003F3D10">
      <w:pPr>
        <w:pStyle w:val="Heading2"/>
      </w:pPr>
      <w:bookmarkStart w:id="1" w:name="_Toc191996567"/>
      <w:r w:rsidRPr="003F3D10">
        <w:t>Roles and Responsibilities</w:t>
      </w:r>
      <w:bookmarkEnd w:id="1"/>
      <w:r w:rsidRPr="003F3D10">
        <w:t xml:space="preserve"> </w:t>
      </w:r>
    </w:p>
    <w:p w14:paraId="31CAFA4F" w14:textId="5FE0FAC8" w:rsidR="002B386E" w:rsidRPr="003F3D10" w:rsidRDefault="002B386E" w:rsidP="003F3D10">
      <w:pPr>
        <w:spacing w:after="240"/>
        <w:rPr>
          <w:rFonts w:ascii="Arial" w:eastAsia="Times New Roman" w:hAnsi="Arial" w:cs="Arial"/>
        </w:rPr>
      </w:pPr>
      <w:r w:rsidRPr="003F3D10">
        <w:rPr>
          <w:rFonts w:ascii="Arial" w:eastAsia="Times New Roman" w:hAnsi="Arial" w:cs="Arial"/>
        </w:rPr>
        <w:t xml:space="preserve">SEPA provides advice to local authorities </w:t>
      </w:r>
      <w:r w:rsidR="006F59D1" w:rsidRPr="003F3D10">
        <w:rPr>
          <w:rFonts w:ascii="Arial" w:eastAsia="Times New Roman" w:hAnsi="Arial" w:cs="Arial"/>
        </w:rPr>
        <w:t>on</w:t>
      </w:r>
      <w:r w:rsidRPr="003F3D10">
        <w:rPr>
          <w:rFonts w:ascii="Arial" w:eastAsia="Times New Roman" w:hAnsi="Arial" w:cs="Arial"/>
        </w:rPr>
        <w:t xml:space="preserve"> sites being remediated under Planning and Development Control</w:t>
      </w:r>
      <w:r w:rsidR="005A3378" w:rsidRPr="003F3D10">
        <w:rPr>
          <w:rFonts w:ascii="Arial" w:eastAsia="Times New Roman" w:hAnsi="Arial" w:cs="Arial"/>
        </w:rPr>
        <w:t xml:space="preserve"> and </w:t>
      </w:r>
      <w:r w:rsidRPr="003F3D10">
        <w:rPr>
          <w:rFonts w:ascii="Arial" w:eastAsia="Times New Roman" w:hAnsi="Arial" w:cs="Arial"/>
        </w:rPr>
        <w:t>Part IIA of the Environmental Protection Act 1990 (Contaminated Land Regime)</w:t>
      </w:r>
      <w:r w:rsidR="005A3378" w:rsidRPr="003F3D10">
        <w:rPr>
          <w:rFonts w:ascii="Arial" w:eastAsia="Times New Roman" w:hAnsi="Arial" w:cs="Arial"/>
        </w:rPr>
        <w:t xml:space="preserve"> and is the lead for Special Sites. </w:t>
      </w:r>
    </w:p>
    <w:p w14:paraId="2322F0DB" w14:textId="02B13E98" w:rsidR="00355997" w:rsidRPr="003F3D10" w:rsidRDefault="00355997" w:rsidP="003F3D10">
      <w:pPr>
        <w:spacing w:after="240"/>
        <w:rPr>
          <w:rFonts w:ascii="Arial" w:eastAsia="Times New Roman" w:hAnsi="Arial" w:cs="Arial"/>
          <w:b/>
          <w:bCs/>
        </w:rPr>
      </w:pPr>
      <w:r w:rsidRPr="003F3D10">
        <w:rPr>
          <w:rFonts w:ascii="Arial" w:eastAsia="Times New Roman" w:hAnsi="Arial" w:cs="Arial"/>
          <w:b/>
          <w:bCs/>
        </w:rPr>
        <w:t xml:space="preserve">Table 1: Roles and Responsibilities </w:t>
      </w:r>
    </w:p>
    <w:tbl>
      <w:tblPr>
        <w:tblStyle w:val="TableGrid"/>
        <w:tblW w:w="0" w:type="auto"/>
        <w:tblLook w:val="04A0" w:firstRow="1" w:lastRow="0" w:firstColumn="1" w:lastColumn="0" w:noHBand="0" w:noVBand="1"/>
      </w:tblPr>
      <w:tblGrid>
        <w:gridCol w:w="3397"/>
        <w:gridCol w:w="2268"/>
        <w:gridCol w:w="2127"/>
        <w:gridCol w:w="2420"/>
      </w:tblGrid>
      <w:tr w:rsidR="0018573B" w:rsidRPr="003F3D10" w14:paraId="71061BEB" w14:textId="77777777" w:rsidTr="009D2056">
        <w:tc>
          <w:tcPr>
            <w:tcW w:w="3397" w:type="dxa"/>
            <w:shd w:val="clear" w:color="auto" w:fill="016574" w:themeFill="accent6"/>
          </w:tcPr>
          <w:p w14:paraId="260F938B" w14:textId="77777777" w:rsidR="0018573B" w:rsidRPr="009D2056" w:rsidRDefault="0018573B" w:rsidP="003F3D10">
            <w:pPr>
              <w:spacing w:after="240"/>
              <w:rPr>
                <w:rFonts w:ascii="Arial" w:eastAsia="Times New Roman" w:hAnsi="Arial" w:cs="Arial"/>
                <w:color w:val="FFFFFF" w:themeColor="background1"/>
              </w:rPr>
            </w:pPr>
          </w:p>
        </w:tc>
        <w:tc>
          <w:tcPr>
            <w:tcW w:w="6815" w:type="dxa"/>
            <w:gridSpan w:val="3"/>
            <w:shd w:val="clear" w:color="auto" w:fill="016574" w:themeFill="accent6"/>
          </w:tcPr>
          <w:p w14:paraId="538A059C" w14:textId="7F9631B0" w:rsidR="0018573B" w:rsidRPr="009D2056" w:rsidRDefault="0018573B" w:rsidP="003F3D10">
            <w:pPr>
              <w:spacing w:after="240"/>
              <w:rPr>
                <w:rFonts w:ascii="Arial" w:eastAsia="Times New Roman" w:hAnsi="Arial" w:cs="Arial"/>
                <w:b/>
                <w:bCs/>
                <w:color w:val="FFFFFF" w:themeColor="background1"/>
              </w:rPr>
            </w:pPr>
            <w:r w:rsidRPr="009D2056">
              <w:rPr>
                <w:rFonts w:ascii="Arial" w:eastAsia="Times New Roman" w:hAnsi="Arial" w:cs="Arial"/>
                <w:b/>
                <w:bCs/>
                <w:color w:val="FFFFFF" w:themeColor="background1"/>
              </w:rPr>
              <w:t>Remediation Route</w:t>
            </w:r>
          </w:p>
        </w:tc>
      </w:tr>
      <w:tr w:rsidR="0018573B" w:rsidRPr="003F3D10" w14:paraId="793A5DFE" w14:textId="77777777" w:rsidTr="0018573B">
        <w:tc>
          <w:tcPr>
            <w:tcW w:w="3397" w:type="dxa"/>
          </w:tcPr>
          <w:p w14:paraId="1269F5F1" w14:textId="77777777" w:rsidR="0018573B" w:rsidRPr="003F3D10" w:rsidRDefault="0018573B" w:rsidP="003F3D10">
            <w:pPr>
              <w:spacing w:after="240"/>
              <w:rPr>
                <w:rFonts w:ascii="Arial" w:eastAsia="Times New Roman" w:hAnsi="Arial" w:cs="Arial"/>
              </w:rPr>
            </w:pPr>
          </w:p>
        </w:tc>
        <w:tc>
          <w:tcPr>
            <w:tcW w:w="2268" w:type="dxa"/>
          </w:tcPr>
          <w:p w14:paraId="060CE3DD" w14:textId="30E141AD" w:rsidR="0018573B" w:rsidRPr="009D2056" w:rsidRDefault="0018573B" w:rsidP="003F3D10">
            <w:pPr>
              <w:spacing w:after="240"/>
              <w:rPr>
                <w:rFonts w:ascii="Arial" w:eastAsia="Times New Roman" w:hAnsi="Arial" w:cs="Arial"/>
                <w:b/>
                <w:bCs/>
              </w:rPr>
            </w:pPr>
            <w:r w:rsidRPr="009D2056">
              <w:rPr>
                <w:rFonts w:ascii="Arial" w:eastAsia="Times New Roman" w:hAnsi="Arial" w:cs="Arial"/>
                <w:b/>
                <w:bCs/>
              </w:rPr>
              <w:t>Planning</w:t>
            </w:r>
          </w:p>
        </w:tc>
        <w:tc>
          <w:tcPr>
            <w:tcW w:w="2127" w:type="dxa"/>
          </w:tcPr>
          <w:p w14:paraId="378E4970" w14:textId="4111E1DC" w:rsidR="0018573B" w:rsidRPr="009D2056" w:rsidRDefault="0018573B" w:rsidP="003F3D10">
            <w:pPr>
              <w:spacing w:after="240"/>
              <w:rPr>
                <w:rFonts w:ascii="Arial" w:eastAsia="Times New Roman" w:hAnsi="Arial" w:cs="Arial"/>
                <w:b/>
                <w:bCs/>
              </w:rPr>
            </w:pPr>
            <w:r w:rsidRPr="009D2056">
              <w:rPr>
                <w:rFonts w:ascii="Arial" w:eastAsia="Times New Roman" w:hAnsi="Arial" w:cs="Arial"/>
                <w:b/>
                <w:bCs/>
              </w:rPr>
              <w:t>Part IIA</w:t>
            </w:r>
          </w:p>
        </w:tc>
        <w:tc>
          <w:tcPr>
            <w:tcW w:w="2420" w:type="dxa"/>
          </w:tcPr>
          <w:p w14:paraId="68A41158" w14:textId="4CA14484" w:rsidR="0018573B" w:rsidRPr="009D2056" w:rsidRDefault="0018573B" w:rsidP="003F3D10">
            <w:pPr>
              <w:spacing w:after="240"/>
              <w:rPr>
                <w:rFonts w:ascii="Arial" w:eastAsia="Times New Roman" w:hAnsi="Arial" w:cs="Arial"/>
                <w:b/>
                <w:bCs/>
              </w:rPr>
            </w:pPr>
            <w:r w:rsidRPr="009D2056">
              <w:rPr>
                <w:rFonts w:ascii="Arial" w:eastAsia="Times New Roman" w:hAnsi="Arial" w:cs="Arial"/>
                <w:b/>
                <w:bCs/>
              </w:rPr>
              <w:t>Part IIA – Special Site</w:t>
            </w:r>
          </w:p>
        </w:tc>
      </w:tr>
      <w:tr w:rsidR="0018573B" w:rsidRPr="003F3D10" w14:paraId="1469B6EA" w14:textId="77777777" w:rsidTr="0018573B">
        <w:tc>
          <w:tcPr>
            <w:tcW w:w="3397" w:type="dxa"/>
          </w:tcPr>
          <w:p w14:paraId="4F34D13C" w14:textId="1470D415" w:rsidR="0018573B" w:rsidRPr="003F3D10" w:rsidRDefault="0018573B" w:rsidP="003F3D10">
            <w:pPr>
              <w:spacing w:after="240"/>
              <w:rPr>
                <w:rFonts w:ascii="Arial" w:eastAsia="Times New Roman" w:hAnsi="Arial" w:cs="Arial"/>
                <w:b/>
                <w:bCs/>
              </w:rPr>
            </w:pPr>
            <w:r w:rsidRPr="003F3D10">
              <w:rPr>
                <w:rFonts w:ascii="Arial" w:eastAsia="Times New Roman" w:hAnsi="Arial" w:cs="Arial"/>
                <w:b/>
                <w:bCs/>
              </w:rPr>
              <w:t>Organisation</w:t>
            </w:r>
          </w:p>
        </w:tc>
        <w:tc>
          <w:tcPr>
            <w:tcW w:w="2268" w:type="dxa"/>
          </w:tcPr>
          <w:p w14:paraId="384BBD4B" w14:textId="77777777" w:rsidR="0018573B" w:rsidRPr="003F3D10" w:rsidRDefault="0018573B" w:rsidP="003F3D10">
            <w:pPr>
              <w:spacing w:after="240"/>
              <w:rPr>
                <w:rFonts w:ascii="Arial" w:eastAsia="Times New Roman" w:hAnsi="Arial" w:cs="Arial"/>
              </w:rPr>
            </w:pPr>
          </w:p>
        </w:tc>
        <w:tc>
          <w:tcPr>
            <w:tcW w:w="2127" w:type="dxa"/>
          </w:tcPr>
          <w:p w14:paraId="4CA9BF8F" w14:textId="77777777" w:rsidR="0018573B" w:rsidRPr="003F3D10" w:rsidRDefault="0018573B" w:rsidP="003F3D10">
            <w:pPr>
              <w:spacing w:after="240"/>
              <w:rPr>
                <w:rFonts w:ascii="Arial" w:eastAsia="Times New Roman" w:hAnsi="Arial" w:cs="Arial"/>
              </w:rPr>
            </w:pPr>
          </w:p>
        </w:tc>
        <w:tc>
          <w:tcPr>
            <w:tcW w:w="2420" w:type="dxa"/>
          </w:tcPr>
          <w:p w14:paraId="2726BE92" w14:textId="77777777" w:rsidR="0018573B" w:rsidRPr="003F3D10" w:rsidRDefault="0018573B" w:rsidP="003F3D10">
            <w:pPr>
              <w:spacing w:after="240"/>
              <w:rPr>
                <w:rFonts w:ascii="Arial" w:eastAsia="Times New Roman" w:hAnsi="Arial" w:cs="Arial"/>
              </w:rPr>
            </w:pPr>
          </w:p>
        </w:tc>
      </w:tr>
      <w:tr w:rsidR="0018573B" w:rsidRPr="003F3D10" w14:paraId="09B8DEA0" w14:textId="77777777" w:rsidTr="0018573B">
        <w:tc>
          <w:tcPr>
            <w:tcW w:w="3397" w:type="dxa"/>
          </w:tcPr>
          <w:p w14:paraId="369AFA9D" w14:textId="61E006CF" w:rsidR="0018573B" w:rsidRPr="003F3D10" w:rsidRDefault="0018573B" w:rsidP="003F3D10">
            <w:pPr>
              <w:spacing w:after="240"/>
              <w:rPr>
                <w:rFonts w:ascii="Arial" w:eastAsia="Times New Roman" w:hAnsi="Arial" w:cs="Arial"/>
              </w:rPr>
            </w:pPr>
            <w:r w:rsidRPr="003F3D10">
              <w:rPr>
                <w:rFonts w:ascii="Arial" w:eastAsia="Times New Roman" w:hAnsi="Arial" w:cs="Arial"/>
              </w:rPr>
              <w:t>Local Authority</w:t>
            </w:r>
          </w:p>
        </w:tc>
        <w:tc>
          <w:tcPr>
            <w:tcW w:w="2268" w:type="dxa"/>
          </w:tcPr>
          <w:p w14:paraId="728D1713" w14:textId="7B83259C" w:rsidR="0018573B" w:rsidRPr="003F3D10" w:rsidRDefault="0018573B" w:rsidP="003F3D10">
            <w:pPr>
              <w:spacing w:after="240"/>
              <w:rPr>
                <w:rFonts w:ascii="Arial" w:eastAsia="Times New Roman" w:hAnsi="Arial" w:cs="Arial"/>
              </w:rPr>
            </w:pPr>
            <w:r w:rsidRPr="003F3D10">
              <w:rPr>
                <w:rFonts w:ascii="Arial" w:eastAsia="Times New Roman" w:hAnsi="Arial" w:cs="Arial"/>
              </w:rPr>
              <w:t>Lead regulator</w:t>
            </w:r>
          </w:p>
        </w:tc>
        <w:tc>
          <w:tcPr>
            <w:tcW w:w="2127" w:type="dxa"/>
          </w:tcPr>
          <w:p w14:paraId="29BB1D07" w14:textId="43C12B6E" w:rsidR="0018573B" w:rsidRPr="003F3D10" w:rsidRDefault="0018573B" w:rsidP="003F3D10">
            <w:pPr>
              <w:spacing w:after="240"/>
              <w:rPr>
                <w:rFonts w:ascii="Arial" w:eastAsia="Times New Roman" w:hAnsi="Arial" w:cs="Arial"/>
              </w:rPr>
            </w:pPr>
            <w:r w:rsidRPr="003F3D10">
              <w:rPr>
                <w:rFonts w:ascii="Arial" w:eastAsia="Times New Roman" w:hAnsi="Arial" w:cs="Arial"/>
              </w:rPr>
              <w:t>Lead regulator</w:t>
            </w:r>
          </w:p>
        </w:tc>
        <w:tc>
          <w:tcPr>
            <w:tcW w:w="2420" w:type="dxa"/>
          </w:tcPr>
          <w:p w14:paraId="0A556964" w14:textId="0919F6A3" w:rsidR="0018573B" w:rsidRPr="003F3D10" w:rsidRDefault="0018573B" w:rsidP="003F3D10">
            <w:pPr>
              <w:spacing w:after="240"/>
              <w:rPr>
                <w:rFonts w:ascii="Arial" w:eastAsia="Times New Roman" w:hAnsi="Arial" w:cs="Arial"/>
              </w:rPr>
            </w:pPr>
            <w:r w:rsidRPr="003F3D10">
              <w:rPr>
                <w:rFonts w:ascii="Arial" w:eastAsia="Times New Roman" w:hAnsi="Arial" w:cs="Arial"/>
              </w:rPr>
              <w:t>Advisory</w:t>
            </w:r>
          </w:p>
        </w:tc>
      </w:tr>
      <w:tr w:rsidR="0018573B" w:rsidRPr="003F3D10" w14:paraId="18187C76" w14:textId="77777777" w:rsidTr="0018573B">
        <w:tc>
          <w:tcPr>
            <w:tcW w:w="3397" w:type="dxa"/>
          </w:tcPr>
          <w:p w14:paraId="14414392" w14:textId="1CE7078D" w:rsidR="0018573B" w:rsidRPr="003F3D10" w:rsidRDefault="0018573B" w:rsidP="003F3D10">
            <w:pPr>
              <w:spacing w:after="240"/>
              <w:rPr>
                <w:rFonts w:ascii="Arial" w:eastAsia="Times New Roman" w:hAnsi="Arial" w:cs="Arial"/>
              </w:rPr>
            </w:pPr>
            <w:r w:rsidRPr="003F3D10">
              <w:rPr>
                <w:rFonts w:ascii="Arial" w:eastAsia="Times New Roman" w:hAnsi="Arial" w:cs="Arial"/>
              </w:rPr>
              <w:t>SEPA (contaminated land)</w:t>
            </w:r>
          </w:p>
        </w:tc>
        <w:tc>
          <w:tcPr>
            <w:tcW w:w="2268" w:type="dxa"/>
          </w:tcPr>
          <w:p w14:paraId="26C9E84B" w14:textId="4AF6B161" w:rsidR="0018573B" w:rsidRPr="003F3D10" w:rsidRDefault="0018573B" w:rsidP="003F3D10">
            <w:pPr>
              <w:spacing w:after="240"/>
              <w:rPr>
                <w:rFonts w:ascii="Arial" w:eastAsia="Times New Roman" w:hAnsi="Arial" w:cs="Arial"/>
              </w:rPr>
            </w:pPr>
            <w:r w:rsidRPr="003F3D10">
              <w:rPr>
                <w:rFonts w:ascii="Arial" w:eastAsia="Times New Roman" w:hAnsi="Arial" w:cs="Arial"/>
              </w:rPr>
              <w:t>Advisory</w:t>
            </w:r>
          </w:p>
        </w:tc>
        <w:tc>
          <w:tcPr>
            <w:tcW w:w="2127" w:type="dxa"/>
          </w:tcPr>
          <w:p w14:paraId="2AE15E30" w14:textId="49B547EC" w:rsidR="0018573B" w:rsidRPr="003F3D10" w:rsidRDefault="0018573B" w:rsidP="003F3D10">
            <w:pPr>
              <w:spacing w:after="240"/>
              <w:rPr>
                <w:rFonts w:ascii="Arial" w:eastAsia="Times New Roman" w:hAnsi="Arial" w:cs="Arial"/>
              </w:rPr>
            </w:pPr>
            <w:r w:rsidRPr="003F3D10">
              <w:rPr>
                <w:rFonts w:ascii="Arial" w:eastAsia="Times New Roman" w:hAnsi="Arial" w:cs="Arial"/>
              </w:rPr>
              <w:t>Advisory</w:t>
            </w:r>
          </w:p>
        </w:tc>
        <w:tc>
          <w:tcPr>
            <w:tcW w:w="2420" w:type="dxa"/>
          </w:tcPr>
          <w:p w14:paraId="22E72238" w14:textId="5DEE11A3" w:rsidR="0018573B" w:rsidRPr="003F3D10" w:rsidRDefault="0018573B" w:rsidP="003F3D10">
            <w:pPr>
              <w:spacing w:after="240"/>
              <w:rPr>
                <w:rFonts w:ascii="Arial" w:eastAsia="Times New Roman" w:hAnsi="Arial" w:cs="Arial"/>
              </w:rPr>
            </w:pPr>
            <w:r w:rsidRPr="003F3D10">
              <w:rPr>
                <w:rFonts w:ascii="Arial" w:eastAsia="Times New Roman" w:hAnsi="Arial" w:cs="Arial"/>
              </w:rPr>
              <w:t>Lead regulator</w:t>
            </w:r>
          </w:p>
        </w:tc>
      </w:tr>
      <w:tr w:rsidR="0018573B" w:rsidRPr="003F3D10" w14:paraId="6551F2E5" w14:textId="77777777" w:rsidTr="0018573B">
        <w:tc>
          <w:tcPr>
            <w:tcW w:w="3397" w:type="dxa"/>
          </w:tcPr>
          <w:p w14:paraId="7E6B8498" w14:textId="418B0F34" w:rsidR="0018573B" w:rsidRPr="003F3D10" w:rsidRDefault="0018573B" w:rsidP="003F3D10">
            <w:pPr>
              <w:spacing w:after="240"/>
              <w:rPr>
                <w:rFonts w:ascii="Arial" w:eastAsia="Times New Roman" w:hAnsi="Arial" w:cs="Arial"/>
              </w:rPr>
            </w:pPr>
            <w:r w:rsidRPr="003F3D10">
              <w:rPr>
                <w:rFonts w:ascii="Arial" w:eastAsia="Times New Roman" w:hAnsi="Arial" w:cs="Arial"/>
              </w:rPr>
              <w:t>SEPA (waste)</w:t>
            </w:r>
          </w:p>
        </w:tc>
        <w:tc>
          <w:tcPr>
            <w:tcW w:w="2268" w:type="dxa"/>
          </w:tcPr>
          <w:p w14:paraId="7DCAB13A" w14:textId="5293773F" w:rsidR="0018573B" w:rsidRPr="003F3D10" w:rsidRDefault="0018573B" w:rsidP="003F3D10">
            <w:pPr>
              <w:spacing w:after="240"/>
              <w:rPr>
                <w:rFonts w:ascii="Arial" w:eastAsia="Times New Roman" w:hAnsi="Arial" w:cs="Arial"/>
              </w:rPr>
            </w:pPr>
            <w:r w:rsidRPr="003F3D10">
              <w:rPr>
                <w:rFonts w:ascii="Arial" w:eastAsia="Times New Roman" w:hAnsi="Arial" w:cs="Arial"/>
              </w:rPr>
              <w:t>Lead regulator</w:t>
            </w:r>
          </w:p>
        </w:tc>
        <w:tc>
          <w:tcPr>
            <w:tcW w:w="2127" w:type="dxa"/>
          </w:tcPr>
          <w:p w14:paraId="63FE0191" w14:textId="7E528AF8" w:rsidR="0018573B" w:rsidRPr="003F3D10" w:rsidRDefault="0018573B" w:rsidP="003F3D10">
            <w:pPr>
              <w:spacing w:after="240"/>
              <w:rPr>
                <w:rFonts w:ascii="Arial" w:eastAsia="Times New Roman" w:hAnsi="Arial" w:cs="Arial"/>
              </w:rPr>
            </w:pPr>
            <w:r w:rsidRPr="003F3D10">
              <w:rPr>
                <w:rFonts w:ascii="Arial" w:eastAsia="Times New Roman" w:hAnsi="Arial" w:cs="Arial"/>
              </w:rPr>
              <w:t>Lead regulator</w:t>
            </w:r>
          </w:p>
        </w:tc>
        <w:tc>
          <w:tcPr>
            <w:tcW w:w="2420" w:type="dxa"/>
          </w:tcPr>
          <w:p w14:paraId="228F0F7D" w14:textId="1297E81A" w:rsidR="0018573B" w:rsidRPr="003F3D10" w:rsidRDefault="0018573B" w:rsidP="003F3D10">
            <w:pPr>
              <w:spacing w:after="240"/>
              <w:rPr>
                <w:rFonts w:ascii="Arial" w:eastAsia="Times New Roman" w:hAnsi="Arial" w:cs="Arial"/>
              </w:rPr>
            </w:pPr>
            <w:r w:rsidRPr="003F3D10">
              <w:rPr>
                <w:rFonts w:ascii="Arial" w:eastAsia="Times New Roman" w:hAnsi="Arial" w:cs="Arial"/>
              </w:rPr>
              <w:t>Lead regulator</w:t>
            </w:r>
          </w:p>
        </w:tc>
      </w:tr>
      <w:tr w:rsidR="0018573B" w:rsidRPr="003F3D10" w14:paraId="2F17C373" w14:textId="77777777" w:rsidTr="0018573B">
        <w:tc>
          <w:tcPr>
            <w:tcW w:w="3397" w:type="dxa"/>
          </w:tcPr>
          <w:p w14:paraId="2D1C7D6C" w14:textId="68F4F317" w:rsidR="0018573B" w:rsidRPr="003F3D10" w:rsidRDefault="0018573B" w:rsidP="003F3D10">
            <w:pPr>
              <w:spacing w:after="240"/>
              <w:rPr>
                <w:rFonts w:ascii="Arial" w:eastAsia="Times New Roman" w:hAnsi="Arial" w:cs="Arial"/>
                <w:b/>
                <w:bCs/>
              </w:rPr>
            </w:pPr>
            <w:r w:rsidRPr="003F3D10">
              <w:rPr>
                <w:rFonts w:ascii="Arial" w:eastAsia="Times New Roman" w:hAnsi="Arial" w:cs="Arial"/>
                <w:b/>
                <w:bCs/>
              </w:rPr>
              <w:t>Task</w:t>
            </w:r>
          </w:p>
        </w:tc>
        <w:tc>
          <w:tcPr>
            <w:tcW w:w="2268" w:type="dxa"/>
          </w:tcPr>
          <w:p w14:paraId="39047419" w14:textId="77777777" w:rsidR="0018573B" w:rsidRPr="003F3D10" w:rsidRDefault="0018573B" w:rsidP="003F3D10">
            <w:pPr>
              <w:spacing w:after="240"/>
              <w:rPr>
                <w:rFonts w:ascii="Arial" w:eastAsia="Times New Roman" w:hAnsi="Arial" w:cs="Arial"/>
              </w:rPr>
            </w:pPr>
          </w:p>
        </w:tc>
        <w:tc>
          <w:tcPr>
            <w:tcW w:w="2127" w:type="dxa"/>
          </w:tcPr>
          <w:p w14:paraId="7AE6B114" w14:textId="77777777" w:rsidR="0018573B" w:rsidRPr="003F3D10" w:rsidRDefault="0018573B" w:rsidP="003F3D10">
            <w:pPr>
              <w:spacing w:after="240"/>
              <w:rPr>
                <w:rFonts w:ascii="Arial" w:eastAsia="Times New Roman" w:hAnsi="Arial" w:cs="Arial"/>
              </w:rPr>
            </w:pPr>
          </w:p>
        </w:tc>
        <w:tc>
          <w:tcPr>
            <w:tcW w:w="2420" w:type="dxa"/>
          </w:tcPr>
          <w:p w14:paraId="7F244FD6" w14:textId="77777777" w:rsidR="0018573B" w:rsidRPr="003F3D10" w:rsidRDefault="0018573B" w:rsidP="003F3D10">
            <w:pPr>
              <w:spacing w:after="240"/>
              <w:rPr>
                <w:rFonts w:ascii="Arial" w:eastAsia="Times New Roman" w:hAnsi="Arial" w:cs="Arial"/>
              </w:rPr>
            </w:pPr>
          </w:p>
        </w:tc>
      </w:tr>
      <w:tr w:rsidR="0018573B" w:rsidRPr="003F3D10" w14:paraId="358E60F3" w14:textId="77777777" w:rsidTr="0018573B">
        <w:tc>
          <w:tcPr>
            <w:tcW w:w="3397" w:type="dxa"/>
          </w:tcPr>
          <w:p w14:paraId="22C01B22" w14:textId="56EDF8E2" w:rsidR="0018573B" w:rsidRPr="003F3D10" w:rsidRDefault="0018573B" w:rsidP="003F3D10">
            <w:pPr>
              <w:spacing w:after="240"/>
              <w:rPr>
                <w:rFonts w:ascii="Arial" w:eastAsia="Times New Roman" w:hAnsi="Arial" w:cs="Arial"/>
              </w:rPr>
            </w:pPr>
            <w:r w:rsidRPr="003F3D10">
              <w:rPr>
                <w:rFonts w:ascii="Arial" w:eastAsia="Times New Roman" w:hAnsi="Arial" w:cs="Arial"/>
              </w:rPr>
              <w:t>Agreeing remediation criteria</w:t>
            </w:r>
          </w:p>
        </w:tc>
        <w:tc>
          <w:tcPr>
            <w:tcW w:w="2268" w:type="dxa"/>
          </w:tcPr>
          <w:p w14:paraId="3EDDA073" w14:textId="49D44E3B" w:rsidR="0018573B" w:rsidRPr="003F3D10" w:rsidRDefault="0018573B" w:rsidP="003F3D10">
            <w:pPr>
              <w:spacing w:after="240"/>
              <w:rPr>
                <w:rFonts w:ascii="Arial" w:eastAsia="Times New Roman" w:hAnsi="Arial" w:cs="Arial"/>
              </w:rPr>
            </w:pPr>
            <w:r w:rsidRPr="003F3D10">
              <w:rPr>
                <w:rFonts w:ascii="Arial" w:eastAsia="Times New Roman" w:hAnsi="Arial" w:cs="Arial"/>
              </w:rPr>
              <w:t>Local Authority</w:t>
            </w:r>
          </w:p>
        </w:tc>
        <w:tc>
          <w:tcPr>
            <w:tcW w:w="2127" w:type="dxa"/>
          </w:tcPr>
          <w:p w14:paraId="57611EFD" w14:textId="157882A6" w:rsidR="0018573B" w:rsidRPr="003F3D10" w:rsidRDefault="0018573B" w:rsidP="003F3D10">
            <w:pPr>
              <w:spacing w:after="240"/>
              <w:rPr>
                <w:rFonts w:ascii="Arial" w:eastAsia="Times New Roman" w:hAnsi="Arial" w:cs="Arial"/>
              </w:rPr>
            </w:pPr>
            <w:r w:rsidRPr="003F3D10">
              <w:rPr>
                <w:rFonts w:ascii="Arial" w:eastAsia="Times New Roman" w:hAnsi="Arial" w:cs="Arial"/>
              </w:rPr>
              <w:t>Local Authority</w:t>
            </w:r>
          </w:p>
        </w:tc>
        <w:tc>
          <w:tcPr>
            <w:tcW w:w="2420" w:type="dxa"/>
          </w:tcPr>
          <w:p w14:paraId="43EEA720" w14:textId="05072D23" w:rsidR="0018573B" w:rsidRPr="003F3D10" w:rsidRDefault="0018573B" w:rsidP="003F3D10">
            <w:pPr>
              <w:spacing w:after="240"/>
              <w:rPr>
                <w:rFonts w:ascii="Arial" w:eastAsia="Times New Roman" w:hAnsi="Arial" w:cs="Arial"/>
              </w:rPr>
            </w:pPr>
            <w:r w:rsidRPr="003F3D10">
              <w:rPr>
                <w:rFonts w:ascii="Arial" w:eastAsia="Times New Roman" w:hAnsi="Arial" w:cs="Arial"/>
              </w:rPr>
              <w:t>SEPA</w:t>
            </w:r>
          </w:p>
        </w:tc>
      </w:tr>
      <w:tr w:rsidR="0018573B" w:rsidRPr="003F3D10" w14:paraId="6EE3B018" w14:textId="77777777" w:rsidTr="0018573B">
        <w:tc>
          <w:tcPr>
            <w:tcW w:w="3397" w:type="dxa"/>
          </w:tcPr>
          <w:p w14:paraId="4FB69E84" w14:textId="13342F5E" w:rsidR="0018573B" w:rsidRPr="003F3D10" w:rsidRDefault="0018573B" w:rsidP="003F3D10">
            <w:pPr>
              <w:spacing w:after="240"/>
              <w:rPr>
                <w:rFonts w:ascii="Arial" w:eastAsia="Times New Roman" w:hAnsi="Arial" w:cs="Arial"/>
              </w:rPr>
            </w:pPr>
            <w:r w:rsidRPr="003F3D10">
              <w:rPr>
                <w:rFonts w:ascii="Arial" w:eastAsia="Times New Roman" w:hAnsi="Arial" w:cs="Arial"/>
              </w:rPr>
              <w:t>Authorising waste treatment</w:t>
            </w:r>
          </w:p>
        </w:tc>
        <w:tc>
          <w:tcPr>
            <w:tcW w:w="2268" w:type="dxa"/>
          </w:tcPr>
          <w:p w14:paraId="2BEC1B93" w14:textId="49432946" w:rsidR="0018573B" w:rsidRPr="003F3D10" w:rsidRDefault="0018573B" w:rsidP="003F3D10">
            <w:pPr>
              <w:spacing w:after="240"/>
              <w:rPr>
                <w:rFonts w:ascii="Arial" w:eastAsia="Times New Roman" w:hAnsi="Arial" w:cs="Arial"/>
              </w:rPr>
            </w:pPr>
            <w:r w:rsidRPr="003F3D10">
              <w:rPr>
                <w:rFonts w:ascii="Arial" w:eastAsia="Times New Roman" w:hAnsi="Arial" w:cs="Arial"/>
              </w:rPr>
              <w:t>SEPA</w:t>
            </w:r>
          </w:p>
        </w:tc>
        <w:tc>
          <w:tcPr>
            <w:tcW w:w="2127" w:type="dxa"/>
          </w:tcPr>
          <w:p w14:paraId="1BEAA647" w14:textId="116E8E85" w:rsidR="0018573B" w:rsidRPr="003F3D10" w:rsidRDefault="0018573B" w:rsidP="003F3D10">
            <w:pPr>
              <w:spacing w:after="240"/>
              <w:rPr>
                <w:rFonts w:ascii="Arial" w:eastAsia="Times New Roman" w:hAnsi="Arial" w:cs="Arial"/>
              </w:rPr>
            </w:pPr>
            <w:r w:rsidRPr="003F3D10">
              <w:rPr>
                <w:rFonts w:ascii="Arial" w:eastAsia="Times New Roman" w:hAnsi="Arial" w:cs="Arial"/>
              </w:rPr>
              <w:t>SEPA</w:t>
            </w:r>
          </w:p>
        </w:tc>
        <w:tc>
          <w:tcPr>
            <w:tcW w:w="2420" w:type="dxa"/>
          </w:tcPr>
          <w:p w14:paraId="13F9BD66" w14:textId="70614EFC" w:rsidR="0018573B" w:rsidRPr="003F3D10" w:rsidRDefault="0018573B" w:rsidP="003F3D10">
            <w:pPr>
              <w:spacing w:after="240"/>
              <w:rPr>
                <w:rFonts w:ascii="Arial" w:eastAsia="Times New Roman" w:hAnsi="Arial" w:cs="Arial"/>
              </w:rPr>
            </w:pPr>
            <w:r w:rsidRPr="003F3D10">
              <w:rPr>
                <w:rFonts w:ascii="Arial" w:eastAsia="Times New Roman" w:hAnsi="Arial" w:cs="Arial"/>
              </w:rPr>
              <w:t>SEPA</w:t>
            </w:r>
          </w:p>
        </w:tc>
      </w:tr>
      <w:tr w:rsidR="0018573B" w:rsidRPr="003F3D10" w14:paraId="2C8A7EF8" w14:textId="77777777" w:rsidTr="0018573B">
        <w:tc>
          <w:tcPr>
            <w:tcW w:w="3397" w:type="dxa"/>
          </w:tcPr>
          <w:p w14:paraId="2DE45ECB" w14:textId="758F36BB" w:rsidR="0018573B" w:rsidRPr="003F3D10" w:rsidRDefault="0018573B" w:rsidP="003F3D10">
            <w:pPr>
              <w:spacing w:after="240"/>
              <w:rPr>
                <w:rFonts w:ascii="Arial" w:eastAsia="Times New Roman" w:hAnsi="Arial" w:cs="Arial"/>
              </w:rPr>
            </w:pPr>
            <w:r w:rsidRPr="003F3D10">
              <w:rPr>
                <w:rFonts w:ascii="Arial" w:eastAsia="Times New Roman" w:hAnsi="Arial" w:cs="Arial"/>
              </w:rPr>
              <w:t>Authorising use of waste</w:t>
            </w:r>
          </w:p>
        </w:tc>
        <w:tc>
          <w:tcPr>
            <w:tcW w:w="2268" w:type="dxa"/>
          </w:tcPr>
          <w:p w14:paraId="2D155183" w14:textId="37C977D1" w:rsidR="0018573B" w:rsidRPr="003F3D10" w:rsidRDefault="0018573B" w:rsidP="003F3D10">
            <w:pPr>
              <w:spacing w:after="240"/>
              <w:rPr>
                <w:rFonts w:ascii="Arial" w:eastAsia="Times New Roman" w:hAnsi="Arial" w:cs="Arial"/>
              </w:rPr>
            </w:pPr>
            <w:r w:rsidRPr="003F3D10">
              <w:rPr>
                <w:rFonts w:ascii="Arial" w:eastAsia="Times New Roman" w:hAnsi="Arial" w:cs="Arial"/>
              </w:rPr>
              <w:t>SEPA</w:t>
            </w:r>
          </w:p>
        </w:tc>
        <w:tc>
          <w:tcPr>
            <w:tcW w:w="2127" w:type="dxa"/>
          </w:tcPr>
          <w:p w14:paraId="25E4D82C" w14:textId="5172616D" w:rsidR="0018573B" w:rsidRPr="003F3D10" w:rsidRDefault="0018573B" w:rsidP="003F3D10">
            <w:pPr>
              <w:spacing w:after="240"/>
              <w:rPr>
                <w:rFonts w:ascii="Arial" w:eastAsia="Times New Roman" w:hAnsi="Arial" w:cs="Arial"/>
              </w:rPr>
            </w:pPr>
            <w:r w:rsidRPr="003F3D10">
              <w:rPr>
                <w:rFonts w:ascii="Arial" w:eastAsia="Times New Roman" w:hAnsi="Arial" w:cs="Arial"/>
              </w:rPr>
              <w:t>SEPA</w:t>
            </w:r>
          </w:p>
        </w:tc>
        <w:tc>
          <w:tcPr>
            <w:tcW w:w="2420" w:type="dxa"/>
          </w:tcPr>
          <w:p w14:paraId="5745D1B2" w14:textId="4CE3832C" w:rsidR="0018573B" w:rsidRPr="003F3D10" w:rsidRDefault="0018573B" w:rsidP="003F3D10">
            <w:pPr>
              <w:spacing w:after="240"/>
              <w:rPr>
                <w:rFonts w:ascii="Arial" w:eastAsia="Times New Roman" w:hAnsi="Arial" w:cs="Arial"/>
              </w:rPr>
            </w:pPr>
            <w:r w:rsidRPr="003F3D10">
              <w:rPr>
                <w:rFonts w:ascii="Arial" w:eastAsia="Times New Roman" w:hAnsi="Arial" w:cs="Arial"/>
              </w:rPr>
              <w:t>SEPA</w:t>
            </w:r>
          </w:p>
        </w:tc>
      </w:tr>
    </w:tbl>
    <w:p w14:paraId="40907671" w14:textId="6747A738" w:rsidR="00FE388D" w:rsidRPr="003F3D10" w:rsidRDefault="00FE388D" w:rsidP="003F3D10">
      <w:pPr>
        <w:pStyle w:val="Heading2"/>
      </w:pPr>
      <w:bookmarkStart w:id="2" w:name="_Toc191996568"/>
      <w:r w:rsidRPr="003F3D10">
        <w:lastRenderedPageBreak/>
        <w:t>On-site use of excavated material without treatment</w:t>
      </w:r>
      <w:bookmarkEnd w:id="2"/>
      <w:r w:rsidRPr="003F3D10">
        <w:t xml:space="preserve"> </w:t>
      </w:r>
    </w:p>
    <w:p w14:paraId="411F3994" w14:textId="3B912453" w:rsidR="000F6D54" w:rsidRDefault="000F6D54" w:rsidP="003F3D10">
      <w:pPr>
        <w:spacing w:after="240"/>
        <w:rPr>
          <w:rFonts w:ascii="Arial" w:eastAsia="Times New Roman" w:hAnsi="Arial" w:cs="Arial"/>
        </w:rPr>
      </w:pPr>
      <w:r w:rsidRPr="003F3D10">
        <w:rPr>
          <w:rFonts w:ascii="Arial" w:eastAsia="Times New Roman" w:hAnsi="Arial" w:cs="Arial"/>
        </w:rPr>
        <w:t xml:space="preserve">The on-site use of uncontaminated soil and other naturally occurring materials is specifically excluded from the </w:t>
      </w:r>
      <w:r w:rsidR="001B52C0" w:rsidRPr="003F3D10">
        <w:rPr>
          <w:rFonts w:ascii="Arial" w:eastAsia="Times New Roman" w:hAnsi="Arial" w:cs="Arial"/>
        </w:rPr>
        <w:t xml:space="preserve">legal </w:t>
      </w:r>
      <w:r w:rsidRPr="003F3D10">
        <w:rPr>
          <w:rFonts w:ascii="Arial" w:eastAsia="Times New Roman" w:hAnsi="Arial" w:cs="Arial"/>
        </w:rPr>
        <w:t xml:space="preserve">definition of waste. </w:t>
      </w:r>
    </w:p>
    <w:p w14:paraId="7992290F" w14:textId="35BC8A76" w:rsidR="008E4616" w:rsidRPr="003F3D10" w:rsidRDefault="008E4616" w:rsidP="003F3D10">
      <w:pPr>
        <w:spacing w:after="240"/>
        <w:rPr>
          <w:rFonts w:ascii="Arial" w:eastAsia="Times New Roman" w:hAnsi="Arial" w:cs="Arial"/>
        </w:rPr>
      </w:pPr>
      <w:r w:rsidRPr="008E4616">
        <w:rPr>
          <w:rFonts w:ascii="Arial" w:eastAsia="Times New Roman" w:hAnsi="Arial" w:cs="Arial"/>
        </w:rPr>
        <w:t>Exclusion from the definition of waste - “Uncontaminated soil and other naturally occurring material excavated in the course of construction activities where it is certain that the material will be used for the purposes of construction in its natural state on the site from which it was excavated.”</w:t>
      </w:r>
    </w:p>
    <w:p w14:paraId="7603FD37" w14:textId="12C85271" w:rsidR="00410FF8" w:rsidRPr="003F3D10" w:rsidRDefault="00AF71A9" w:rsidP="003F3D10">
      <w:pPr>
        <w:spacing w:after="240"/>
        <w:rPr>
          <w:rFonts w:ascii="Arial" w:eastAsia="Times New Roman" w:hAnsi="Arial" w:cs="Arial"/>
        </w:rPr>
      </w:pPr>
      <w:r w:rsidRPr="003F3D10">
        <w:rPr>
          <w:rFonts w:ascii="Arial" w:eastAsia="Times New Roman" w:hAnsi="Arial" w:cs="Arial"/>
        </w:rPr>
        <w:t>A ‘site’ in this context may include</w:t>
      </w:r>
      <w:r w:rsidR="00797A93">
        <w:rPr>
          <w:rFonts w:ascii="Arial" w:eastAsia="Times New Roman" w:hAnsi="Arial" w:cs="Arial"/>
        </w:rPr>
        <w:t>:</w:t>
      </w:r>
      <w:r w:rsidRPr="003F3D10">
        <w:rPr>
          <w:rFonts w:ascii="Arial" w:eastAsia="Times New Roman" w:hAnsi="Arial" w:cs="Arial"/>
        </w:rPr>
        <w:t xml:space="preserve"> </w:t>
      </w:r>
    </w:p>
    <w:p w14:paraId="6CA8DD0B" w14:textId="19C7A470" w:rsidR="00AF71A9" w:rsidRPr="004B05B5" w:rsidRDefault="00AF71A9" w:rsidP="003F3D10">
      <w:pPr>
        <w:pStyle w:val="ListParagraph"/>
        <w:numPr>
          <w:ilvl w:val="0"/>
          <w:numId w:val="26"/>
        </w:numPr>
        <w:spacing w:after="240"/>
        <w:contextualSpacing w:val="0"/>
        <w:rPr>
          <w:rFonts w:ascii="Arial" w:eastAsia="Times New Roman" w:hAnsi="Arial" w:cs="Arial"/>
        </w:rPr>
      </w:pPr>
      <w:r w:rsidRPr="004B05B5">
        <w:rPr>
          <w:rFonts w:ascii="Arial" w:hAnsi="Arial" w:cs="Arial"/>
        </w:rPr>
        <w:t>The area covered by a specif</w:t>
      </w:r>
      <w:r w:rsidR="006A7D28" w:rsidRPr="004B05B5">
        <w:rPr>
          <w:rFonts w:ascii="Arial" w:hAnsi="Arial" w:cs="Arial"/>
        </w:rPr>
        <w:t>ic</w:t>
      </w:r>
      <w:r w:rsidRPr="004B05B5">
        <w:rPr>
          <w:rFonts w:ascii="Arial" w:hAnsi="Arial" w:cs="Arial"/>
        </w:rPr>
        <w:t xml:space="preserve"> planning permission</w:t>
      </w:r>
      <w:r w:rsidR="00291BA7" w:rsidRPr="004B05B5">
        <w:rPr>
          <w:rFonts w:ascii="Arial" w:hAnsi="Arial" w:cs="Arial"/>
        </w:rPr>
        <w:t xml:space="preserve"> or permitted development</w:t>
      </w:r>
      <w:r w:rsidR="00DA63B0">
        <w:rPr>
          <w:rFonts w:ascii="Arial" w:hAnsi="Arial" w:cs="Arial"/>
        </w:rPr>
        <w:t>.</w:t>
      </w:r>
      <w:r w:rsidR="00291BA7" w:rsidRPr="004B05B5">
        <w:rPr>
          <w:rFonts w:ascii="Arial" w:hAnsi="Arial" w:cs="Arial"/>
        </w:rPr>
        <w:t xml:space="preserve"> </w:t>
      </w:r>
    </w:p>
    <w:p w14:paraId="6518EF3C" w14:textId="1AFC2419" w:rsidR="00AF71A9" w:rsidRPr="003F3D10" w:rsidRDefault="00AF71A9" w:rsidP="003F3D10">
      <w:pPr>
        <w:pStyle w:val="ListParagraph"/>
        <w:numPr>
          <w:ilvl w:val="0"/>
          <w:numId w:val="26"/>
        </w:numPr>
        <w:spacing w:after="240"/>
        <w:contextualSpacing w:val="0"/>
        <w:rPr>
          <w:rFonts w:ascii="Arial" w:eastAsia="Times New Roman" w:hAnsi="Arial" w:cs="Arial"/>
        </w:rPr>
      </w:pPr>
      <w:r w:rsidRPr="003F3D10">
        <w:rPr>
          <w:rFonts w:ascii="Arial" w:hAnsi="Arial" w:cs="Arial"/>
        </w:rPr>
        <w:t xml:space="preserve">The area covered by a single </w:t>
      </w:r>
      <w:r w:rsidR="006A7D28" w:rsidRPr="003F3D10">
        <w:rPr>
          <w:rFonts w:ascii="Arial" w:hAnsi="Arial" w:cs="Arial"/>
        </w:rPr>
        <w:t>r</w:t>
      </w:r>
      <w:r w:rsidRPr="003F3D10">
        <w:rPr>
          <w:rFonts w:ascii="Arial" w:hAnsi="Arial" w:cs="Arial"/>
        </w:rPr>
        <w:t xml:space="preserve">emediation </w:t>
      </w:r>
      <w:r w:rsidR="006A7D28" w:rsidRPr="003F3D10">
        <w:rPr>
          <w:rFonts w:ascii="Arial" w:hAnsi="Arial" w:cs="Arial"/>
        </w:rPr>
        <w:t>s</w:t>
      </w:r>
      <w:r w:rsidRPr="003F3D10">
        <w:rPr>
          <w:rFonts w:ascii="Arial" w:hAnsi="Arial" w:cs="Arial"/>
        </w:rPr>
        <w:t>trategy</w:t>
      </w:r>
      <w:r w:rsidR="00DA63B0">
        <w:rPr>
          <w:rFonts w:ascii="Arial" w:hAnsi="Arial" w:cs="Arial"/>
        </w:rPr>
        <w:t>.</w:t>
      </w:r>
    </w:p>
    <w:p w14:paraId="760CB1DA" w14:textId="56018A87" w:rsidR="00410FF8" w:rsidRPr="003F3D10" w:rsidRDefault="00AF71A9" w:rsidP="003F3D10">
      <w:pPr>
        <w:pStyle w:val="ListParagraph"/>
        <w:numPr>
          <w:ilvl w:val="0"/>
          <w:numId w:val="26"/>
        </w:numPr>
        <w:spacing w:after="240"/>
        <w:contextualSpacing w:val="0"/>
        <w:rPr>
          <w:rFonts w:ascii="Arial" w:eastAsia="Times New Roman" w:hAnsi="Arial" w:cs="Arial"/>
        </w:rPr>
      </w:pPr>
      <w:r w:rsidRPr="003F3D10">
        <w:rPr>
          <w:rFonts w:ascii="Arial" w:hAnsi="Arial" w:cs="Arial"/>
        </w:rPr>
        <w:t xml:space="preserve">The area covered by a single </w:t>
      </w:r>
      <w:r w:rsidR="006A7D28" w:rsidRPr="003F3D10">
        <w:rPr>
          <w:rFonts w:ascii="Arial" w:hAnsi="Arial" w:cs="Arial"/>
        </w:rPr>
        <w:t>d</w:t>
      </w:r>
      <w:r w:rsidRPr="003F3D10">
        <w:rPr>
          <w:rFonts w:ascii="Arial" w:hAnsi="Arial" w:cs="Arial"/>
        </w:rPr>
        <w:t xml:space="preserve">esign </w:t>
      </w:r>
      <w:r w:rsidR="006A7D28" w:rsidRPr="003F3D10">
        <w:rPr>
          <w:rFonts w:ascii="Arial" w:hAnsi="Arial" w:cs="Arial"/>
        </w:rPr>
        <w:t>s</w:t>
      </w:r>
      <w:r w:rsidRPr="003F3D10">
        <w:rPr>
          <w:rFonts w:ascii="Arial" w:hAnsi="Arial" w:cs="Arial"/>
        </w:rPr>
        <w:t>tatement, e.g. pipeline route or road</w:t>
      </w:r>
      <w:r w:rsidR="00DA63B0">
        <w:rPr>
          <w:rFonts w:ascii="Arial" w:hAnsi="Arial" w:cs="Arial"/>
        </w:rPr>
        <w:t>.</w:t>
      </w:r>
    </w:p>
    <w:p w14:paraId="126520D6" w14:textId="30A01C3A" w:rsidR="00FE388D" w:rsidRPr="003F3D10" w:rsidRDefault="00355997" w:rsidP="003F3D10">
      <w:pPr>
        <w:spacing w:after="240"/>
        <w:rPr>
          <w:rFonts w:ascii="Arial" w:eastAsia="Times New Roman" w:hAnsi="Arial" w:cs="Arial"/>
        </w:rPr>
      </w:pPr>
      <w:r w:rsidRPr="003F3D10">
        <w:rPr>
          <w:rFonts w:ascii="Arial" w:eastAsia="Times New Roman" w:hAnsi="Arial" w:cs="Arial"/>
        </w:rPr>
        <w:t>In many cases,</w:t>
      </w:r>
      <w:r w:rsidR="00FE388D" w:rsidRPr="003F3D10">
        <w:rPr>
          <w:rFonts w:ascii="Arial" w:eastAsia="Times New Roman" w:hAnsi="Arial" w:cs="Arial"/>
        </w:rPr>
        <w:t xml:space="preserve"> materials containing contaminants</w:t>
      </w:r>
      <w:r w:rsidR="008D70C4" w:rsidRPr="003F3D10">
        <w:rPr>
          <w:rFonts w:ascii="Arial" w:eastAsia="Times New Roman" w:hAnsi="Arial" w:cs="Arial"/>
        </w:rPr>
        <w:t xml:space="preserve"> </w:t>
      </w:r>
      <w:r w:rsidR="004F049A" w:rsidRPr="003F3D10">
        <w:rPr>
          <w:rFonts w:ascii="Arial" w:eastAsia="Times New Roman" w:hAnsi="Arial" w:cs="Arial"/>
        </w:rPr>
        <w:t>may</w:t>
      </w:r>
      <w:r w:rsidRPr="003F3D10">
        <w:rPr>
          <w:rFonts w:ascii="Arial" w:eastAsia="Times New Roman" w:hAnsi="Arial" w:cs="Arial"/>
        </w:rPr>
        <w:t xml:space="preserve"> also</w:t>
      </w:r>
      <w:r w:rsidR="00FE388D" w:rsidRPr="003F3D10">
        <w:rPr>
          <w:rFonts w:ascii="Arial" w:eastAsia="Times New Roman" w:hAnsi="Arial" w:cs="Arial"/>
        </w:rPr>
        <w:t xml:space="preserve"> be</w:t>
      </w:r>
      <w:r w:rsidR="000F6D54" w:rsidRPr="003F3D10">
        <w:rPr>
          <w:rFonts w:ascii="Arial" w:eastAsia="Times New Roman" w:hAnsi="Arial" w:cs="Arial"/>
        </w:rPr>
        <w:t xml:space="preserve"> suitable for</w:t>
      </w:r>
      <w:r w:rsidR="00FE388D" w:rsidRPr="003F3D10">
        <w:rPr>
          <w:rFonts w:ascii="Arial" w:eastAsia="Times New Roman" w:hAnsi="Arial" w:cs="Arial"/>
        </w:rPr>
        <w:t xml:space="preserve"> </w:t>
      </w:r>
      <w:r w:rsidR="00E36DEA" w:rsidRPr="003F3D10">
        <w:rPr>
          <w:rFonts w:ascii="Arial" w:eastAsia="Times New Roman" w:hAnsi="Arial" w:cs="Arial"/>
        </w:rPr>
        <w:t xml:space="preserve">on-site </w:t>
      </w:r>
      <w:r w:rsidR="00FE388D" w:rsidRPr="003F3D10">
        <w:rPr>
          <w:rFonts w:ascii="Arial" w:eastAsia="Times New Roman" w:hAnsi="Arial" w:cs="Arial"/>
        </w:rPr>
        <w:t>use</w:t>
      </w:r>
      <w:r w:rsidR="005A3378" w:rsidRPr="003F3D10">
        <w:rPr>
          <w:rFonts w:ascii="Arial" w:eastAsia="Times New Roman" w:hAnsi="Arial" w:cs="Arial"/>
        </w:rPr>
        <w:t xml:space="preserve"> without treatment</w:t>
      </w:r>
      <w:r w:rsidR="00FE388D" w:rsidRPr="003F3D10">
        <w:rPr>
          <w:rFonts w:ascii="Arial" w:eastAsia="Times New Roman" w:hAnsi="Arial" w:cs="Arial"/>
        </w:rPr>
        <w:t xml:space="preserve"> </w:t>
      </w:r>
      <w:r w:rsidRPr="003F3D10">
        <w:rPr>
          <w:rFonts w:ascii="Arial" w:eastAsia="Times New Roman" w:hAnsi="Arial" w:cs="Arial"/>
        </w:rPr>
        <w:t>within a project</w:t>
      </w:r>
      <w:r w:rsidR="00FE388D" w:rsidRPr="003F3D10">
        <w:rPr>
          <w:rFonts w:ascii="Arial" w:eastAsia="Times New Roman" w:hAnsi="Arial" w:cs="Arial"/>
        </w:rPr>
        <w:t>. This will depend on</w:t>
      </w:r>
      <w:r w:rsidR="00797A93">
        <w:rPr>
          <w:rFonts w:ascii="Arial" w:eastAsia="Times New Roman" w:hAnsi="Arial" w:cs="Arial"/>
        </w:rPr>
        <w:t>:</w:t>
      </w:r>
    </w:p>
    <w:p w14:paraId="0EF847DF" w14:textId="142C46C5" w:rsidR="00FE388D" w:rsidRPr="003F3D10" w:rsidRDefault="00355997" w:rsidP="003F3D10">
      <w:pPr>
        <w:pStyle w:val="ListParagraph"/>
        <w:numPr>
          <w:ilvl w:val="0"/>
          <w:numId w:val="15"/>
        </w:numPr>
        <w:spacing w:after="240"/>
        <w:contextualSpacing w:val="0"/>
        <w:rPr>
          <w:rFonts w:ascii="Arial" w:eastAsia="Times New Roman" w:hAnsi="Arial" w:cs="Arial"/>
          <w:color w:val="016574" w:themeColor="accent2"/>
        </w:rPr>
      </w:pPr>
      <w:r w:rsidRPr="003F3D10">
        <w:rPr>
          <w:rFonts w:ascii="Arial" w:eastAsia="Times New Roman" w:hAnsi="Arial" w:cs="Arial"/>
        </w:rPr>
        <w:t>T</w:t>
      </w:r>
      <w:r w:rsidR="00FE388D" w:rsidRPr="003F3D10">
        <w:rPr>
          <w:rFonts w:ascii="Arial" w:eastAsia="Times New Roman" w:hAnsi="Arial" w:cs="Arial"/>
        </w:rPr>
        <w:t>he risks and pollutant linkages identified during the site investigation</w:t>
      </w:r>
      <w:r w:rsidR="00DA63B0">
        <w:rPr>
          <w:rFonts w:ascii="Arial" w:eastAsia="Times New Roman" w:hAnsi="Arial" w:cs="Arial"/>
        </w:rPr>
        <w:t>.</w:t>
      </w:r>
    </w:p>
    <w:p w14:paraId="5ABD65ED" w14:textId="01A3B25C" w:rsidR="00FE388D" w:rsidRPr="003F3D10" w:rsidRDefault="00355997" w:rsidP="003F3D10">
      <w:pPr>
        <w:pStyle w:val="ListParagraph"/>
        <w:numPr>
          <w:ilvl w:val="0"/>
          <w:numId w:val="15"/>
        </w:numPr>
        <w:spacing w:after="240"/>
        <w:contextualSpacing w:val="0"/>
        <w:rPr>
          <w:rFonts w:ascii="Arial" w:eastAsia="Times New Roman" w:hAnsi="Arial" w:cs="Arial"/>
          <w:color w:val="016574" w:themeColor="accent2"/>
        </w:rPr>
      </w:pPr>
      <w:r w:rsidRPr="003F3D10">
        <w:rPr>
          <w:rFonts w:ascii="Arial" w:eastAsia="Times New Roman" w:hAnsi="Arial" w:cs="Arial"/>
        </w:rPr>
        <w:t>T</w:t>
      </w:r>
      <w:r w:rsidR="00FE388D" w:rsidRPr="003F3D10">
        <w:rPr>
          <w:rFonts w:ascii="Arial" w:eastAsia="Times New Roman" w:hAnsi="Arial" w:cs="Arial"/>
        </w:rPr>
        <w:t>he measures to mitigate those risks described in the remediation plan</w:t>
      </w:r>
      <w:r w:rsidR="00DA63B0">
        <w:rPr>
          <w:rFonts w:ascii="Arial" w:eastAsia="Times New Roman" w:hAnsi="Arial" w:cs="Arial"/>
        </w:rPr>
        <w:t>.</w:t>
      </w:r>
    </w:p>
    <w:p w14:paraId="243F23C3" w14:textId="7869D9A1" w:rsidR="00FE388D" w:rsidRPr="003F3D10" w:rsidRDefault="00FE388D" w:rsidP="003F3D10">
      <w:pPr>
        <w:spacing w:after="240"/>
        <w:rPr>
          <w:rFonts w:ascii="Arial" w:eastAsia="Times New Roman" w:hAnsi="Arial" w:cs="Arial"/>
        </w:rPr>
      </w:pPr>
      <w:r w:rsidRPr="003F3D10">
        <w:rPr>
          <w:rFonts w:ascii="Arial" w:eastAsia="Times New Roman" w:hAnsi="Arial" w:cs="Arial"/>
        </w:rPr>
        <w:t xml:space="preserve">SEPA will not </w:t>
      </w:r>
      <w:r w:rsidR="006F59D1" w:rsidRPr="003F3D10">
        <w:rPr>
          <w:rFonts w:ascii="Arial" w:eastAsia="Times New Roman" w:hAnsi="Arial" w:cs="Arial"/>
        </w:rPr>
        <w:t xml:space="preserve">require a waste management </w:t>
      </w:r>
      <w:r w:rsidR="00E47AF0" w:rsidRPr="003F3D10">
        <w:rPr>
          <w:rFonts w:ascii="Arial" w:eastAsia="Times New Roman" w:hAnsi="Arial" w:cs="Arial"/>
        </w:rPr>
        <w:t>authorisation</w:t>
      </w:r>
      <w:r w:rsidR="006F59D1" w:rsidRPr="003F3D10">
        <w:rPr>
          <w:rFonts w:ascii="Arial" w:eastAsia="Times New Roman" w:hAnsi="Arial" w:cs="Arial"/>
        </w:rPr>
        <w:t xml:space="preserve"> for the</w:t>
      </w:r>
      <w:r w:rsidRPr="003F3D10">
        <w:rPr>
          <w:rFonts w:ascii="Arial" w:eastAsia="Times New Roman" w:hAnsi="Arial" w:cs="Arial"/>
        </w:rPr>
        <w:t xml:space="preserve"> </w:t>
      </w:r>
      <w:r w:rsidR="006F59D1" w:rsidRPr="003F3D10">
        <w:rPr>
          <w:rFonts w:ascii="Arial" w:eastAsia="Times New Roman" w:hAnsi="Arial" w:cs="Arial"/>
        </w:rPr>
        <w:t>on-site</w:t>
      </w:r>
      <w:r w:rsidRPr="003F3D10">
        <w:rPr>
          <w:rFonts w:ascii="Arial" w:eastAsia="Times New Roman" w:hAnsi="Arial" w:cs="Arial"/>
        </w:rPr>
        <w:t xml:space="preserve"> use of </w:t>
      </w:r>
      <w:r w:rsidR="00355997" w:rsidRPr="003F3D10">
        <w:rPr>
          <w:rFonts w:ascii="Arial" w:eastAsia="Times New Roman" w:hAnsi="Arial" w:cs="Arial"/>
        </w:rPr>
        <w:t xml:space="preserve">contaminated </w:t>
      </w:r>
      <w:r w:rsidR="009F2456">
        <w:rPr>
          <w:rFonts w:ascii="Arial" w:eastAsia="Times New Roman" w:hAnsi="Arial" w:cs="Arial"/>
        </w:rPr>
        <w:t xml:space="preserve">soils and </w:t>
      </w:r>
      <w:r w:rsidRPr="003F3D10">
        <w:rPr>
          <w:rFonts w:ascii="Arial" w:eastAsia="Times New Roman" w:hAnsi="Arial" w:cs="Arial"/>
        </w:rPr>
        <w:t xml:space="preserve">materials where </w:t>
      </w:r>
      <w:r w:rsidR="0097013F" w:rsidRPr="003F3D10">
        <w:rPr>
          <w:rFonts w:ascii="Arial" w:eastAsia="Times New Roman" w:hAnsi="Arial" w:cs="Arial"/>
        </w:rPr>
        <w:t>th</w:t>
      </w:r>
      <w:r w:rsidR="0097013F">
        <w:rPr>
          <w:rFonts w:ascii="Arial" w:eastAsia="Times New Roman" w:hAnsi="Arial" w:cs="Arial"/>
        </w:rPr>
        <w:t>at</w:t>
      </w:r>
      <w:r w:rsidR="0097013F" w:rsidRPr="003F3D10">
        <w:rPr>
          <w:rFonts w:ascii="Arial" w:eastAsia="Times New Roman" w:hAnsi="Arial" w:cs="Arial"/>
        </w:rPr>
        <w:t xml:space="preserve"> </w:t>
      </w:r>
      <w:r w:rsidR="005A3378" w:rsidRPr="003F3D10">
        <w:rPr>
          <w:rFonts w:ascii="Arial" w:eastAsia="Times New Roman" w:hAnsi="Arial" w:cs="Arial"/>
        </w:rPr>
        <w:t>use is covered by a</w:t>
      </w:r>
      <w:r w:rsidR="00AD0AC8" w:rsidRPr="003F3D10">
        <w:rPr>
          <w:rFonts w:ascii="Arial" w:eastAsia="Times New Roman" w:hAnsi="Arial" w:cs="Arial"/>
        </w:rPr>
        <w:t xml:space="preserve"> remediation plan</w:t>
      </w:r>
      <w:r w:rsidR="0097013F">
        <w:rPr>
          <w:rFonts w:ascii="Arial" w:eastAsia="Times New Roman" w:hAnsi="Arial" w:cs="Arial"/>
        </w:rPr>
        <w:t xml:space="preserve"> agreed with the relevant regulator, and</w:t>
      </w:r>
      <w:r w:rsidR="00AD0AC8" w:rsidRPr="003F3D10">
        <w:rPr>
          <w:rFonts w:ascii="Arial" w:eastAsia="Times New Roman" w:hAnsi="Arial" w:cs="Arial"/>
        </w:rPr>
        <w:t xml:space="preserve"> </w:t>
      </w:r>
      <w:r w:rsidR="00AC78EE">
        <w:rPr>
          <w:rFonts w:ascii="Arial" w:eastAsia="Times New Roman" w:hAnsi="Arial" w:cs="Arial"/>
        </w:rPr>
        <w:t>which</w:t>
      </w:r>
      <w:r w:rsidR="006F59D1" w:rsidRPr="003F3D10">
        <w:rPr>
          <w:rFonts w:ascii="Arial" w:eastAsia="Times New Roman" w:hAnsi="Arial" w:cs="Arial"/>
        </w:rPr>
        <w:t xml:space="preserve"> complies with the following criteria</w:t>
      </w:r>
      <w:r w:rsidRPr="003F3D10">
        <w:rPr>
          <w:rFonts w:ascii="Arial" w:eastAsia="Times New Roman" w:hAnsi="Arial" w:cs="Arial"/>
        </w:rPr>
        <w:t xml:space="preserve">: </w:t>
      </w:r>
    </w:p>
    <w:p w14:paraId="13318BEC" w14:textId="7FFE2F23" w:rsidR="006F59D1" w:rsidRPr="003F3D10" w:rsidRDefault="00FE388D" w:rsidP="00DA63B0">
      <w:pPr>
        <w:pStyle w:val="ListParagraph"/>
        <w:numPr>
          <w:ilvl w:val="0"/>
          <w:numId w:val="30"/>
        </w:numPr>
        <w:spacing w:after="240"/>
        <w:contextualSpacing w:val="0"/>
        <w:rPr>
          <w:rFonts w:ascii="Arial" w:eastAsia="Times New Roman" w:hAnsi="Arial" w:cs="Arial"/>
        </w:rPr>
      </w:pPr>
      <w:r w:rsidRPr="003F3D10">
        <w:rPr>
          <w:rFonts w:ascii="Arial" w:eastAsia="Times New Roman" w:hAnsi="Arial" w:cs="Arial"/>
        </w:rPr>
        <w:t>The</w:t>
      </w:r>
      <w:r w:rsidR="00B83C4F" w:rsidRPr="003F3D10">
        <w:rPr>
          <w:rFonts w:ascii="Arial" w:eastAsia="Times New Roman" w:hAnsi="Arial" w:cs="Arial"/>
        </w:rPr>
        <w:t xml:space="preserve">re is a certain use as </w:t>
      </w:r>
      <w:r w:rsidRPr="003F3D10">
        <w:rPr>
          <w:rFonts w:ascii="Arial" w:eastAsia="Times New Roman" w:hAnsi="Arial" w:cs="Arial"/>
        </w:rPr>
        <w:t>part of the planned works</w:t>
      </w:r>
      <w:r w:rsidR="00DA63B0">
        <w:rPr>
          <w:rFonts w:ascii="Arial" w:eastAsia="Times New Roman" w:hAnsi="Arial" w:cs="Arial"/>
        </w:rPr>
        <w:t>.</w:t>
      </w:r>
    </w:p>
    <w:p w14:paraId="3E4752CA" w14:textId="55634900" w:rsidR="006F59D1" w:rsidRPr="003F3D10" w:rsidRDefault="00FE388D" w:rsidP="00DA63B0">
      <w:pPr>
        <w:pStyle w:val="ListParagraph"/>
        <w:numPr>
          <w:ilvl w:val="0"/>
          <w:numId w:val="30"/>
        </w:numPr>
        <w:spacing w:after="240"/>
        <w:contextualSpacing w:val="0"/>
        <w:rPr>
          <w:rFonts w:ascii="Arial" w:eastAsia="Times New Roman" w:hAnsi="Arial" w:cs="Arial"/>
        </w:rPr>
      </w:pPr>
      <w:r w:rsidRPr="003F3D10">
        <w:rPr>
          <w:rFonts w:ascii="Arial" w:eastAsia="Times New Roman" w:hAnsi="Arial" w:cs="Arial"/>
        </w:rPr>
        <w:t>The material is suitable for that use</w:t>
      </w:r>
      <w:r w:rsidR="00937D90" w:rsidRPr="003F3D10">
        <w:rPr>
          <w:rFonts w:ascii="Arial" w:eastAsia="Times New Roman" w:hAnsi="Arial" w:cs="Arial"/>
        </w:rPr>
        <w:t xml:space="preserve">, without further </w:t>
      </w:r>
      <w:r w:rsidR="00212FE1" w:rsidRPr="003F3D10">
        <w:rPr>
          <w:rFonts w:ascii="Arial" w:eastAsia="Times New Roman" w:hAnsi="Arial" w:cs="Arial"/>
        </w:rPr>
        <w:t>treatment</w:t>
      </w:r>
      <w:r w:rsidR="00DA63B0">
        <w:rPr>
          <w:rFonts w:ascii="Arial" w:eastAsia="Times New Roman" w:hAnsi="Arial" w:cs="Arial"/>
        </w:rPr>
        <w:t>.</w:t>
      </w:r>
    </w:p>
    <w:p w14:paraId="32E6F84A" w14:textId="5CF470F8" w:rsidR="006F59D1" w:rsidRPr="003F3D10" w:rsidRDefault="00FE388D" w:rsidP="00DA63B0">
      <w:pPr>
        <w:pStyle w:val="ListParagraph"/>
        <w:numPr>
          <w:ilvl w:val="0"/>
          <w:numId w:val="30"/>
        </w:numPr>
        <w:spacing w:after="240"/>
        <w:contextualSpacing w:val="0"/>
        <w:rPr>
          <w:rFonts w:ascii="Arial" w:eastAsia="Times New Roman" w:hAnsi="Arial" w:cs="Arial"/>
        </w:rPr>
      </w:pPr>
      <w:r w:rsidRPr="003F3D10">
        <w:rPr>
          <w:rFonts w:ascii="Arial" w:eastAsia="Times New Roman" w:hAnsi="Arial" w:cs="Arial"/>
        </w:rPr>
        <w:t>No more than the quantity necessary is used</w:t>
      </w:r>
      <w:r w:rsidR="00DA63B0">
        <w:rPr>
          <w:rFonts w:ascii="Arial" w:eastAsia="Times New Roman" w:hAnsi="Arial" w:cs="Arial"/>
        </w:rPr>
        <w:t>.</w:t>
      </w:r>
    </w:p>
    <w:p w14:paraId="30453ADA" w14:textId="289ED07B" w:rsidR="006D131B" w:rsidRPr="003F3D10" w:rsidRDefault="00FE388D" w:rsidP="00DA63B0">
      <w:pPr>
        <w:pStyle w:val="ListParagraph"/>
        <w:numPr>
          <w:ilvl w:val="0"/>
          <w:numId w:val="30"/>
        </w:numPr>
        <w:spacing w:after="240"/>
        <w:contextualSpacing w:val="0"/>
        <w:rPr>
          <w:rFonts w:ascii="Arial" w:eastAsia="Times New Roman" w:hAnsi="Arial" w:cs="Arial"/>
        </w:rPr>
      </w:pPr>
      <w:r w:rsidRPr="003F3D10">
        <w:rPr>
          <w:rFonts w:ascii="Arial" w:eastAsia="Times New Roman" w:hAnsi="Arial" w:cs="Arial"/>
        </w:rPr>
        <w:t xml:space="preserve">The use of the </w:t>
      </w:r>
      <w:r w:rsidR="00514CC9">
        <w:rPr>
          <w:rFonts w:ascii="Arial" w:eastAsia="Times New Roman" w:hAnsi="Arial" w:cs="Arial"/>
        </w:rPr>
        <w:t>materials</w:t>
      </w:r>
      <w:r w:rsidRPr="003F3D10">
        <w:rPr>
          <w:rFonts w:ascii="Arial" w:eastAsia="Times New Roman" w:hAnsi="Arial" w:cs="Arial"/>
        </w:rPr>
        <w:t xml:space="preserve"> will not result in </w:t>
      </w:r>
      <w:r w:rsidR="00160FF1" w:rsidRPr="003F3D10">
        <w:rPr>
          <w:rFonts w:ascii="Arial" w:eastAsia="Times New Roman" w:hAnsi="Arial" w:cs="Arial"/>
        </w:rPr>
        <w:t>environmental harm</w:t>
      </w:r>
      <w:r w:rsidR="00DA63B0">
        <w:rPr>
          <w:rFonts w:ascii="Arial" w:eastAsia="Times New Roman" w:hAnsi="Arial" w:cs="Arial"/>
        </w:rPr>
        <w:t>.</w:t>
      </w:r>
    </w:p>
    <w:p w14:paraId="16BA4E4A" w14:textId="5D7D57E3" w:rsidR="00F4227C" w:rsidRPr="003F3D10" w:rsidRDefault="00F4227C" w:rsidP="003F3D10">
      <w:pPr>
        <w:spacing w:after="240"/>
        <w:rPr>
          <w:rFonts w:ascii="Arial" w:eastAsia="Times New Roman" w:hAnsi="Arial" w:cs="Arial"/>
        </w:rPr>
      </w:pPr>
      <w:r w:rsidRPr="003F3D10">
        <w:rPr>
          <w:rFonts w:ascii="Arial" w:eastAsia="Times New Roman" w:hAnsi="Arial" w:cs="Arial"/>
        </w:rPr>
        <w:lastRenderedPageBreak/>
        <w:t xml:space="preserve">For example, some materials may be suitable for direct use in engineered backfill beneath cover layers, capping layers, buildings and hard standing or for site regrading. </w:t>
      </w:r>
    </w:p>
    <w:p w14:paraId="4AC5C8D7" w14:textId="77777777" w:rsidR="00DF5B14" w:rsidRDefault="00F46881" w:rsidP="005321DA">
      <w:pPr>
        <w:spacing w:after="240"/>
        <w:rPr>
          <w:rFonts w:ascii="Arial" w:eastAsia="Times New Roman" w:hAnsi="Arial" w:cs="Arial"/>
        </w:rPr>
      </w:pPr>
      <w:r w:rsidRPr="003F3D10">
        <w:rPr>
          <w:rFonts w:ascii="Arial" w:eastAsia="Times New Roman" w:hAnsi="Arial" w:cs="Arial"/>
        </w:rPr>
        <w:t>The</w:t>
      </w:r>
      <w:r w:rsidR="00FE388D" w:rsidRPr="003F3D10">
        <w:rPr>
          <w:rFonts w:ascii="Arial" w:eastAsia="Times New Roman" w:hAnsi="Arial" w:cs="Arial"/>
        </w:rPr>
        <w:t xml:space="preserve"> remediation plan must be agreed with </w:t>
      </w:r>
      <w:r w:rsidR="004B18B7" w:rsidRPr="003F3D10">
        <w:rPr>
          <w:rFonts w:ascii="Arial" w:eastAsia="Times New Roman" w:hAnsi="Arial" w:cs="Arial"/>
        </w:rPr>
        <w:t>the relevant authority.</w:t>
      </w:r>
      <w:r w:rsidR="00FE388D" w:rsidRPr="003F3D10">
        <w:rPr>
          <w:rFonts w:ascii="Arial" w:eastAsia="Times New Roman" w:hAnsi="Arial" w:cs="Arial"/>
        </w:rPr>
        <w:t xml:space="preserve"> </w:t>
      </w:r>
      <w:r w:rsidR="004B18B7" w:rsidRPr="003F3D10">
        <w:rPr>
          <w:rFonts w:ascii="Arial" w:eastAsia="Times New Roman" w:hAnsi="Arial" w:cs="Arial"/>
        </w:rPr>
        <w:t xml:space="preserve">Local authorities are the lead regulator for remediation through the planning and contaminated land regimes (except for special sites). Through the remediation plan, they will assess the site-specific suitability of a material for a particular use. In general, SEPA will not </w:t>
      </w:r>
      <w:r w:rsidR="00E47AF0" w:rsidRPr="003F3D10">
        <w:rPr>
          <w:rFonts w:ascii="Arial" w:eastAsia="Times New Roman" w:hAnsi="Arial" w:cs="Arial"/>
        </w:rPr>
        <w:t>duplicate</w:t>
      </w:r>
      <w:r w:rsidR="004B18B7" w:rsidRPr="003F3D10">
        <w:rPr>
          <w:rFonts w:ascii="Arial" w:eastAsia="Times New Roman" w:hAnsi="Arial" w:cs="Arial"/>
        </w:rPr>
        <w:t xml:space="preserve"> this assessment but will provide advice </w:t>
      </w:r>
      <w:r w:rsidR="00E47AF0" w:rsidRPr="003F3D10">
        <w:rPr>
          <w:rFonts w:ascii="Arial" w:eastAsia="Times New Roman" w:hAnsi="Arial" w:cs="Arial"/>
        </w:rPr>
        <w:t xml:space="preserve">to the Local Authority </w:t>
      </w:r>
      <w:r w:rsidR="004B18B7" w:rsidRPr="003F3D10">
        <w:rPr>
          <w:rFonts w:ascii="Arial" w:eastAsia="Times New Roman" w:hAnsi="Arial" w:cs="Arial"/>
        </w:rPr>
        <w:t xml:space="preserve">in its role as a consultee. </w:t>
      </w:r>
    </w:p>
    <w:p w14:paraId="23E79FC7" w14:textId="0B1CD27B" w:rsidR="005321DA" w:rsidRDefault="005321DA" w:rsidP="005321DA">
      <w:pPr>
        <w:spacing w:after="240"/>
        <w:rPr>
          <w:rFonts w:ascii="Arial" w:eastAsia="Times New Roman" w:hAnsi="Arial" w:cs="Arial"/>
        </w:rPr>
      </w:pPr>
      <w:r w:rsidRPr="00803B27">
        <w:rPr>
          <w:rFonts w:ascii="Arial" w:eastAsia="Times New Roman" w:hAnsi="Arial" w:cs="Arial"/>
        </w:rPr>
        <w:t xml:space="preserve">SEPA does not consider </w:t>
      </w:r>
      <w:r w:rsidR="00893ABE" w:rsidRPr="00803B27">
        <w:rPr>
          <w:rFonts w:ascii="Arial" w:eastAsia="Times New Roman" w:hAnsi="Arial" w:cs="Arial"/>
        </w:rPr>
        <w:t>A</w:t>
      </w:r>
      <w:r w:rsidRPr="00803B27">
        <w:rPr>
          <w:rFonts w:ascii="Arial" w:eastAsia="Times New Roman" w:hAnsi="Arial" w:cs="Arial"/>
        </w:rPr>
        <w:t>sbestos</w:t>
      </w:r>
      <w:r w:rsidR="00893ABE" w:rsidRPr="00803B27">
        <w:rPr>
          <w:rFonts w:ascii="Arial" w:eastAsia="Times New Roman" w:hAnsi="Arial" w:cs="Arial"/>
        </w:rPr>
        <w:t xml:space="preserve"> Containing Materials (ACMs)</w:t>
      </w:r>
      <w:r w:rsidRPr="00803B27">
        <w:rPr>
          <w:rFonts w:ascii="Arial" w:eastAsia="Times New Roman" w:hAnsi="Arial" w:cs="Arial"/>
        </w:rPr>
        <w:t xml:space="preserve"> to be a suitable material for backfilling or other construction purposes. </w:t>
      </w:r>
      <w:r w:rsidR="00893ABE" w:rsidRPr="00803B27">
        <w:rPr>
          <w:rFonts w:ascii="Arial" w:eastAsia="Times New Roman" w:hAnsi="Arial" w:cs="Arial"/>
        </w:rPr>
        <w:t xml:space="preserve">ACMs </w:t>
      </w:r>
      <w:r w:rsidRPr="00803B27">
        <w:rPr>
          <w:rFonts w:ascii="Arial" w:eastAsia="Times New Roman" w:hAnsi="Arial" w:cs="Arial"/>
        </w:rPr>
        <w:t xml:space="preserve">must not be backfilled or otherwise used in site works. </w:t>
      </w:r>
      <w:r w:rsidR="0050310D" w:rsidRPr="00803B27">
        <w:rPr>
          <w:rFonts w:ascii="Arial" w:eastAsia="Times New Roman" w:hAnsi="Arial" w:cs="Arial"/>
        </w:rPr>
        <w:t>T</w:t>
      </w:r>
      <w:r w:rsidR="001D05B5" w:rsidRPr="00803B27">
        <w:rPr>
          <w:rFonts w:ascii="Arial" w:eastAsia="Times New Roman" w:hAnsi="Arial" w:cs="Arial"/>
        </w:rPr>
        <w:t xml:space="preserve">he use of soils </w:t>
      </w:r>
      <w:r w:rsidR="0050310D" w:rsidRPr="00803B27">
        <w:rPr>
          <w:rFonts w:ascii="Arial" w:eastAsia="Times New Roman" w:hAnsi="Arial" w:cs="Arial"/>
        </w:rPr>
        <w:t>containing</w:t>
      </w:r>
      <w:r w:rsidR="001D05B5" w:rsidRPr="00803B27">
        <w:rPr>
          <w:rFonts w:ascii="Arial" w:eastAsia="Times New Roman" w:hAnsi="Arial" w:cs="Arial"/>
        </w:rPr>
        <w:t xml:space="preserve"> </w:t>
      </w:r>
      <w:r w:rsidR="00425BEA" w:rsidRPr="00803B27">
        <w:rPr>
          <w:rFonts w:ascii="Arial" w:eastAsia="Times New Roman" w:hAnsi="Arial" w:cs="Arial"/>
        </w:rPr>
        <w:t>free and dispersed</w:t>
      </w:r>
      <w:r w:rsidR="001D05B5" w:rsidRPr="00803B27">
        <w:rPr>
          <w:rFonts w:ascii="Arial" w:eastAsia="Times New Roman" w:hAnsi="Arial" w:cs="Arial"/>
        </w:rPr>
        <w:t xml:space="preserve"> asbestos fibres should be subject to a risk assessment</w:t>
      </w:r>
      <w:r w:rsidR="00242F85" w:rsidRPr="00803B27">
        <w:rPr>
          <w:rFonts w:ascii="Arial" w:eastAsia="Times New Roman" w:hAnsi="Arial" w:cs="Arial"/>
        </w:rPr>
        <w:t xml:space="preserve"> via the </w:t>
      </w:r>
      <w:r w:rsidR="002A24B5" w:rsidRPr="00803B27">
        <w:rPr>
          <w:rFonts w:ascii="Arial" w:eastAsia="Times New Roman" w:hAnsi="Arial" w:cs="Arial"/>
        </w:rPr>
        <w:t>remediation</w:t>
      </w:r>
      <w:r w:rsidR="00242F85" w:rsidRPr="00803B27">
        <w:rPr>
          <w:rFonts w:ascii="Arial" w:eastAsia="Times New Roman" w:hAnsi="Arial" w:cs="Arial"/>
        </w:rPr>
        <w:t xml:space="preserve"> plan</w:t>
      </w:r>
      <w:r w:rsidR="001D05B5" w:rsidRPr="00803B27">
        <w:rPr>
          <w:rFonts w:ascii="Arial" w:eastAsia="Times New Roman" w:hAnsi="Arial" w:cs="Arial"/>
        </w:rPr>
        <w:t xml:space="preserve"> as with any other contaminant</w:t>
      </w:r>
      <w:r w:rsidR="00425BEA" w:rsidRPr="00803B27">
        <w:rPr>
          <w:rFonts w:ascii="Arial" w:eastAsia="Times New Roman" w:hAnsi="Arial" w:cs="Arial"/>
        </w:rPr>
        <w:t>.</w:t>
      </w:r>
      <w:r w:rsidR="00425BEA">
        <w:rPr>
          <w:rFonts w:ascii="Arial" w:eastAsia="Times New Roman" w:hAnsi="Arial" w:cs="Arial"/>
        </w:rPr>
        <w:t xml:space="preserve"> </w:t>
      </w:r>
    </w:p>
    <w:p w14:paraId="1BA90794" w14:textId="741AAFE5" w:rsidR="006D131B" w:rsidRDefault="005321DA" w:rsidP="003F3D10">
      <w:pPr>
        <w:spacing w:after="240"/>
        <w:rPr>
          <w:rFonts w:ascii="Arial" w:eastAsia="Times New Roman" w:hAnsi="Arial" w:cs="Arial"/>
        </w:rPr>
      </w:pPr>
      <w:r>
        <w:rPr>
          <w:rFonts w:ascii="Arial" w:eastAsia="Times New Roman" w:hAnsi="Arial" w:cs="Arial"/>
        </w:rPr>
        <w:t>SEPA would also consider the deposit of contaminated materials i</w:t>
      </w:r>
      <w:r w:rsidRPr="00B254B0">
        <w:rPr>
          <w:rFonts w:ascii="Arial" w:eastAsia="Times New Roman" w:hAnsi="Arial" w:cs="Arial"/>
        </w:rPr>
        <w:t xml:space="preserve">n an engineered cell </w:t>
      </w:r>
      <w:r>
        <w:rPr>
          <w:rFonts w:ascii="Arial" w:eastAsia="Times New Roman" w:hAnsi="Arial" w:cs="Arial"/>
        </w:rPr>
        <w:t xml:space="preserve">as a waste management activity. </w:t>
      </w:r>
    </w:p>
    <w:p w14:paraId="0FD7EC10" w14:textId="4D37C94C" w:rsidR="005533C0" w:rsidRPr="003F3D10" w:rsidRDefault="00033272" w:rsidP="003F3D10">
      <w:pPr>
        <w:pStyle w:val="Heading2"/>
      </w:pPr>
      <w:bookmarkStart w:id="3" w:name="_Toc191996569"/>
      <w:r w:rsidRPr="003F3D10">
        <w:t xml:space="preserve">On-site </w:t>
      </w:r>
      <w:r w:rsidR="005533C0" w:rsidRPr="003F3D10">
        <w:t>treatment</w:t>
      </w:r>
      <w:r w:rsidRPr="003F3D10">
        <w:t xml:space="preserve"> and use</w:t>
      </w:r>
      <w:bookmarkEnd w:id="3"/>
    </w:p>
    <w:p w14:paraId="5AF1DAF1" w14:textId="5F8F5889" w:rsidR="005533C0" w:rsidRPr="003F3D10" w:rsidRDefault="005533C0" w:rsidP="003F3D10">
      <w:pPr>
        <w:spacing w:after="240"/>
        <w:rPr>
          <w:rFonts w:ascii="Arial" w:eastAsia="Times New Roman" w:hAnsi="Arial" w:cs="Arial"/>
        </w:rPr>
      </w:pPr>
      <w:r w:rsidRPr="003F3D10">
        <w:rPr>
          <w:rFonts w:ascii="Arial" w:eastAsia="Times New Roman" w:hAnsi="Arial" w:cs="Arial"/>
        </w:rPr>
        <w:t xml:space="preserve">A </w:t>
      </w:r>
      <w:r w:rsidR="00212FE1" w:rsidRPr="003F3D10">
        <w:rPr>
          <w:rFonts w:ascii="Arial" w:eastAsia="Times New Roman" w:hAnsi="Arial" w:cs="Arial"/>
        </w:rPr>
        <w:t xml:space="preserve">mobile </w:t>
      </w:r>
      <w:r w:rsidRPr="003F3D10">
        <w:rPr>
          <w:rFonts w:ascii="Arial" w:eastAsia="Times New Roman" w:hAnsi="Arial" w:cs="Arial"/>
        </w:rPr>
        <w:t>Land Remediation Permit</w:t>
      </w:r>
      <w:r w:rsidR="005321DA">
        <w:rPr>
          <w:rFonts w:ascii="Arial" w:eastAsia="Times New Roman" w:hAnsi="Arial" w:cs="Arial"/>
        </w:rPr>
        <w:t xml:space="preserve"> (formally called a Mobile Plant Licence)</w:t>
      </w:r>
      <w:r w:rsidR="00212FE1" w:rsidRPr="003F3D10">
        <w:rPr>
          <w:rFonts w:ascii="Arial" w:eastAsia="Times New Roman" w:hAnsi="Arial" w:cs="Arial"/>
        </w:rPr>
        <w:t xml:space="preserve"> </w:t>
      </w:r>
      <w:r w:rsidR="00E21AB5" w:rsidRPr="003F3D10">
        <w:rPr>
          <w:rFonts w:ascii="Arial" w:eastAsia="Times New Roman" w:hAnsi="Arial" w:cs="Arial"/>
        </w:rPr>
        <w:t>authorise</w:t>
      </w:r>
      <w:r w:rsidR="003D7ADF" w:rsidRPr="003F3D10">
        <w:rPr>
          <w:rFonts w:ascii="Arial" w:eastAsia="Times New Roman" w:hAnsi="Arial" w:cs="Arial"/>
        </w:rPr>
        <w:t>s</w:t>
      </w:r>
      <w:r w:rsidR="00E21AB5" w:rsidRPr="003F3D10">
        <w:rPr>
          <w:rFonts w:ascii="Arial" w:eastAsia="Times New Roman" w:hAnsi="Arial" w:cs="Arial"/>
        </w:rPr>
        <w:t xml:space="preserve"> the treatment of contaminated </w:t>
      </w:r>
      <w:r w:rsidR="00B40EF4" w:rsidRPr="003F3D10">
        <w:rPr>
          <w:rFonts w:ascii="Arial" w:eastAsia="Times New Roman" w:hAnsi="Arial" w:cs="Arial"/>
        </w:rPr>
        <w:t xml:space="preserve">soil </w:t>
      </w:r>
      <w:r w:rsidR="00B40EF4" w:rsidRPr="00D318F1">
        <w:rPr>
          <w:rFonts w:ascii="Arial" w:eastAsia="Times New Roman" w:hAnsi="Arial" w:cs="Arial"/>
        </w:rPr>
        <w:t xml:space="preserve">and </w:t>
      </w:r>
      <w:r w:rsidR="00E21AB5" w:rsidRPr="00D318F1">
        <w:rPr>
          <w:rFonts w:ascii="Arial" w:eastAsia="Times New Roman" w:hAnsi="Arial" w:cs="Arial"/>
        </w:rPr>
        <w:t>materials</w:t>
      </w:r>
      <w:r w:rsidR="00530177" w:rsidRPr="00D318F1">
        <w:rPr>
          <w:rFonts w:ascii="Arial" w:eastAsia="Times New Roman" w:hAnsi="Arial" w:cs="Arial"/>
        </w:rPr>
        <w:t>, including groundwater,</w:t>
      </w:r>
      <w:r w:rsidR="00E21AB5" w:rsidRPr="003F3D10">
        <w:rPr>
          <w:rFonts w:ascii="Arial" w:eastAsia="Times New Roman" w:hAnsi="Arial" w:cs="Arial"/>
        </w:rPr>
        <w:t xml:space="preserve"> </w:t>
      </w:r>
      <w:r w:rsidR="00212FE1" w:rsidRPr="003F3D10">
        <w:rPr>
          <w:rFonts w:ascii="Arial" w:eastAsia="Times New Roman" w:hAnsi="Arial" w:cs="Arial"/>
        </w:rPr>
        <w:t xml:space="preserve">for </w:t>
      </w:r>
      <w:r w:rsidR="00E21AB5" w:rsidRPr="003F3D10">
        <w:rPr>
          <w:rFonts w:ascii="Arial" w:eastAsia="Times New Roman" w:hAnsi="Arial" w:cs="Arial"/>
        </w:rPr>
        <w:t>the purpose of land remediation</w:t>
      </w:r>
      <w:r w:rsidR="00E50ED8" w:rsidRPr="003F3D10">
        <w:rPr>
          <w:rFonts w:ascii="Arial" w:eastAsia="Times New Roman" w:hAnsi="Arial" w:cs="Arial"/>
        </w:rPr>
        <w:t xml:space="preserve"> subject</w:t>
      </w:r>
      <w:r w:rsidRPr="003F3D10">
        <w:rPr>
          <w:rFonts w:ascii="Arial" w:eastAsia="Times New Roman" w:hAnsi="Arial" w:cs="Arial"/>
        </w:rPr>
        <w:t xml:space="preserve"> to a </w:t>
      </w:r>
      <w:r w:rsidR="00033272" w:rsidRPr="003F3D10">
        <w:rPr>
          <w:rFonts w:ascii="Arial" w:eastAsia="Times New Roman" w:hAnsi="Arial" w:cs="Arial"/>
        </w:rPr>
        <w:t>Site-Specific</w:t>
      </w:r>
      <w:r w:rsidRPr="003F3D10">
        <w:rPr>
          <w:rFonts w:ascii="Arial" w:eastAsia="Times New Roman" w:hAnsi="Arial" w:cs="Arial"/>
        </w:rPr>
        <w:t xml:space="preserve"> </w:t>
      </w:r>
      <w:r w:rsidR="00033272" w:rsidRPr="003F3D10">
        <w:rPr>
          <w:rFonts w:ascii="Arial" w:eastAsia="Times New Roman" w:hAnsi="Arial" w:cs="Arial"/>
        </w:rPr>
        <w:t>W</w:t>
      </w:r>
      <w:r w:rsidRPr="003F3D10">
        <w:rPr>
          <w:rFonts w:ascii="Arial" w:eastAsia="Times New Roman" w:hAnsi="Arial" w:cs="Arial"/>
        </w:rPr>
        <w:t xml:space="preserve">orking </w:t>
      </w:r>
      <w:r w:rsidR="00033272" w:rsidRPr="003F3D10">
        <w:rPr>
          <w:rFonts w:ascii="Arial" w:eastAsia="Times New Roman" w:hAnsi="Arial" w:cs="Arial"/>
        </w:rPr>
        <w:t>P</w:t>
      </w:r>
      <w:r w:rsidRPr="003F3D10">
        <w:rPr>
          <w:rFonts w:ascii="Arial" w:eastAsia="Times New Roman" w:hAnsi="Arial" w:cs="Arial"/>
        </w:rPr>
        <w:t>lan (SSWP)</w:t>
      </w:r>
      <w:r w:rsidR="008D61F7" w:rsidRPr="003F3D10">
        <w:rPr>
          <w:rFonts w:ascii="Arial" w:eastAsia="Times New Roman" w:hAnsi="Arial" w:cs="Arial"/>
        </w:rPr>
        <w:t>.</w:t>
      </w:r>
    </w:p>
    <w:p w14:paraId="5C8DF130" w14:textId="55889D96" w:rsidR="005533C0" w:rsidRPr="003F3D10" w:rsidRDefault="005533C0" w:rsidP="003F3D10">
      <w:pPr>
        <w:spacing w:after="240"/>
        <w:rPr>
          <w:rFonts w:ascii="Arial" w:eastAsia="Times New Roman" w:hAnsi="Arial" w:cs="Arial"/>
        </w:rPr>
      </w:pPr>
      <w:r w:rsidRPr="003F3D10">
        <w:rPr>
          <w:rFonts w:ascii="Arial" w:eastAsia="Times New Roman" w:hAnsi="Arial" w:cs="Arial"/>
        </w:rPr>
        <w:t>A single</w:t>
      </w:r>
      <w:r w:rsidR="00212FE1" w:rsidRPr="003F3D10">
        <w:rPr>
          <w:rFonts w:ascii="Arial" w:eastAsia="Times New Roman" w:hAnsi="Arial" w:cs="Arial"/>
        </w:rPr>
        <w:t xml:space="preserve"> mobile</w:t>
      </w:r>
      <w:r w:rsidRPr="003F3D10">
        <w:rPr>
          <w:rFonts w:ascii="Arial" w:eastAsia="Times New Roman" w:hAnsi="Arial" w:cs="Arial"/>
        </w:rPr>
        <w:t xml:space="preserve"> </w:t>
      </w:r>
      <w:r w:rsidR="00033272" w:rsidRPr="003F3D10">
        <w:rPr>
          <w:rFonts w:ascii="Arial" w:eastAsia="Times New Roman" w:hAnsi="Arial" w:cs="Arial"/>
        </w:rPr>
        <w:t>Land Remediation Permit</w:t>
      </w:r>
      <w:r w:rsidRPr="003F3D10">
        <w:rPr>
          <w:rFonts w:ascii="Arial" w:eastAsia="Times New Roman" w:hAnsi="Arial" w:cs="Arial"/>
        </w:rPr>
        <w:t xml:space="preserve"> can cover treatment across </w:t>
      </w:r>
      <w:r w:rsidR="00033272" w:rsidRPr="003F3D10">
        <w:rPr>
          <w:rFonts w:ascii="Arial" w:eastAsia="Times New Roman" w:hAnsi="Arial" w:cs="Arial"/>
        </w:rPr>
        <w:t>several</w:t>
      </w:r>
      <w:r w:rsidRPr="003F3D10">
        <w:rPr>
          <w:rFonts w:ascii="Arial" w:eastAsia="Times New Roman" w:hAnsi="Arial" w:cs="Arial"/>
        </w:rPr>
        <w:t xml:space="preserve"> sites</w:t>
      </w:r>
      <w:r w:rsidR="00B40EF4" w:rsidRPr="003F3D10">
        <w:rPr>
          <w:rFonts w:ascii="Arial" w:eastAsia="Times New Roman" w:hAnsi="Arial" w:cs="Arial"/>
        </w:rPr>
        <w:t xml:space="preserve"> at the same time</w:t>
      </w:r>
      <w:r w:rsidR="00033272" w:rsidRPr="003F3D10">
        <w:rPr>
          <w:rFonts w:ascii="Arial" w:eastAsia="Times New Roman" w:hAnsi="Arial" w:cs="Arial"/>
        </w:rPr>
        <w:t xml:space="preserve"> provided the Authorised Person remains in control of the activities</w:t>
      </w:r>
      <w:r w:rsidR="0025665E">
        <w:rPr>
          <w:rFonts w:ascii="Arial" w:eastAsia="Times New Roman" w:hAnsi="Arial" w:cs="Arial"/>
        </w:rPr>
        <w:t xml:space="preserve"> and the relevant SSWPs have been agreed with SEPA</w:t>
      </w:r>
      <w:r w:rsidRPr="003F3D10">
        <w:rPr>
          <w:rFonts w:ascii="Arial" w:eastAsia="Times New Roman" w:hAnsi="Arial" w:cs="Arial"/>
        </w:rPr>
        <w:t xml:space="preserve">. </w:t>
      </w:r>
    </w:p>
    <w:p w14:paraId="78F4FF99" w14:textId="6B1497FC" w:rsidR="00033272" w:rsidRPr="003F3D10" w:rsidRDefault="00033272" w:rsidP="003F3D10">
      <w:pPr>
        <w:spacing w:after="240"/>
        <w:rPr>
          <w:rFonts w:ascii="Arial" w:eastAsia="Times New Roman" w:hAnsi="Arial" w:cs="Arial"/>
        </w:rPr>
      </w:pPr>
      <w:r w:rsidRPr="00FB7DF7">
        <w:rPr>
          <w:rFonts w:ascii="Arial" w:eastAsia="Times New Roman" w:hAnsi="Arial" w:cs="Arial"/>
        </w:rPr>
        <w:t xml:space="preserve">The Land Remediation Permit </w:t>
      </w:r>
      <w:r w:rsidR="000E6686" w:rsidRPr="00FB7DF7">
        <w:rPr>
          <w:rFonts w:ascii="Arial" w:eastAsia="Times New Roman" w:hAnsi="Arial" w:cs="Arial"/>
        </w:rPr>
        <w:t>can</w:t>
      </w:r>
      <w:r w:rsidR="0025665E" w:rsidRPr="00FB7DF7">
        <w:rPr>
          <w:rFonts w:ascii="Arial" w:eastAsia="Times New Roman" w:hAnsi="Arial" w:cs="Arial"/>
        </w:rPr>
        <w:t xml:space="preserve"> also</w:t>
      </w:r>
      <w:r w:rsidR="000E6686" w:rsidRPr="00FB7DF7">
        <w:rPr>
          <w:rFonts w:ascii="Arial" w:eastAsia="Times New Roman" w:hAnsi="Arial" w:cs="Arial"/>
        </w:rPr>
        <w:t xml:space="preserve"> </w:t>
      </w:r>
      <w:r w:rsidRPr="00FB7DF7">
        <w:rPr>
          <w:rFonts w:ascii="Arial" w:eastAsia="Times New Roman" w:hAnsi="Arial" w:cs="Arial"/>
        </w:rPr>
        <w:t>authorise</w:t>
      </w:r>
      <w:r w:rsidR="005533C0" w:rsidRPr="00FB7DF7">
        <w:rPr>
          <w:rFonts w:ascii="Arial" w:eastAsia="Times New Roman" w:hAnsi="Arial" w:cs="Arial"/>
        </w:rPr>
        <w:t xml:space="preserve"> the use of treated contaminated soil </w:t>
      </w:r>
      <w:r w:rsidR="00B40EF4" w:rsidRPr="00FB7DF7">
        <w:rPr>
          <w:rFonts w:ascii="Arial" w:eastAsia="Times New Roman" w:hAnsi="Arial" w:cs="Arial"/>
        </w:rPr>
        <w:t xml:space="preserve">and materials </w:t>
      </w:r>
      <w:r w:rsidR="00076DD2">
        <w:rPr>
          <w:rFonts w:ascii="Arial" w:eastAsia="Times New Roman" w:hAnsi="Arial" w:cs="Arial"/>
        </w:rPr>
        <w:t xml:space="preserve">or the discharge of </w:t>
      </w:r>
      <w:r w:rsidR="009F4BCA">
        <w:rPr>
          <w:rFonts w:ascii="Arial" w:eastAsia="Times New Roman" w:hAnsi="Arial" w:cs="Arial"/>
        </w:rPr>
        <w:t xml:space="preserve">treated groundwater </w:t>
      </w:r>
      <w:r w:rsidR="005533C0" w:rsidRPr="00FB7DF7">
        <w:rPr>
          <w:rFonts w:ascii="Arial" w:eastAsia="Times New Roman" w:hAnsi="Arial" w:cs="Arial"/>
        </w:rPr>
        <w:t>where</w:t>
      </w:r>
      <w:r w:rsidR="00FB7DF7" w:rsidRPr="00FB7DF7">
        <w:rPr>
          <w:rFonts w:ascii="Arial" w:eastAsia="Times New Roman" w:hAnsi="Arial" w:cs="Arial"/>
        </w:rPr>
        <w:t xml:space="preserve"> </w:t>
      </w:r>
      <w:r w:rsidR="00FB7DF7">
        <w:rPr>
          <w:rFonts w:ascii="Arial" w:eastAsia="Times New Roman" w:hAnsi="Arial" w:cs="Arial"/>
        </w:rPr>
        <w:t>it is described in an agreed SSWP and</w:t>
      </w:r>
      <w:r w:rsidR="00797A93">
        <w:rPr>
          <w:rFonts w:ascii="Arial" w:eastAsia="Times New Roman" w:hAnsi="Arial" w:cs="Arial"/>
        </w:rPr>
        <w:t>:</w:t>
      </w:r>
    </w:p>
    <w:p w14:paraId="62E922F0" w14:textId="4838882C" w:rsidR="00855D4F" w:rsidRPr="003F3D10" w:rsidRDefault="00855D4F" w:rsidP="00855D4F">
      <w:pPr>
        <w:pStyle w:val="ListParagraph"/>
        <w:numPr>
          <w:ilvl w:val="0"/>
          <w:numId w:val="21"/>
        </w:numPr>
        <w:spacing w:after="240"/>
        <w:contextualSpacing w:val="0"/>
        <w:rPr>
          <w:rFonts w:ascii="Arial" w:eastAsia="Times New Roman" w:hAnsi="Arial" w:cs="Arial"/>
        </w:rPr>
      </w:pPr>
      <w:r>
        <w:rPr>
          <w:rFonts w:ascii="Arial" w:eastAsia="Times New Roman" w:hAnsi="Arial" w:cs="Arial"/>
        </w:rPr>
        <w:t>The use</w:t>
      </w:r>
      <w:r w:rsidRPr="003F3D10">
        <w:rPr>
          <w:rFonts w:ascii="Arial" w:eastAsia="Times New Roman" w:hAnsi="Arial" w:cs="Arial"/>
        </w:rPr>
        <w:t xml:space="preserve"> is covered by a</w:t>
      </w:r>
      <w:r>
        <w:rPr>
          <w:rFonts w:ascii="Arial" w:eastAsia="Times New Roman" w:hAnsi="Arial" w:cs="Arial"/>
        </w:rPr>
        <w:t xml:space="preserve"> </w:t>
      </w:r>
      <w:r w:rsidRPr="003F3D10">
        <w:rPr>
          <w:rFonts w:ascii="Arial" w:eastAsia="Times New Roman" w:hAnsi="Arial" w:cs="Arial"/>
        </w:rPr>
        <w:t>remediation plan</w:t>
      </w:r>
      <w:r>
        <w:rPr>
          <w:rFonts w:ascii="Arial" w:eastAsia="Times New Roman" w:hAnsi="Arial" w:cs="Arial"/>
        </w:rPr>
        <w:t xml:space="preserve"> agreed with the appropriate regulator</w:t>
      </w:r>
      <w:r w:rsidRPr="003F3D10">
        <w:rPr>
          <w:rFonts w:ascii="Arial" w:eastAsia="Times New Roman" w:hAnsi="Arial" w:cs="Arial"/>
        </w:rPr>
        <w:t xml:space="preserve"> and complies with the four use criteria above</w:t>
      </w:r>
      <w:r w:rsidR="00BE07EA">
        <w:rPr>
          <w:rFonts w:ascii="Arial" w:eastAsia="Times New Roman" w:hAnsi="Arial" w:cs="Arial"/>
        </w:rPr>
        <w:t>.</w:t>
      </w:r>
    </w:p>
    <w:p w14:paraId="742C9AA0" w14:textId="3BCCE5BD" w:rsidR="00A92666" w:rsidRDefault="005E72D5" w:rsidP="003F3D10">
      <w:pPr>
        <w:pStyle w:val="ListParagraph"/>
        <w:numPr>
          <w:ilvl w:val="0"/>
          <w:numId w:val="21"/>
        </w:numPr>
        <w:spacing w:after="240"/>
        <w:contextualSpacing w:val="0"/>
        <w:rPr>
          <w:rFonts w:ascii="Arial" w:eastAsia="Times New Roman" w:hAnsi="Arial" w:cs="Arial"/>
        </w:rPr>
      </w:pPr>
      <w:r>
        <w:rPr>
          <w:rFonts w:ascii="Arial" w:eastAsia="Times New Roman" w:hAnsi="Arial" w:cs="Arial"/>
        </w:rPr>
        <w:t>The material is</w:t>
      </w:r>
      <w:r w:rsidR="00A0698D" w:rsidRPr="003F3D10">
        <w:rPr>
          <w:rFonts w:ascii="Arial" w:eastAsia="Times New Roman" w:hAnsi="Arial" w:cs="Arial"/>
        </w:rPr>
        <w:t xml:space="preserve"> used</w:t>
      </w:r>
      <w:r w:rsidR="005533C0" w:rsidRPr="003F3D10">
        <w:rPr>
          <w:rFonts w:ascii="Arial" w:eastAsia="Times New Roman" w:hAnsi="Arial" w:cs="Arial"/>
        </w:rPr>
        <w:t xml:space="preserve"> on the </w:t>
      </w:r>
      <w:r w:rsidR="00A0698D" w:rsidRPr="003F3D10">
        <w:rPr>
          <w:rFonts w:ascii="Arial" w:eastAsia="Times New Roman" w:hAnsi="Arial" w:cs="Arial"/>
        </w:rPr>
        <w:t xml:space="preserve">same </w:t>
      </w:r>
      <w:r w:rsidR="005533C0" w:rsidRPr="003F3D10">
        <w:rPr>
          <w:rFonts w:ascii="Arial" w:eastAsia="Times New Roman" w:hAnsi="Arial" w:cs="Arial"/>
        </w:rPr>
        <w:t xml:space="preserve">site from which </w:t>
      </w:r>
      <w:r>
        <w:rPr>
          <w:rFonts w:ascii="Arial" w:eastAsia="Times New Roman" w:hAnsi="Arial" w:cs="Arial"/>
        </w:rPr>
        <w:t xml:space="preserve">it </w:t>
      </w:r>
      <w:r w:rsidR="005533C0" w:rsidRPr="003F3D10">
        <w:rPr>
          <w:rFonts w:ascii="Arial" w:eastAsia="Times New Roman" w:hAnsi="Arial" w:cs="Arial"/>
        </w:rPr>
        <w:t xml:space="preserve">was </w:t>
      </w:r>
      <w:r w:rsidR="00A0698D" w:rsidRPr="003F3D10">
        <w:rPr>
          <w:rFonts w:ascii="Arial" w:eastAsia="Times New Roman" w:hAnsi="Arial" w:cs="Arial"/>
        </w:rPr>
        <w:t>excavated</w:t>
      </w:r>
      <w:r w:rsidR="00BE07EA">
        <w:rPr>
          <w:rFonts w:ascii="Arial" w:eastAsia="Times New Roman" w:hAnsi="Arial" w:cs="Arial"/>
        </w:rPr>
        <w:t>.</w:t>
      </w:r>
      <w:r w:rsidR="005533C0" w:rsidRPr="003F3D10">
        <w:rPr>
          <w:rFonts w:ascii="Arial" w:eastAsia="Times New Roman" w:hAnsi="Arial" w:cs="Arial"/>
        </w:rPr>
        <w:t xml:space="preserve"> </w:t>
      </w:r>
    </w:p>
    <w:p w14:paraId="4492217F" w14:textId="23F77D6F" w:rsidR="00B63A6C" w:rsidRDefault="002C2F37" w:rsidP="00B63A6C">
      <w:pPr>
        <w:pStyle w:val="ListParagraph"/>
        <w:numPr>
          <w:ilvl w:val="0"/>
          <w:numId w:val="21"/>
        </w:numPr>
        <w:spacing w:after="240"/>
        <w:contextualSpacing w:val="0"/>
        <w:rPr>
          <w:rFonts w:ascii="Arial" w:eastAsia="Times New Roman" w:hAnsi="Arial" w:cs="Arial"/>
        </w:rPr>
      </w:pPr>
      <w:r w:rsidRPr="003F3D10">
        <w:rPr>
          <w:rFonts w:ascii="Arial" w:eastAsia="Times New Roman" w:hAnsi="Arial" w:cs="Arial"/>
        </w:rPr>
        <w:t xml:space="preserve">Sampling demonstrates the </w:t>
      </w:r>
      <w:r>
        <w:rPr>
          <w:rFonts w:ascii="Arial" w:eastAsia="Times New Roman" w:hAnsi="Arial" w:cs="Arial"/>
        </w:rPr>
        <w:t xml:space="preserve">treated </w:t>
      </w:r>
      <w:r w:rsidRPr="003F3D10">
        <w:rPr>
          <w:rFonts w:ascii="Arial" w:eastAsia="Times New Roman" w:hAnsi="Arial" w:cs="Arial"/>
        </w:rPr>
        <w:t xml:space="preserve">material meets the </w:t>
      </w:r>
      <w:r w:rsidR="003A0533" w:rsidRPr="003F3D10">
        <w:rPr>
          <w:rFonts w:ascii="Arial" w:eastAsia="Times New Roman" w:hAnsi="Arial" w:cs="Arial"/>
        </w:rPr>
        <w:t xml:space="preserve">agreed </w:t>
      </w:r>
      <w:r w:rsidRPr="003F3D10">
        <w:rPr>
          <w:rFonts w:ascii="Arial" w:eastAsia="Times New Roman" w:hAnsi="Arial" w:cs="Arial"/>
        </w:rPr>
        <w:t xml:space="preserve">suitability for use criteria.  </w:t>
      </w:r>
    </w:p>
    <w:p w14:paraId="42B14EC8" w14:textId="46BD9B7E" w:rsidR="00E21AB5" w:rsidRPr="009D1F03" w:rsidRDefault="003305D2" w:rsidP="009D1F03">
      <w:pPr>
        <w:pStyle w:val="Heading2"/>
      </w:pPr>
      <w:bookmarkStart w:id="4" w:name="_Toc191996570"/>
      <w:r w:rsidRPr="009D1F03">
        <w:lastRenderedPageBreak/>
        <w:t>Off-site treatment and use</w:t>
      </w:r>
      <w:r w:rsidR="00742A90" w:rsidRPr="009D1F03">
        <w:t xml:space="preserve"> – hub site</w:t>
      </w:r>
      <w:r w:rsidR="00AD0AC8" w:rsidRPr="009D1F03">
        <w:t>s</w:t>
      </w:r>
      <w:bookmarkEnd w:id="4"/>
    </w:p>
    <w:p w14:paraId="18E64947" w14:textId="27335871" w:rsidR="007C3CBA" w:rsidRPr="00CD43AA" w:rsidRDefault="007C3CBA" w:rsidP="003F3D10">
      <w:pPr>
        <w:spacing w:after="240"/>
        <w:rPr>
          <w:rFonts w:ascii="Arial" w:eastAsia="Times New Roman" w:hAnsi="Arial" w:cs="Arial"/>
        </w:rPr>
      </w:pPr>
      <w:r w:rsidRPr="00CD43AA">
        <w:rPr>
          <w:rFonts w:ascii="Arial" w:eastAsia="Times New Roman" w:hAnsi="Arial" w:cs="Arial"/>
        </w:rPr>
        <w:t xml:space="preserve">Hub sites are designed to facilitate site remediation where: </w:t>
      </w:r>
    </w:p>
    <w:p w14:paraId="5595DBE5" w14:textId="3E9650C3" w:rsidR="007C3CBA" w:rsidRPr="00CD43AA" w:rsidRDefault="007C3CBA" w:rsidP="003F3D10">
      <w:pPr>
        <w:pStyle w:val="ListParagraph"/>
        <w:numPr>
          <w:ilvl w:val="0"/>
          <w:numId w:val="23"/>
        </w:numPr>
        <w:spacing w:after="240"/>
        <w:contextualSpacing w:val="0"/>
        <w:rPr>
          <w:rFonts w:ascii="Arial" w:eastAsia="Times New Roman" w:hAnsi="Arial" w:cs="Arial"/>
        </w:rPr>
      </w:pPr>
      <w:r w:rsidRPr="00CD43AA">
        <w:rPr>
          <w:rFonts w:ascii="Arial" w:eastAsia="Times New Roman" w:hAnsi="Arial" w:cs="Arial"/>
        </w:rPr>
        <w:t>Space constraints mean the development or remediation site cannot accommodate the treatment plant</w:t>
      </w:r>
      <w:r w:rsidR="00BE07EA">
        <w:rPr>
          <w:rFonts w:ascii="Arial" w:eastAsia="Times New Roman" w:hAnsi="Arial" w:cs="Arial"/>
        </w:rPr>
        <w:t>.</w:t>
      </w:r>
    </w:p>
    <w:p w14:paraId="7121B562" w14:textId="27A51F29" w:rsidR="007C3CBA" w:rsidRPr="00CD43AA" w:rsidRDefault="007C3CBA" w:rsidP="003F3D10">
      <w:pPr>
        <w:pStyle w:val="ListParagraph"/>
        <w:numPr>
          <w:ilvl w:val="0"/>
          <w:numId w:val="23"/>
        </w:numPr>
        <w:spacing w:after="240"/>
        <w:contextualSpacing w:val="0"/>
        <w:rPr>
          <w:rFonts w:ascii="Arial" w:eastAsia="Times New Roman" w:hAnsi="Arial" w:cs="Arial"/>
        </w:rPr>
      </w:pPr>
      <w:r w:rsidRPr="00CD43AA">
        <w:rPr>
          <w:rFonts w:ascii="Arial" w:eastAsia="Times New Roman" w:hAnsi="Arial" w:cs="Arial"/>
        </w:rPr>
        <w:t>Several sites near one another require use of the same treatment plant</w:t>
      </w:r>
      <w:r w:rsidR="00BE07EA">
        <w:rPr>
          <w:rFonts w:ascii="Arial" w:eastAsia="Times New Roman" w:hAnsi="Arial" w:cs="Arial"/>
        </w:rPr>
        <w:t>.</w:t>
      </w:r>
    </w:p>
    <w:p w14:paraId="251354E2" w14:textId="39CFDE67" w:rsidR="001D3DB3" w:rsidRPr="00CD43AA" w:rsidRDefault="001D3DB3" w:rsidP="003F3D10">
      <w:pPr>
        <w:spacing w:after="240"/>
        <w:rPr>
          <w:rFonts w:ascii="Arial" w:eastAsia="Times New Roman" w:hAnsi="Arial" w:cs="Arial"/>
        </w:rPr>
      </w:pPr>
      <w:r w:rsidRPr="00CD43AA">
        <w:rPr>
          <w:rFonts w:ascii="Arial" w:eastAsia="Times New Roman" w:hAnsi="Arial" w:cs="Arial"/>
        </w:rPr>
        <w:t>A hub site is temporary and linked to specific, identified projects in advance.</w:t>
      </w:r>
      <w:r w:rsidR="00D36861" w:rsidRPr="00CD43AA">
        <w:rPr>
          <w:rFonts w:ascii="Arial" w:eastAsia="Times New Roman" w:hAnsi="Arial" w:cs="Arial"/>
        </w:rPr>
        <w:t xml:space="preserve"> </w:t>
      </w:r>
    </w:p>
    <w:p w14:paraId="544057D0" w14:textId="0FB55B0C" w:rsidR="00423B36" w:rsidRPr="003F3D10" w:rsidRDefault="003305D2" w:rsidP="003F3D10">
      <w:pPr>
        <w:spacing w:after="240"/>
        <w:rPr>
          <w:rFonts w:ascii="Arial" w:eastAsia="Times New Roman" w:hAnsi="Arial" w:cs="Arial"/>
        </w:rPr>
      </w:pPr>
      <w:r w:rsidRPr="00CD43AA">
        <w:rPr>
          <w:rFonts w:ascii="Arial" w:eastAsia="Times New Roman" w:hAnsi="Arial" w:cs="Arial"/>
        </w:rPr>
        <w:t xml:space="preserve">SEPA will consider </w:t>
      </w:r>
      <w:r w:rsidR="00454A0C" w:rsidRPr="00CD43AA">
        <w:rPr>
          <w:rFonts w:ascii="Arial" w:eastAsia="Times New Roman" w:hAnsi="Arial" w:cs="Arial"/>
        </w:rPr>
        <w:t xml:space="preserve">authorising off-site treatment </w:t>
      </w:r>
      <w:r w:rsidR="00EC6626" w:rsidRPr="00CD43AA">
        <w:rPr>
          <w:rFonts w:ascii="Arial" w:eastAsia="Times New Roman" w:hAnsi="Arial" w:cs="Arial"/>
        </w:rPr>
        <w:t xml:space="preserve">at a hub site </w:t>
      </w:r>
      <w:r w:rsidR="00454A0C" w:rsidRPr="00CD43AA">
        <w:rPr>
          <w:rFonts w:ascii="Arial" w:eastAsia="Times New Roman" w:hAnsi="Arial" w:cs="Arial"/>
        </w:rPr>
        <w:t xml:space="preserve">under a </w:t>
      </w:r>
      <w:r w:rsidR="007C3CBA" w:rsidRPr="00CD43AA">
        <w:rPr>
          <w:rFonts w:ascii="Arial" w:eastAsia="Times New Roman" w:hAnsi="Arial" w:cs="Arial"/>
        </w:rPr>
        <w:t xml:space="preserve">mobile </w:t>
      </w:r>
      <w:r w:rsidR="00454A0C" w:rsidRPr="00CD43AA">
        <w:rPr>
          <w:rFonts w:ascii="Arial" w:eastAsia="Times New Roman" w:hAnsi="Arial" w:cs="Arial"/>
        </w:rPr>
        <w:t>Land Remediation Permit</w:t>
      </w:r>
      <w:r w:rsidRPr="00CD43AA">
        <w:rPr>
          <w:rFonts w:ascii="Arial" w:eastAsia="Times New Roman" w:hAnsi="Arial" w:cs="Arial"/>
        </w:rPr>
        <w:t xml:space="preserve"> </w:t>
      </w:r>
      <w:r w:rsidR="00012307" w:rsidRPr="00CD43AA">
        <w:rPr>
          <w:rFonts w:ascii="Arial" w:eastAsia="Times New Roman" w:hAnsi="Arial" w:cs="Arial"/>
        </w:rPr>
        <w:t>subject to an agreed SSWP</w:t>
      </w:r>
      <w:r w:rsidRPr="00CD43AA">
        <w:rPr>
          <w:rFonts w:ascii="Arial" w:eastAsia="Times New Roman" w:hAnsi="Arial" w:cs="Arial"/>
        </w:rPr>
        <w:t>.</w:t>
      </w:r>
      <w:r w:rsidRPr="003F3D10">
        <w:rPr>
          <w:rFonts w:ascii="Arial" w:eastAsia="Times New Roman" w:hAnsi="Arial" w:cs="Arial"/>
        </w:rPr>
        <w:t xml:space="preserve"> </w:t>
      </w:r>
    </w:p>
    <w:p w14:paraId="720ED13D" w14:textId="66898AC7" w:rsidR="007C3CBA" w:rsidRPr="003F3D10" w:rsidRDefault="007C3CBA" w:rsidP="003F3D10">
      <w:pPr>
        <w:spacing w:after="240"/>
        <w:rPr>
          <w:rFonts w:ascii="Arial" w:eastAsia="Times New Roman" w:hAnsi="Arial" w:cs="Arial"/>
        </w:rPr>
      </w:pPr>
      <w:r w:rsidRPr="003F3D10">
        <w:rPr>
          <w:rFonts w:ascii="Arial" w:eastAsia="Times New Roman" w:hAnsi="Arial" w:cs="Arial"/>
        </w:rPr>
        <w:t xml:space="preserve">Once material has been treated </w:t>
      </w:r>
      <w:r w:rsidR="00776CAB" w:rsidRPr="003F3D10">
        <w:rPr>
          <w:rFonts w:ascii="Arial" w:eastAsia="Times New Roman" w:hAnsi="Arial" w:cs="Arial"/>
        </w:rPr>
        <w:t>at a hub site</w:t>
      </w:r>
      <w:r w:rsidRPr="003F3D10">
        <w:rPr>
          <w:rFonts w:ascii="Arial" w:eastAsia="Times New Roman" w:hAnsi="Arial" w:cs="Arial"/>
        </w:rPr>
        <w:t xml:space="preserve">, </w:t>
      </w:r>
      <w:r w:rsidR="00423B36" w:rsidRPr="003F3D10">
        <w:rPr>
          <w:rFonts w:ascii="Arial" w:eastAsia="Times New Roman" w:hAnsi="Arial" w:cs="Arial"/>
        </w:rPr>
        <w:t>it can be returned to</w:t>
      </w:r>
      <w:r w:rsidRPr="003F3D10">
        <w:rPr>
          <w:rFonts w:ascii="Arial" w:eastAsia="Times New Roman" w:hAnsi="Arial" w:cs="Arial"/>
        </w:rPr>
        <w:t xml:space="preserve"> the source site (i.e. site of excavation) without an additional </w:t>
      </w:r>
      <w:r w:rsidR="00423B36" w:rsidRPr="003F3D10">
        <w:rPr>
          <w:rFonts w:ascii="Arial" w:eastAsia="Times New Roman" w:hAnsi="Arial" w:cs="Arial"/>
        </w:rPr>
        <w:t>waste management authorisation</w:t>
      </w:r>
      <w:r w:rsidRPr="003F3D10">
        <w:rPr>
          <w:rFonts w:ascii="Arial" w:eastAsia="Times New Roman" w:hAnsi="Arial" w:cs="Arial"/>
        </w:rPr>
        <w:t xml:space="preserve"> provided: </w:t>
      </w:r>
    </w:p>
    <w:p w14:paraId="3D7E0FF0" w14:textId="60D0A184" w:rsidR="007C3CBA" w:rsidRPr="003F3D10" w:rsidRDefault="00776CAB" w:rsidP="003F3D10">
      <w:pPr>
        <w:pStyle w:val="ListParagraph"/>
        <w:numPr>
          <w:ilvl w:val="0"/>
          <w:numId w:val="25"/>
        </w:numPr>
        <w:spacing w:after="240"/>
        <w:contextualSpacing w:val="0"/>
        <w:rPr>
          <w:rFonts w:ascii="Arial" w:eastAsia="Times New Roman" w:hAnsi="Arial" w:cs="Arial"/>
        </w:rPr>
      </w:pPr>
      <w:r w:rsidRPr="003F3D10">
        <w:rPr>
          <w:rFonts w:ascii="Arial" w:eastAsia="Times New Roman" w:hAnsi="Arial" w:cs="Arial"/>
        </w:rPr>
        <w:t>T</w:t>
      </w:r>
      <w:r w:rsidR="007C3CBA" w:rsidRPr="003F3D10">
        <w:rPr>
          <w:rFonts w:ascii="Arial" w:eastAsia="Times New Roman" w:hAnsi="Arial" w:cs="Arial"/>
        </w:rPr>
        <w:t xml:space="preserve">he </w:t>
      </w:r>
      <w:r w:rsidRPr="003F3D10">
        <w:rPr>
          <w:rFonts w:ascii="Arial" w:eastAsia="Times New Roman" w:hAnsi="Arial" w:cs="Arial"/>
        </w:rPr>
        <w:t xml:space="preserve">hub site </w:t>
      </w:r>
      <w:r w:rsidR="007C3CBA" w:rsidRPr="003F3D10">
        <w:rPr>
          <w:rFonts w:ascii="Arial" w:eastAsia="Times New Roman" w:hAnsi="Arial" w:cs="Arial"/>
        </w:rPr>
        <w:t xml:space="preserve">and the </w:t>
      </w:r>
      <w:r w:rsidRPr="003F3D10">
        <w:rPr>
          <w:rFonts w:ascii="Arial" w:eastAsia="Times New Roman" w:hAnsi="Arial" w:cs="Arial"/>
        </w:rPr>
        <w:t xml:space="preserve">source / receiving site </w:t>
      </w:r>
      <w:r w:rsidR="007C3CBA" w:rsidRPr="003F3D10">
        <w:rPr>
          <w:rFonts w:ascii="Arial" w:eastAsia="Times New Roman" w:hAnsi="Arial" w:cs="Arial"/>
        </w:rPr>
        <w:t xml:space="preserve">are defined in the </w:t>
      </w:r>
      <w:r w:rsidR="00012307">
        <w:rPr>
          <w:rFonts w:ascii="Arial" w:eastAsia="Times New Roman" w:hAnsi="Arial" w:cs="Arial"/>
        </w:rPr>
        <w:t>SSWP</w:t>
      </w:r>
      <w:r w:rsidR="00D36307">
        <w:rPr>
          <w:rFonts w:ascii="Arial" w:eastAsia="Times New Roman" w:hAnsi="Arial" w:cs="Arial"/>
        </w:rPr>
        <w:t>.</w:t>
      </w:r>
      <w:r w:rsidR="007C3CBA" w:rsidRPr="003F3D10">
        <w:rPr>
          <w:rFonts w:ascii="Arial" w:eastAsia="Times New Roman" w:hAnsi="Arial" w:cs="Arial"/>
        </w:rPr>
        <w:t xml:space="preserve"> </w:t>
      </w:r>
    </w:p>
    <w:p w14:paraId="670B01E6" w14:textId="3ED1338C" w:rsidR="00435C16" w:rsidRPr="003F3D10" w:rsidRDefault="00435C16" w:rsidP="003F3D10">
      <w:pPr>
        <w:pStyle w:val="ListParagraph"/>
        <w:numPr>
          <w:ilvl w:val="0"/>
          <w:numId w:val="25"/>
        </w:numPr>
        <w:spacing w:after="240"/>
        <w:contextualSpacing w:val="0"/>
        <w:rPr>
          <w:rFonts w:ascii="Arial" w:eastAsia="Times New Roman" w:hAnsi="Arial" w:cs="Arial"/>
        </w:rPr>
      </w:pPr>
      <w:r w:rsidRPr="003F3D10">
        <w:rPr>
          <w:rFonts w:ascii="Arial" w:eastAsia="Times New Roman" w:hAnsi="Arial" w:cs="Arial"/>
        </w:rPr>
        <w:t>Soils from different sites are not mixed. Treatment areas, stockpiles, biopiles, etc at the treatment site must ensure segregation of materials</w:t>
      </w:r>
      <w:r w:rsidR="00D36307">
        <w:rPr>
          <w:rFonts w:ascii="Arial" w:eastAsia="Times New Roman" w:hAnsi="Arial" w:cs="Arial"/>
        </w:rPr>
        <w:t>.</w:t>
      </w:r>
      <w:r w:rsidRPr="003F3D10">
        <w:rPr>
          <w:rFonts w:ascii="Arial" w:eastAsia="Times New Roman" w:hAnsi="Arial" w:cs="Arial"/>
        </w:rPr>
        <w:t xml:space="preserve"> </w:t>
      </w:r>
    </w:p>
    <w:p w14:paraId="4C3AC671" w14:textId="4E672CF9" w:rsidR="003001CE" w:rsidRPr="003F3D10" w:rsidRDefault="007C3CBA" w:rsidP="003F3D10">
      <w:pPr>
        <w:pStyle w:val="ListParagraph"/>
        <w:numPr>
          <w:ilvl w:val="0"/>
          <w:numId w:val="25"/>
        </w:numPr>
        <w:spacing w:after="240"/>
        <w:ind w:left="714" w:hanging="357"/>
        <w:contextualSpacing w:val="0"/>
        <w:rPr>
          <w:rFonts w:ascii="Arial" w:eastAsia="Times New Roman" w:hAnsi="Arial" w:cs="Arial"/>
        </w:rPr>
      </w:pPr>
      <w:r w:rsidRPr="003F3D10">
        <w:rPr>
          <w:rFonts w:ascii="Arial" w:eastAsia="Times New Roman" w:hAnsi="Arial" w:cs="Arial"/>
        </w:rPr>
        <w:t>A full mass balance approach has been taken that shows quantities imported</w:t>
      </w:r>
      <w:r w:rsidR="00435C16" w:rsidRPr="003F3D10">
        <w:rPr>
          <w:rFonts w:ascii="Arial" w:eastAsia="Times New Roman" w:hAnsi="Arial" w:cs="Arial"/>
        </w:rPr>
        <w:t>, treated</w:t>
      </w:r>
      <w:r w:rsidRPr="003F3D10">
        <w:rPr>
          <w:rFonts w:ascii="Arial" w:eastAsia="Times New Roman" w:hAnsi="Arial" w:cs="Arial"/>
        </w:rPr>
        <w:t xml:space="preserve"> and exported, matched to transfer notes/consignment notes</w:t>
      </w:r>
      <w:r w:rsidR="00D36307">
        <w:rPr>
          <w:rFonts w:ascii="Arial" w:eastAsia="Times New Roman" w:hAnsi="Arial" w:cs="Arial"/>
        </w:rPr>
        <w:t>.</w:t>
      </w:r>
    </w:p>
    <w:p w14:paraId="39F23816" w14:textId="673535E1" w:rsidR="00855D4F" w:rsidRPr="003F3D10" w:rsidRDefault="00855D4F" w:rsidP="00855D4F">
      <w:pPr>
        <w:pStyle w:val="ListParagraph"/>
        <w:numPr>
          <w:ilvl w:val="0"/>
          <w:numId w:val="27"/>
        </w:numPr>
        <w:spacing w:after="240"/>
        <w:contextualSpacing w:val="0"/>
        <w:rPr>
          <w:rFonts w:ascii="Arial" w:eastAsia="Times New Roman" w:hAnsi="Arial" w:cs="Arial"/>
        </w:rPr>
      </w:pPr>
      <w:r>
        <w:rPr>
          <w:rFonts w:ascii="Arial" w:eastAsia="Times New Roman" w:hAnsi="Arial" w:cs="Arial"/>
        </w:rPr>
        <w:t>The use</w:t>
      </w:r>
      <w:r w:rsidRPr="003F3D10">
        <w:rPr>
          <w:rFonts w:ascii="Arial" w:eastAsia="Times New Roman" w:hAnsi="Arial" w:cs="Arial"/>
        </w:rPr>
        <w:t xml:space="preserve"> is covered by a</w:t>
      </w:r>
      <w:r>
        <w:rPr>
          <w:rFonts w:ascii="Arial" w:eastAsia="Times New Roman" w:hAnsi="Arial" w:cs="Arial"/>
        </w:rPr>
        <w:t xml:space="preserve"> </w:t>
      </w:r>
      <w:r w:rsidRPr="003F3D10">
        <w:rPr>
          <w:rFonts w:ascii="Arial" w:eastAsia="Times New Roman" w:hAnsi="Arial" w:cs="Arial"/>
        </w:rPr>
        <w:t>remediation plan</w:t>
      </w:r>
      <w:r>
        <w:rPr>
          <w:rFonts w:ascii="Arial" w:eastAsia="Times New Roman" w:hAnsi="Arial" w:cs="Arial"/>
        </w:rPr>
        <w:t xml:space="preserve"> agreed with the appropriate regulator</w:t>
      </w:r>
      <w:r w:rsidRPr="003F3D10">
        <w:rPr>
          <w:rFonts w:ascii="Arial" w:eastAsia="Times New Roman" w:hAnsi="Arial" w:cs="Arial"/>
        </w:rPr>
        <w:t xml:space="preserve"> and complies with the four use criteria above</w:t>
      </w:r>
      <w:r w:rsidR="00D36307">
        <w:rPr>
          <w:rFonts w:ascii="Arial" w:eastAsia="Times New Roman" w:hAnsi="Arial" w:cs="Arial"/>
        </w:rPr>
        <w:t>.</w:t>
      </w:r>
    </w:p>
    <w:p w14:paraId="40A7D281" w14:textId="7F60E861" w:rsidR="00435C16" w:rsidRPr="003F3D10" w:rsidRDefault="003001CE" w:rsidP="003F3D10">
      <w:pPr>
        <w:pStyle w:val="ListParagraph"/>
        <w:numPr>
          <w:ilvl w:val="0"/>
          <w:numId w:val="27"/>
        </w:numPr>
        <w:spacing w:after="240"/>
        <w:ind w:left="714" w:hanging="357"/>
        <w:contextualSpacing w:val="0"/>
        <w:rPr>
          <w:rFonts w:ascii="Arial" w:eastAsia="Times New Roman" w:hAnsi="Arial" w:cs="Arial"/>
        </w:rPr>
      </w:pPr>
      <w:r w:rsidRPr="003F3D10">
        <w:rPr>
          <w:rFonts w:ascii="Arial" w:eastAsia="Times New Roman" w:hAnsi="Arial" w:cs="Arial"/>
        </w:rPr>
        <w:t xml:space="preserve">Sampling demonstrates the material treated on the site meets the suitability for use criteria agreed for the </w:t>
      </w:r>
      <w:r w:rsidR="00750A5B" w:rsidRPr="003F3D10">
        <w:rPr>
          <w:rFonts w:ascii="Arial" w:eastAsia="Times New Roman" w:hAnsi="Arial" w:cs="Arial"/>
        </w:rPr>
        <w:t>receiving</w:t>
      </w:r>
      <w:r w:rsidRPr="003F3D10">
        <w:rPr>
          <w:rFonts w:ascii="Arial" w:eastAsia="Times New Roman" w:hAnsi="Arial" w:cs="Arial"/>
        </w:rPr>
        <w:t xml:space="preserve"> site</w:t>
      </w:r>
      <w:r w:rsidR="00D36307">
        <w:rPr>
          <w:rFonts w:ascii="Arial" w:eastAsia="Times New Roman" w:hAnsi="Arial" w:cs="Arial"/>
        </w:rPr>
        <w:t>.</w:t>
      </w:r>
    </w:p>
    <w:p w14:paraId="216CEA9D" w14:textId="753017B1" w:rsidR="007C3CBA" w:rsidRPr="003F3D10" w:rsidRDefault="007C3CBA" w:rsidP="003F3D10">
      <w:pPr>
        <w:spacing w:after="240"/>
        <w:rPr>
          <w:rFonts w:ascii="Arial" w:eastAsia="Times New Roman" w:hAnsi="Arial" w:cs="Arial"/>
        </w:rPr>
      </w:pPr>
      <w:r w:rsidRPr="003F3D10">
        <w:rPr>
          <w:rFonts w:ascii="Arial" w:eastAsia="Times New Roman" w:hAnsi="Arial" w:cs="Arial"/>
        </w:rPr>
        <w:t xml:space="preserve">Material used anywhere other than the site of excavation will require a separate waste management authorisation. </w:t>
      </w:r>
    </w:p>
    <w:p w14:paraId="310BDED7" w14:textId="77777777" w:rsidR="00742A90" w:rsidRPr="003F3D10" w:rsidRDefault="00742A90" w:rsidP="003F3D10">
      <w:pPr>
        <w:pStyle w:val="Heading2"/>
      </w:pPr>
      <w:bookmarkStart w:id="5" w:name="_Toc191996571"/>
      <w:r w:rsidRPr="003F3D10">
        <w:lastRenderedPageBreak/>
        <w:t>Fixed Soil Treatment Facilities</w:t>
      </w:r>
      <w:bookmarkEnd w:id="5"/>
    </w:p>
    <w:p w14:paraId="40F6B281" w14:textId="1BF0C48A" w:rsidR="00D909AA" w:rsidRPr="003F3D10" w:rsidRDefault="00BC10A0" w:rsidP="003F3D10">
      <w:pPr>
        <w:spacing w:after="240"/>
        <w:rPr>
          <w:rFonts w:ascii="Arial" w:eastAsia="Times New Roman" w:hAnsi="Arial" w:cs="Arial"/>
        </w:rPr>
      </w:pPr>
      <w:r w:rsidRPr="003F3D10">
        <w:rPr>
          <w:rFonts w:ascii="Arial" w:eastAsia="Times New Roman" w:hAnsi="Arial" w:cs="Arial"/>
        </w:rPr>
        <w:t xml:space="preserve">A fixed STF is established on a permanent basis and accepts wastes from a variety of waste producers. It is not linked to a specific </w:t>
      </w:r>
      <w:r w:rsidR="00D909AA" w:rsidRPr="003F3D10">
        <w:rPr>
          <w:rFonts w:ascii="Arial" w:eastAsia="Times New Roman" w:hAnsi="Arial" w:cs="Arial"/>
        </w:rPr>
        <w:t xml:space="preserve">project or have a pre-determined plan for where treated wastes will be used. </w:t>
      </w:r>
    </w:p>
    <w:p w14:paraId="350DDEB7" w14:textId="48EB30EC" w:rsidR="001D0876" w:rsidRPr="003F3D10" w:rsidRDefault="001D0876" w:rsidP="003F3D10">
      <w:pPr>
        <w:spacing w:after="240"/>
        <w:rPr>
          <w:rFonts w:ascii="Arial" w:eastAsia="Times New Roman" w:hAnsi="Arial" w:cs="Arial"/>
        </w:rPr>
      </w:pPr>
      <w:r w:rsidRPr="003F3D10">
        <w:rPr>
          <w:rFonts w:ascii="Arial" w:eastAsia="Times New Roman" w:hAnsi="Arial" w:cs="Arial"/>
        </w:rPr>
        <w:t>Fixed soil treatment facilities</w:t>
      </w:r>
      <w:r w:rsidR="001974F3" w:rsidRPr="003F3D10">
        <w:rPr>
          <w:rFonts w:ascii="Arial" w:eastAsia="Times New Roman" w:hAnsi="Arial" w:cs="Arial"/>
        </w:rPr>
        <w:t xml:space="preserve"> require a </w:t>
      </w:r>
      <w:r w:rsidR="00E94E48" w:rsidRPr="003F3D10">
        <w:rPr>
          <w:rFonts w:ascii="Arial" w:eastAsia="Times New Roman" w:hAnsi="Arial" w:cs="Arial"/>
        </w:rPr>
        <w:t>site-based</w:t>
      </w:r>
      <w:r w:rsidR="001974F3" w:rsidRPr="003F3D10">
        <w:rPr>
          <w:rFonts w:ascii="Arial" w:eastAsia="Times New Roman" w:hAnsi="Arial" w:cs="Arial"/>
        </w:rPr>
        <w:t xml:space="preserve"> waste management permit and will not be </w:t>
      </w:r>
      <w:r w:rsidR="000D5FD5" w:rsidRPr="003F3D10">
        <w:rPr>
          <w:rFonts w:ascii="Arial" w:eastAsia="Times New Roman" w:hAnsi="Arial" w:cs="Arial"/>
        </w:rPr>
        <w:t>authorised</w:t>
      </w:r>
      <w:r w:rsidR="001974F3" w:rsidRPr="003F3D10">
        <w:rPr>
          <w:rFonts w:ascii="Arial" w:eastAsia="Times New Roman" w:hAnsi="Arial" w:cs="Arial"/>
        </w:rPr>
        <w:t xml:space="preserve"> by a mobile Land Remediation Permit. </w:t>
      </w:r>
    </w:p>
    <w:p w14:paraId="7F1859A0" w14:textId="4C667DB2" w:rsidR="007134C2" w:rsidRPr="003F3D10" w:rsidRDefault="007134C2" w:rsidP="003F3D10">
      <w:pPr>
        <w:spacing w:after="240"/>
        <w:rPr>
          <w:rFonts w:ascii="Arial" w:eastAsia="Times New Roman" w:hAnsi="Arial" w:cs="Arial"/>
        </w:rPr>
      </w:pPr>
      <w:r w:rsidRPr="003F3D10">
        <w:rPr>
          <w:rFonts w:ascii="Arial" w:eastAsia="Times New Roman" w:hAnsi="Arial" w:cs="Arial"/>
        </w:rPr>
        <w:t xml:space="preserve">A fixed STF may perform the role of a </w:t>
      </w:r>
      <w:r w:rsidR="001D0876" w:rsidRPr="003F3D10">
        <w:rPr>
          <w:rFonts w:ascii="Arial" w:eastAsia="Times New Roman" w:hAnsi="Arial" w:cs="Arial"/>
        </w:rPr>
        <w:t>h</w:t>
      </w:r>
      <w:r w:rsidRPr="003F3D10">
        <w:rPr>
          <w:rFonts w:ascii="Arial" w:eastAsia="Times New Roman" w:hAnsi="Arial" w:cs="Arial"/>
        </w:rPr>
        <w:t>ub site</w:t>
      </w:r>
      <w:r w:rsidR="00A00C79" w:rsidRPr="003F3D10">
        <w:rPr>
          <w:rFonts w:ascii="Arial" w:eastAsia="Times New Roman" w:hAnsi="Arial" w:cs="Arial"/>
        </w:rPr>
        <w:t xml:space="preserve"> where treated material can be returned to the source site without an additional waste management authorisation provided the conditions above are met</w:t>
      </w:r>
      <w:r w:rsidRPr="003F3D10">
        <w:rPr>
          <w:rFonts w:ascii="Arial" w:eastAsia="Times New Roman" w:hAnsi="Arial" w:cs="Arial"/>
        </w:rPr>
        <w:t xml:space="preserve">. </w:t>
      </w:r>
    </w:p>
    <w:p w14:paraId="45741659" w14:textId="77777777" w:rsidR="007134C2" w:rsidRPr="003F3D10" w:rsidRDefault="007134C2" w:rsidP="003F3D10">
      <w:pPr>
        <w:pStyle w:val="Heading2"/>
      </w:pPr>
      <w:bookmarkStart w:id="6" w:name="_Toc191996572"/>
      <w:r w:rsidRPr="003F3D10">
        <w:t>Site specific working plan</w:t>
      </w:r>
      <w:bookmarkEnd w:id="6"/>
      <w:r w:rsidRPr="003F3D10">
        <w:t xml:space="preserve"> </w:t>
      </w:r>
    </w:p>
    <w:p w14:paraId="118A2C9A" w14:textId="62DAD406" w:rsidR="007134C2" w:rsidRPr="003F3D10" w:rsidRDefault="007134C2" w:rsidP="003F3D10">
      <w:pPr>
        <w:spacing w:after="240"/>
        <w:rPr>
          <w:rFonts w:ascii="Arial" w:eastAsia="Times New Roman" w:hAnsi="Arial" w:cs="Arial"/>
        </w:rPr>
      </w:pPr>
      <w:r w:rsidRPr="003F3D10">
        <w:rPr>
          <w:rFonts w:ascii="Arial" w:eastAsia="Times New Roman" w:hAnsi="Arial" w:cs="Arial"/>
        </w:rPr>
        <w:t xml:space="preserve">Before a Land Remediation Permit is used </w:t>
      </w:r>
      <w:r w:rsidR="00E92F1E" w:rsidRPr="003F3D10">
        <w:rPr>
          <w:rFonts w:ascii="Arial" w:eastAsia="Times New Roman" w:hAnsi="Arial" w:cs="Arial"/>
        </w:rPr>
        <w:t>at a remediation site or hub site</w:t>
      </w:r>
      <w:r w:rsidRPr="003F3D10">
        <w:rPr>
          <w:rFonts w:ascii="Arial" w:eastAsia="Times New Roman" w:hAnsi="Arial" w:cs="Arial"/>
        </w:rPr>
        <w:t>, a</w:t>
      </w:r>
      <w:r w:rsidR="00C1650F">
        <w:rPr>
          <w:rFonts w:ascii="Arial" w:eastAsia="Times New Roman" w:hAnsi="Arial" w:cs="Arial"/>
        </w:rPr>
        <w:t xml:space="preserve"> SSWP </w:t>
      </w:r>
      <w:r w:rsidRPr="003F3D10">
        <w:rPr>
          <w:rFonts w:ascii="Arial" w:eastAsia="Times New Roman" w:hAnsi="Arial" w:cs="Arial"/>
        </w:rPr>
        <w:t xml:space="preserve">must be agreed with SEPA. </w:t>
      </w:r>
    </w:p>
    <w:p w14:paraId="627699B7" w14:textId="1CA763D3" w:rsidR="007134C2" w:rsidRPr="003F3D10" w:rsidRDefault="00CC1B40" w:rsidP="003F3D10">
      <w:pPr>
        <w:spacing w:after="240"/>
        <w:rPr>
          <w:rFonts w:ascii="Arial" w:hAnsi="Arial" w:cs="Arial"/>
        </w:rPr>
      </w:pPr>
      <w:r w:rsidRPr="003F3D10">
        <w:rPr>
          <w:rFonts w:ascii="Arial" w:eastAsia="Times New Roman" w:hAnsi="Arial" w:cs="Arial"/>
        </w:rPr>
        <w:t>W</w:t>
      </w:r>
      <w:r w:rsidR="007134C2" w:rsidRPr="003F3D10">
        <w:rPr>
          <w:rFonts w:ascii="Arial" w:eastAsia="Times New Roman" w:hAnsi="Arial" w:cs="Arial"/>
        </w:rPr>
        <w:t xml:space="preserve">here treated </w:t>
      </w:r>
      <w:r w:rsidRPr="003F3D10">
        <w:rPr>
          <w:rFonts w:ascii="Arial" w:eastAsia="Times New Roman" w:hAnsi="Arial" w:cs="Arial"/>
        </w:rPr>
        <w:t>materials are</w:t>
      </w:r>
      <w:r w:rsidR="007134C2" w:rsidRPr="003F3D10">
        <w:rPr>
          <w:rFonts w:ascii="Arial" w:eastAsia="Times New Roman" w:hAnsi="Arial" w:cs="Arial"/>
        </w:rPr>
        <w:t xml:space="preserve"> to be used on the site of excavation</w:t>
      </w:r>
      <w:r w:rsidR="007134C2" w:rsidRPr="003F3D10">
        <w:rPr>
          <w:rFonts w:ascii="Arial" w:hAnsi="Arial" w:cs="Arial"/>
        </w:rPr>
        <w:t xml:space="preserve">, the </w:t>
      </w:r>
      <w:r w:rsidR="005F7ED8" w:rsidRPr="003F3D10">
        <w:rPr>
          <w:rFonts w:ascii="Arial" w:hAnsi="Arial" w:cs="Arial"/>
        </w:rPr>
        <w:t>site-specific working plan</w:t>
      </w:r>
      <w:r w:rsidR="007134C2" w:rsidRPr="003F3D10">
        <w:rPr>
          <w:rFonts w:ascii="Arial" w:hAnsi="Arial" w:cs="Arial"/>
        </w:rPr>
        <w:t xml:space="preserve"> must </w:t>
      </w:r>
      <w:r w:rsidR="005F7ED8" w:rsidRPr="003F3D10">
        <w:rPr>
          <w:rFonts w:ascii="Arial" w:hAnsi="Arial" w:cs="Arial"/>
        </w:rPr>
        <w:t xml:space="preserve">include </w:t>
      </w:r>
      <w:r w:rsidR="007134C2" w:rsidRPr="003F3D10">
        <w:rPr>
          <w:rFonts w:ascii="Arial" w:hAnsi="Arial" w:cs="Arial"/>
        </w:rPr>
        <w:t xml:space="preserve">details of the proposed use and the treatment targets. Extracts from a remediation plan agreed with the local authority (or SEPA) must form part of this evidence. In general, SEPA will not scrutinise the derivation of treatment targets agreed with a local authority. </w:t>
      </w:r>
    </w:p>
    <w:p w14:paraId="7AF3EE33" w14:textId="2D3AF29C" w:rsidR="007134C2" w:rsidRPr="003F3D10" w:rsidRDefault="007134C2" w:rsidP="003F3D10">
      <w:pPr>
        <w:spacing w:after="240"/>
        <w:rPr>
          <w:rFonts w:ascii="Arial" w:hAnsi="Arial" w:cs="Arial"/>
        </w:rPr>
      </w:pPr>
      <w:r w:rsidRPr="003F3D10">
        <w:rPr>
          <w:rFonts w:ascii="Arial" w:hAnsi="Arial" w:cs="Arial"/>
        </w:rPr>
        <w:t xml:space="preserve">Following treatment, SEPA will require </w:t>
      </w:r>
      <w:r w:rsidR="00E92F1E" w:rsidRPr="003F3D10">
        <w:rPr>
          <w:rFonts w:ascii="Arial" w:hAnsi="Arial" w:cs="Arial"/>
        </w:rPr>
        <w:t>confirmation</w:t>
      </w:r>
      <w:r w:rsidRPr="003F3D10">
        <w:rPr>
          <w:rFonts w:ascii="Arial" w:hAnsi="Arial" w:cs="Arial"/>
        </w:rPr>
        <w:t xml:space="preserve"> that: </w:t>
      </w:r>
    </w:p>
    <w:p w14:paraId="7B0609DE" w14:textId="4714F313" w:rsidR="007134C2" w:rsidRPr="003F3D10" w:rsidRDefault="00D36307" w:rsidP="003F3D10">
      <w:pPr>
        <w:pStyle w:val="ListParagraph"/>
        <w:numPr>
          <w:ilvl w:val="0"/>
          <w:numId w:val="22"/>
        </w:numPr>
        <w:spacing w:after="240"/>
        <w:contextualSpacing w:val="0"/>
        <w:rPr>
          <w:rFonts w:ascii="Arial" w:hAnsi="Arial" w:cs="Arial"/>
        </w:rPr>
      </w:pPr>
      <w:r>
        <w:rPr>
          <w:rFonts w:ascii="Arial" w:hAnsi="Arial" w:cs="Arial"/>
        </w:rPr>
        <w:t>T</w:t>
      </w:r>
      <w:r w:rsidR="007134C2" w:rsidRPr="003F3D10">
        <w:rPr>
          <w:rFonts w:ascii="Arial" w:hAnsi="Arial" w:cs="Arial"/>
        </w:rPr>
        <w:t>he soil</w:t>
      </w:r>
      <w:r w:rsidR="002A24B5">
        <w:rPr>
          <w:rFonts w:ascii="Arial" w:hAnsi="Arial" w:cs="Arial"/>
        </w:rPr>
        <w:t>, materials or groundwater</w:t>
      </w:r>
      <w:r w:rsidR="007134C2" w:rsidRPr="003F3D10">
        <w:rPr>
          <w:rFonts w:ascii="Arial" w:hAnsi="Arial" w:cs="Arial"/>
        </w:rPr>
        <w:t xml:space="preserve"> has been treated successfully</w:t>
      </w:r>
      <w:r>
        <w:rPr>
          <w:rFonts w:ascii="Arial" w:hAnsi="Arial" w:cs="Arial"/>
        </w:rPr>
        <w:t>.</w:t>
      </w:r>
    </w:p>
    <w:p w14:paraId="31B586DB" w14:textId="5AB22235" w:rsidR="007134C2" w:rsidRDefault="00D36307" w:rsidP="003F3D10">
      <w:pPr>
        <w:pStyle w:val="ListParagraph"/>
        <w:numPr>
          <w:ilvl w:val="0"/>
          <w:numId w:val="22"/>
        </w:numPr>
        <w:spacing w:after="240"/>
        <w:contextualSpacing w:val="0"/>
        <w:rPr>
          <w:rFonts w:ascii="Arial" w:hAnsi="Arial" w:cs="Arial"/>
        </w:rPr>
      </w:pPr>
      <w:r>
        <w:rPr>
          <w:rFonts w:ascii="Arial" w:hAnsi="Arial" w:cs="Arial"/>
        </w:rPr>
        <w:t>T</w:t>
      </w:r>
      <w:r w:rsidR="007134C2" w:rsidRPr="003F3D10">
        <w:rPr>
          <w:rFonts w:ascii="Arial" w:hAnsi="Arial" w:cs="Arial"/>
        </w:rPr>
        <w:t>he treatment targets have been met</w:t>
      </w:r>
      <w:r>
        <w:rPr>
          <w:rFonts w:ascii="Arial" w:hAnsi="Arial" w:cs="Arial"/>
        </w:rPr>
        <w:t>.</w:t>
      </w:r>
    </w:p>
    <w:p w14:paraId="48AA0ACC" w14:textId="2190FA8B" w:rsidR="000574E7" w:rsidRPr="00D318F1" w:rsidRDefault="00D36307" w:rsidP="003F3D10">
      <w:pPr>
        <w:pStyle w:val="ListParagraph"/>
        <w:numPr>
          <w:ilvl w:val="0"/>
          <w:numId w:val="22"/>
        </w:numPr>
        <w:spacing w:after="240"/>
        <w:contextualSpacing w:val="0"/>
        <w:rPr>
          <w:rFonts w:ascii="Arial" w:hAnsi="Arial" w:cs="Arial"/>
        </w:rPr>
      </w:pPr>
      <w:r>
        <w:rPr>
          <w:rFonts w:ascii="Arial" w:hAnsi="Arial" w:cs="Arial"/>
        </w:rPr>
        <w:t>T</w:t>
      </w:r>
      <w:r w:rsidR="000574E7" w:rsidRPr="00D318F1">
        <w:rPr>
          <w:rFonts w:ascii="Arial" w:hAnsi="Arial" w:cs="Arial"/>
        </w:rPr>
        <w:t xml:space="preserve">reated </w:t>
      </w:r>
      <w:r w:rsidR="002A24B5" w:rsidRPr="00D318F1">
        <w:rPr>
          <w:rFonts w:ascii="Arial" w:hAnsi="Arial" w:cs="Arial"/>
        </w:rPr>
        <w:t xml:space="preserve">soils, </w:t>
      </w:r>
      <w:r w:rsidR="000574E7" w:rsidRPr="00D318F1">
        <w:rPr>
          <w:rFonts w:ascii="Arial" w:hAnsi="Arial" w:cs="Arial"/>
        </w:rPr>
        <w:t>materials</w:t>
      </w:r>
      <w:r w:rsidR="002A24B5" w:rsidRPr="00D318F1">
        <w:rPr>
          <w:rFonts w:ascii="Arial" w:hAnsi="Arial" w:cs="Arial"/>
        </w:rPr>
        <w:t xml:space="preserve"> or groundwater</w:t>
      </w:r>
      <w:r w:rsidR="000574E7" w:rsidRPr="00D318F1">
        <w:rPr>
          <w:rFonts w:ascii="Arial" w:hAnsi="Arial" w:cs="Arial"/>
        </w:rPr>
        <w:t xml:space="preserve"> have been used or discharged in accordance with the SSWP</w:t>
      </w:r>
      <w:r>
        <w:rPr>
          <w:rFonts w:ascii="Arial" w:hAnsi="Arial" w:cs="Arial"/>
        </w:rPr>
        <w:t>.</w:t>
      </w:r>
    </w:p>
    <w:p w14:paraId="3C6A035F" w14:textId="5F40F654" w:rsidR="006243FF" w:rsidRDefault="007134C2" w:rsidP="003F3D10">
      <w:pPr>
        <w:spacing w:after="240"/>
        <w:rPr>
          <w:rFonts w:ascii="Arial" w:hAnsi="Arial" w:cs="Arial"/>
        </w:rPr>
      </w:pPr>
      <w:r w:rsidRPr="003F3D10">
        <w:rPr>
          <w:rFonts w:ascii="Arial" w:hAnsi="Arial" w:cs="Arial"/>
        </w:rPr>
        <w:t>Any change of use due to unsuccessful treatment should be discussed with SEPA and the local authority (where appropriate) before the material is used. Relevant updates to the site-specific working plan should be provided as required. Once the use of treated soils is complete, records showing the final soil quality and location must be submitted to SEPA</w:t>
      </w:r>
      <w:r w:rsidR="00032309" w:rsidRPr="003F3D10">
        <w:rPr>
          <w:rFonts w:ascii="Arial" w:hAnsi="Arial" w:cs="Arial"/>
        </w:rPr>
        <w:t>.</w:t>
      </w:r>
    </w:p>
    <w:p w14:paraId="07348DB8" w14:textId="77777777" w:rsidR="00563B94" w:rsidRPr="004C2196" w:rsidRDefault="00563B94" w:rsidP="00563B94">
      <w:pPr>
        <w:rPr>
          <w:rFonts w:ascii="Arial" w:eastAsia="Times New Roman" w:hAnsi="Arial" w:cs="Arial"/>
          <w:b/>
          <w:bCs/>
          <w:color w:val="016574" w:themeColor="accent6"/>
          <w:sz w:val="32"/>
          <w:szCs w:val="32"/>
        </w:rPr>
      </w:pPr>
      <w:r w:rsidRPr="004C2196">
        <w:rPr>
          <w:rFonts w:ascii="Arial" w:eastAsia="Times New Roman" w:hAnsi="Arial" w:cs="Arial"/>
          <w:b/>
          <w:bCs/>
          <w:color w:val="016574" w:themeColor="accent6"/>
          <w:sz w:val="32"/>
          <w:szCs w:val="32"/>
        </w:rPr>
        <w:lastRenderedPageBreak/>
        <w:t>Disclaimer </w:t>
      </w:r>
    </w:p>
    <w:p w14:paraId="0F7F451D" w14:textId="77777777" w:rsidR="004D2B55" w:rsidRPr="004D2B55" w:rsidRDefault="004D2B55" w:rsidP="004D2B55">
      <w:pPr>
        <w:spacing w:after="240"/>
        <w:rPr>
          <w:rFonts w:ascii="Arial" w:eastAsia="Times New Roman" w:hAnsi="Arial" w:cs="Arial"/>
        </w:rPr>
      </w:pPr>
      <w:r w:rsidRPr="004D2B55">
        <w:rPr>
          <w:rFonts w:ascii="Arial" w:eastAsia="Times New Roman" w:hAnsi="Arial" w:cs="Arial"/>
        </w:rPr>
        <w:t xml:space="preserve">This guidance is based on the law as it stood when the guidance was published. </w:t>
      </w:r>
    </w:p>
    <w:p w14:paraId="208B2FE5" w14:textId="77777777" w:rsidR="004D2B55" w:rsidRPr="004D2B55" w:rsidRDefault="004D2B55" w:rsidP="004D2B55">
      <w:pPr>
        <w:spacing w:after="240"/>
        <w:rPr>
          <w:rFonts w:ascii="Arial" w:eastAsia="Times New Roman" w:hAnsi="Arial" w:cs="Arial"/>
        </w:rPr>
      </w:pPr>
      <w:r w:rsidRPr="004D2B55">
        <w:rPr>
          <w:rFonts w:ascii="Arial" w:eastAsia="Times New Roman" w:hAnsi="Arial" w:cs="Arial"/>
        </w:rPr>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16B92D2D" w14:textId="77777777" w:rsidR="004D2B55" w:rsidRPr="004D2B55" w:rsidRDefault="004D2B55" w:rsidP="004D2B55">
      <w:pPr>
        <w:numPr>
          <w:ilvl w:val="0"/>
          <w:numId w:val="31"/>
        </w:numPr>
        <w:spacing w:after="240"/>
        <w:rPr>
          <w:rFonts w:ascii="Arial" w:eastAsia="Times New Roman" w:hAnsi="Arial" w:cs="Arial"/>
        </w:rPr>
      </w:pPr>
      <w:r w:rsidRPr="004D2B55">
        <w:rPr>
          <w:rFonts w:ascii="Arial" w:eastAsia="Times New Roman" w:hAnsi="Arial" w:cs="Arial"/>
        </w:rPr>
        <w:t>any direct, indirect and consequential losses</w:t>
      </w:r>
    </w:p>
    <w:p w14:paraId="5906C7AD" w14:textId="77777777" w:rsidR="004D2B55" w:rsidRPr="004D2B55" w:rsidRDefault="004D2B55" w:rsidP="004D2B55">
      <w:pPr>
        <w:numPr>
          <w:ilvl w:val="0"/>
          <w:numId w:val="31"/>
        </w:numPr>
        <w:spacing w:after="240"/>
        <w:rPr>
          <w:rFonts w:ascii="Arial" w:eastAsia="Times New Roman" w:hAnsi="Arial" w:cs="Arial"/>
        </w:rPr>
      </w:pPr>
      <w:r w:rsidRPr="004D2B55">
        <w:rPr>
          <w:rFonts w:ascii="Arial" w:eastAsia="Times New Roman" w:hAnsi="Arial" w:cs="Arial"/>
        </w:rPr>
        <w:t>any loss or damage caused by civil wrongs, breach of contract or otherwise</w:t>
      </w:r>
    </w:p>
    <w:p w14:paraId="742717C1" w14:textId="77777777" w:rsidR="004D2B55" w:rsidRPr="004D2B55" w:rsidRDefault="004D2B55" w:rsidP="004D2B55">
      <w:pPr>
        <w:spacing w:after="240"/>
        <w:rPr>
          <w:rFonts w:ascii="Arial" w:eastAsia="Times New Roman" w:hAnsi="Arial" w:cs="Arial"/>
        </w:rPr>
      </w:pPr>
      <w:r w:rsidRPr="004D2B55">
        <w:rPr>
          <w:rFonts w:ascii="Arial" w:eastAsia="Times New Roman" w:hAnsi="Arial" w:cs="Arial"/>
        </w:rPr>
        <w:t>SEPA reserves the right to depart from this guidance and take appropriate action as it considers necessary or appropriate.  Applicants and authorised persons are responsible for ensuring that they are compliant with the law. If necessary, independent legal / specialist advice should be sought.</w:t>
      </w:r>
    </w:p>
    <w:p w14:paraId="4D59C056" w14:textId="77777777" w:rsidR="00563B94" w:rsidRPr="00575C74" w:rsidRDefault="00563B94" w:rsidP="003F3D10">
      <w:pPr>
        <w:spacing w:after="240"/>
        <w:rPr>
          <w:rFonts w:ascii="Arial" w:hAnsi="Arial" w:cs="Arial"/>
        </w:rPr>
      </w:pPr>
    </w:p>
    <w:sectPr w:rsidR="00563B94" w:rsidRPr="00575C74" w:rsidSect="00F13324">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6FC38" w14:textId="77777777" w:rsidR="0047633F" w:rsidRDefault="0047633F" w:rsidP="00660C79">
      <w:pPr>
        <w:spacing w:line="240" w:lineRule="auto"/>
      </w:pPr>
      <w:r>
        <w:separator/>
      </w:r>
    </w:p>
  </w:endnote>
  <w:endnote w:type="continuationSeparator" w:id="0">
    <w:p w14:paraId="7FB9F31A" w14:textId="77777777" w:rsidR="0047633F" w:rsidRDefault="0047633F" w:rsidP="00660C79">
      <w:pPr>
        <w:spacing w:line="240" w:lineRule="auto"/>
      </w:pPr>
      <w:r>
        <w:continuationSeparator/>
      </w:r>
    </w:p>
  </w:endnote>
  <w:endnote w:type="continuationNotice" w:id="1">
    <w:p w14:paraId="528518D7" w14:textId="77777777" w:rsidR="0047633F" w:rsidRDefault="004763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3809" w14:textId="77777777" w:rsidR="00EC6A73" w:rsidRDefault="00805B2F" w:rsidP="00E60556">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015F2BC5" wp14:editId="3B1ED8F1">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37B0CF"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5F2BC5"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A37B0CF"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508E924D" w14:textId="77777777" w:rsidR="00EC6A73" w:rsidRDefault="00EC6A73" w:rsidP="00E605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088F766F"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BF275E"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E7FC" w14:textId="77777777" w:rsidR="00EC6A73" w:rsidRDefault="00805B2F" w:rsidP="00917BB1">
    <w:pPr>
      <w:pStyle w:val="Footer"/>
      <w:ind w:right="360"/>
    </w:pPr>
    <w:r>
      <w:rPr>
        <w:noProof/>
      </w:rPr>
      <mc:AlternateContent>
        <mc:Choice Requires="wps">
          <w:drawing>
            <wp:anchor distT="0" distB="0" distL="0" distR="0" simplePos="0" relativeHeight="251658247" behindDoc="0" locked="0" layoutInCell="1" allowOverlap="1" wp14:anchorId="29756E1E" wp14:editId="190E4EAA">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2B73FE"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756E1E"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32B73FE"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p w14:paraId="6EDC7BF2"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4EC9A76" wp14:editId="13EE7E6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72E42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1B8BE51B"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E10FC1" w14:textId="77777777" w:rsidR="00917BB1" w:rsidRDefault="00917BB1" w:rsidP="00917BB1">
    <w:pPr>
      <w:pStyle w:val="Footer"/>
      <w:ind w:right="360"/>
    </w:pPr>
    <w:r>
      <w:rPr>
        <w:noProof/>
      </w:rPr>
      <w:drawing>
        <wp:inline distT="0" distB="0" distL="0" distR="0" wp14:anchorId="3F731D17" wp14:editId="3E2FCAA1">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3047" w14:textId="77777777" w:rsidR="00805B2F" w:rsidRDefault="00805B2F">
    <w:pPr>
      <w:pStyle w:val="Footer"/>
    </w:pPr>
    <w:r>
      <w:rPr>
        <w:noProof/>
      </w:rPr>
      <mc:AlternateContent>
        <mc:Choice Requires="wps">
          <w:drawing>
            <wp:anchor distT="0" distB="0" distL="0" distR="0" simplePos="0" relativeHeight="251658245" behindDoc="0" locked="0" layoutInCell="1" allowOverlap="1" wp14:anchorId="2AD948FD" wp14:editId="6CD1DB7D">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5592F9"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D948FD"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A5592F9"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FED73" w14:textId="77777777" w:rsidR="0047633F" w:rsidRDefault="0047633F" w:rsidP="00660C79">
      <w:pPr>
        <w:spacing w:line="240" w:lineRule="auto"/>
      </w:pPr>
      <w:r>
        <w:separator/>
      </w:r>
    </w:p>
  </w:footnote>
  <w:footnote w:type="continuationSeparator" w:id="0">
    <w:p w14:paraId="6618A4FA" w14:textId="77777777" w:rsidR="0047633F" w:rsidRDefault="0047633F" w:rsidP="00660C79">
      <w:pPr>
        <w:spacing w:line="240" w:lineRule="auto"/>
      </w:pPr>
      <w:r>
        <w:continuationSeparator/>
      </w:r>
    </w:p>
  </w:footnote>
  <w:footnote w:type="continuationNotice" w:id="1">
    <w:p w14:paraId="2BE222C0" w14:textId="77777777" w:rsidR="0047633F" w:rsidRDefault="0047633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5A39" w14:textId="77777777" w:rsidR="00805B2F" w:rsidRDefault="00805B2F">
    <w:pPr>
      <w:pStyle w:val="Header"/>
    </w:pPr>
    <w:r>
      <w:rPr>
        <w:noProof/>
      </w:rPr>
      <mc:AlternateContent>
        <mc:Choice Requires="wps">
          <w:drawing>
            <wp:anchor distT="0" distB="0" distL="0" distR="0" simplePos="0" relativeHeight="251658243" behindDoc="0" locked="0" layoutInCell="1" allowOverlap="1" wp14:anchorId="31C21E19" wp14:editId="7F097D6B">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5C4E68"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C21E19"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A5C4E68"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9C0D" w14:textId="260A02EC" w:rsidR="008D113C" w:rsidRPr="00917BB1" w:rsidRDefault="00805B2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2A1D77FF" wp14:editId="47912A82">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C0F2F6"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1D77FF"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1C0F2F6"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r w:rsidR="002B386E">
      <w:rPr>
        <w:color w:val="6E7571" w:themeColor="text2"/>
      </w:rPr>
      <w:t xml:space="preserve">Land Remediation and Waste Management </w:t>
    </w:r>
  </w:p>
  <w:p w14:paraId="6A9F654E"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271891E6" wp14:editId="74A1E1C5">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327AED"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D546" w14:textId="77777777" w:rsidR="00805B2F" w:rsidRDefault="00805B2F">
    <w:pPr>
      <w:pStyle w:val="Header"/>
    </w:pPr>
    <w:r>
      <w:rPr>
        <w:noProof/>
      </w:rPr>
      <mc:AlternateContent>
        <mc:Choice Requires="wps">
          <w:drawing>
            <wp:anchor distT="0" distB="0" distL="0" distR="0" simplePos="0" relativeHeight="251658242" behindDoc="0" locked="0" layoutInCell="1" allowOverlap="1" wp14:anchorId="4A7D6312" wp14:editId="474E888C">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DD50DF"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7D6312"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9DD50DF"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60E"/>
    <w:multiLevelType w:val="hybridMultilevel"/>
    <w:tmpl w:val="BEDEBC92"/>
    <w:lvl w:ilvl="0" w:tplc="C310D3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D12F9C"/>
    <w:multiLevelType w:val="hybridMultilevel"/>
    <w:tmpl w:val="3AAC3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211506"/>
    <w:multiLevelType w:val="hybridMultilevel"/>
    <w:tmpl w:val="6D664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585D00"/>
    <w:multiLevelType w:val="hybridMultilevel"/>
    <w:tmpl w:val="42761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4E52A1"/>
    <w:multiLevelType w:val="hybridMultilevel"/>
    <w:tmpl w:val="D5D4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4D4165"/>
    <w:multiLevelType w:val="hybridMultilevel"/>
    <w:tmpl w:val="E6ACE1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AD45EC6"/>
    <w:multiLevelType w:val="hybridMultilevel"/>
    <w:tmpl w:val="27289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A36118"/>
    <w:multiLevelType w:val="hybridMultilevel"/>
    <w:tmpl w:val="4C88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EF1980"/>
    <w:multiLevelType w:val="hybridMultilevel"/>
    <w:tmpl w:val="FDD0A350"/>
    <w:lvl w:ilvl="0" w:tplc="C310D37C">
      <w:start w:val="1"/>
      <w:numFmt w:val="bullet"/>
      <w:lvlText w:val=""/>
      <w:lvlJc w:val="left"/>
      <w:pPr>
        <w:ind w:left="790" w:hanging="360"/>
      </w:pPr>
      <w:rPr>
        <w:rFonts w:ascii="Symbol" w:hAnsi="Symbol" w:hint="default"/>
        <w:color w:val="auto"/>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9" w15:restartNumberingAfterBreak="0">
    <w:nsid w:val="420C197F"/>
    <w:multiLevelType w:val="hybridMultilevel"/>
    <w:tmpl w:val="942E4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89424CC"/>
    <w:multiLevelType w:val="hybridMultilevel"/>
    <w:tmpl w:val="B69C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567D8E"/>
    <w:multiLevelType w:val="hybridMultilevel"/>
    <w:tmpl w:val="EC120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E60D24"/>
    <w:multiLevelType w:val="hybridMultilevel"/>
    <w:tmpl w:val="7E40DE3C"/>
    <w:lvl w:ilvl="0" w:tplc="C310D3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B6391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7C52C5E"/>
    <w:multiLevelType w:val="hybridMultilevel"/>
    <w:tmpl w:val="7DD01CDC"/>
    <w:lvl w:ilvl="0" w:tplc="C310D3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D76559"/>
    <w:multiLevelType w:val="hybridMultilevel"/>
    <w:tmpl w:val="B4A4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C5455A"/>
    <w:multiLevelType w:val="hybridMultilevel"/>
    <w:tmpl w:val="DACA293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7034E2"/>
    <w:multiLevelType w:val="hybridMultilevel"/>
    <w:tmpl w:val="DC0400B8"/>
    <w:lvl w:ilvl="0" w:tplc="C310D3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4B50C0"/>
    <w:multiLevelType w:val="hybridMultilevel"/>
    <w:tmpl w:val="28827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0534E6"/>
    <w:multiLevelType w:val="hybridMultilevel"/>
    <w:tmpl w:val="26448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772438943">
    <w:abstractNumId w:val="25"/>
  </w:num>
  <w:num w:numId="12" w16cid:durableId="1700204152">
    <w:abstractNumId w:val="20"/>
  </w:num>
  <w:num w:numId="13" w16cid:durableId="596910678">
    <w:abstractNumId w:val="10"/>
  </w:num>
  <w:num w:numId="14" w16cid:durableId="218975586">
    <w:abstractNumId w:val="24"/>
  </w:num>
  <w:num w:numId="15" w16cid:durableId="563613449">
    <w:abstractNumId w:val="28"/>
  </w:num>
  <w:num w:numId="16" w16cid:durableId="245771227">
    <w:abstractNumId w:val="18"/>
  </w:num>
  <w:num w:numId="17" w16cid:durableId="1794786043">
    <w:abstractNumId w:val="22"/>
  </w:num>
  <w:num w:numId="18" w16cid:durableId="1715883677">
    <w:abstractNumId w:val="12"/>
  </w:num>
  <w:num w:numId="19" w16cid:durableId="431753352">
    <w:abstractNumId w:val="30"/>
  </w:num>
  <w:num w:numId="20" w16cid:durableId="2104643372">
    <w:abstractNumId w:val="17"/>
  </w:num>
  <w:num w:numId="21" w16cid:durableId="1537153679">
    <w:abstractNumId w:val="16"/>
  </w:num>
  <w:num w:numId="22" w16cid:durableId="1610314685">
    <w:abstractNumId w:val="29"/>
  </w:num>
  <w:num w:numId="23" w16cid:durableId="617225015">
    <w:abstractNumId w:val="21"/>
  </w:num>
  <w:num w:numId="24" w16cid:durableId="300506005">
    <w:abstractNumId w:val="15"/>
  </w:num>
  <w:num w:numId="25" w16cid:durableId="1702776874">
    <w:abstractNumId w:val="14"/>
  </w:num>
  <w:num w:numId="26" w16cid:durableId="1524630957">
    <w:abstractNumId w:val="26"/>
  </w:num>
  <w:num w:numId="27" w16cid:durableId="395401182">
    <w:abstractNumId w:val="13"/>
  </w:num>
  <w:num w:numId="28" w16cid:durableId="761298472">
    <w:abstractNumId w:val="11"/>
  </w:num>
  <w:num w:numId="29" w16cid:durableId="781656532">
    <w:abstractNumId w:val="19"/>
  </w:num>
  <w:num w:numId="30" w16cid:durableId="1238202341">
    <w:abstractNumId w:val="27"/>
  </w:num>
  <w:num w:numId="31" w16cid:durableId="20342612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6E"/>
    <w:rsid w:val="000110AA"/>
    <w:rsid w:val="00012307"/>
    <w:rsid w:val="00023FF3"/>
    <w:rsid w:val="00032309"/>
    <w:rsid w:val="00032829"/>
    <w:rsid w:val="00033272"/>
    <w:rsid w:val="00040561"/>
    <w:rsid w:val="000574E7"/>
    <w:rsid w:val="00070937"/>
    <w:rsid w:val="00076DD2"/>
    <w:rsid w:val="00081024"/>
    <w:rsid w:val="0008272D"/>
    <w:rsid w:val="000865E5"/>
    <w:rsid w:val="00090CBA"/>
    <w:rsid w:val="000B6926"/>
    <w:rsid w:val="000B7559"/>
    <w:rsid w:val="000C3C68"/>
    <w:rsid w:val="000C5CC6"/>
    <w:rsid w:val="000C6654"/>
    <w:rsid w:val="000C729E"/>
    <w:rsid w:val="000D3B5B"/>
    <w:rsid w:val="000D5FD5"/>
    <w:rsid w:val="000E0D15"/>
    <w:rsid w:val="000E6686"/>
    <w:rsid w:val="000F08F8"/>
    <w:rsid w:val="000F31E2"/>
    <w:rsid w:val="000F6D54"/>
    <w:rsid w:val="00105F31"/>
    <w:rsid w:val="00111FB2"/>
    <w:rsid w:val="00137D36"/>
    <w:rsid w:val="001416CC"/>
    <w:rsid w:val="00160FF1"/>
    <w:rsid w:val="0018573B"/>
    <w:rsid w:val="001933AA"/>
    <w:rsid w:val="001974F3"/>
    <w:rsid w:val="001B2CE4"/>
    <w:rsid w:val="001B516A"/>
    <w:rsid w:val="001B52C0"/>
    <w:rsid w:val="001D05B5"/>
    <w:rsid w:val="001D0876"/>
    <w:rsid w:val="001D3DB3"/>
    <w:rsid w:val="001E3CC9"/>
    <w:rsid w:val="001F43E4"/>
    <w:rsid w:val="0020743F"/>
    <w:rsid w:val="00211360"/>
    <w:rsid w:val="00212FE1"/>
    <w:rsid w:val="00232626"/>
    <w:rsid w:val="00236552"/>
    <w:rsid w:val="00242F85"/>
    <w:rsid w:val="0025665E"/>
    <w:rsid w:val="00256B91"/>
    <w:rsid w:val="00263736"/>
    <w:rsid w:val="00281BB1"/>
    <w:rsid w:val="00282AF4"/>
    <w:rsid w:val="0028743B"/>
    <w:rsid w:val="00290B1F"/>
    <w:rsid w:val="00291BA7"/>
    <w:rsid w:val="00297AD1"/>
    <w:rsid w:val="002A24B5"/>
    <w:rsid w:val="002A3E26"/>
    <w:rsid w:val="002B386E"/>
    <w:rsid w:val="002B4F98"/>
    <w:rsid w:val="002C2F37"/>
    <w:rsid w:val="002E62F2"/>
    <w:rsid w:val="002F2CF1"/>
    <w:rsid w:val="003001CE"/>
    <w:rsid w:val="0030096D"/>
    <w:rsid w:val="003065BA"/>
    <w:rsid w:val="00310792"/>
    <w:rsid w:val="00317618"/>
    <w:rsid w:val="00324E74"/>
    <w:rsid w:val="00330560"/>
    <w:rsid w:val="003305D2"/>
    <w:rsid w:val="0033648F"/>
    <w:rsid w:val="003458AC"/>
    <w:rsid w:val="00355997"/>
    <w:rsid w:val="00380D2D"/>
    <w:rsid w:val="00382E6C"/>
    <w:rsid w:val="003844DB"/>
    <w:rsid w:val="003A0533"/>
    <w:rsid w:val="003B4015"/>
    <w:rsid w:val="003B4766"/>
    <w:rsid w:val="003B53C5"/>
    <w:rsid w:val="003B5A23"/>
    <w:rsid w:val="003D04DA"/>
    <w:rsid w:val="003D7ADF"/>
    <w:rsid w:val="003E3A4D"/>
    <w:rsid w:val="003E4F66"/>
    <w:rsid w:val="003E608A"/>
    <w:rsid w:val="003F3D10"/>
    <w:rsid w:val="003F5384"/>
    <w:rsid w:val="003F7659"/>
    <w:rsid w:val="004073BC"/>
    <w:rsid w:val="00410FF8"/>
    <w:rsid w:val="0042016A"/>
    <w:rsid w:val="00420C6B"/>
    <w:rsid w:val="00421A2D"/>
    <w:rsid w:val="00423B36"/>
    <w:rsid w:val="004246C4"/>
    <w:rsid w:val="00425196"/>
    <w:rsid w:val="00425A9A"/>
    <w:rsid w:val="00425BEA"/>
    <w:rsid w:val="00425DE3"/>
    <w:rsid w:val="004266F0"/>
    <w:rsid w:val="00426E3C"/>
    <w:rsid w:val="00435C16"/>
    <w:rsid w:val="00440370"/>
    <w:rsid w:val="00444AA1"/>
    <w:rsid w:val="00454A0C"/>
    <w:rsid w:val="0046435A"/>
    <w:rsid w:val="0046573D"/>
    <w:rsid w:val="004746CD"/>
    <w:rsid w:val="0047633F"/>
    <w:rsid w:val="00490676"/>
    <w:rsid w:val="004A20FC"/>
    <w:rsid w:val="004B05B5"/>
    <w:rsid w:val="004B18B7"/>
    <w:rsid w:val="004D2B55"/>
    <w:rsid w:val="004F049A"/>
    <w:rsid w:val="0050310D"/>
    <w:rsid w:val="00514CC9"/>
    <w:rsid w:val="00525833"/>
    <w:rsid w:val="00530177"/>
    <w:rsid w:val="005321DA"/>
    <w:rsid w:val="00540C78"/>
    <w:rsid w:val="0054144C"/>
    <w:rsid w:val="00551989"/>
    <w:rsid w:val="00552523"/>
    <w:rsid w:val="005533C0"/>
    <w:rsid w:val="0055460C"/>
    <w:rsid w:val="005567B7"/>
    <w:rsid w:val="00563B94"/>
    <w:rsid w:val="00575C74"/>
    <w:rsid w:val="00597F99"/>
    <w:rsid w:val="005A3378"/>
    <w:rsid w:val="005A355E"/>
    <w:rsid w:val="005A633F"/>
    <w:rsid w:val="005B097D"/>
    <w:rsid w:val="005B3AD2"/>
    <w:rsid w:val="005B6144"/>
    <w:rsid w:val="005D1213"/>
    <w:rsid w:val="005D72B6"/>
    <w:rsid w:val="005E2A11"/>
    <w:rsid w:val="005E72D5"/>
    <w:rsid w:val="005F7ED8"/>
    <w:rsid w:val="006243FF"/>
    <w:rsid w:val="0062726E"/>
    <w:rsid w:val="006350DD"/>
    <w:rsid w:val="006367AF"/>
    <w:rsid w:val="00642395"/>
    <w:rsid w:val="0064436E"/>
    <w:rsid w:val="00660C79"/>
    <w:rsid w:val="00684692"/>
    <w:rsid w:val="006941BC"/>
    <w:rsid w:val="006A7D28"/>
    <w:rsid w:val="006B210F"/>
    <w:rsid w:val="006B25E5"/>
    <w:rsid w:val="006D131B"/>
    <w:rsid w:val="006D16CE"/>
    <w:rsid w:val="006D6084"/>
    <w:rsid w:val="006E0512"/>
    <w:rsid w:val="006F59D1"/>
    <w:rsid w:val="006F5F0F"/>
    <w:rsid w:val="0070503A"/>
    <w:rsid w:val="007134C2"/>
    <w:rsid w:val="007148F9"/>
    <w:rsid w:val="00742A90"/>
    <w:rsid w:val="00750A5B"/>
    <w:rsid w:val="00755E75"/>
    <w:rsid w:val="00776CAB"/>
    <w:rsid w:val="0078549E"/>
    <w:rsid w:val="007941D4"/>
    <w:rsid w:val="00797A93"/>
    <w:rsid w:val="007A27CF"/>
    <w:rsid w:val="007B0E85"/>
    <w:rsid w:val="007C3CBA"/>
    <w:rsid w:val="007C3F12"/>
    <w:rsid w:val="007D441B"/>
    <w:rsid w:val="007F434F"/>
    <w:rsid w:val="00801105"/>
    <w:rsid w:val="00803B27"/>
    <w:rsid w:val="0080425E"/>
    <w:rsid w:val="00805B2F"/>
    <w:rsid w:val="008238B2"/>
    <w:rsid w:val="0083233F"/>
    <w:rsid w:val="0084605D"/>
    <w:rsid w:val="008462C1"/>
    <w:rsid w:val="00855D4F"/>
    <w:rsid w:val="00861B46"/>
    <w:rsid w:val="0087002C"/>
    <w:rsid w:val="0087061F"/>
    <w:rsid w:val="008800A6"/>
    <w:rsid w:val="00893ABE"/>
    <w:rsid w:val="008B720E"/>
    <w:rsid w:val="008C1A73"/>
    <w:rsid w:val="008C528A"/>
    <w:rsid w:val="008D113C"/>
    <w:rsid w:val="008D376F"/>
    <w:rsid w:val="008D61F7"/>
    <w:rsid w:val="008D6FDE"/>
    <w:rsid w:val="008D70C4"/>
    <w:rsid w:val="008E4616"/>
    <w:rsid w:val="008E6789"/>
    <w:rsid w:val="008E758E"/>
    <w:rsid w:val="008F1E29"/>
    <w:rsid w:val="008F2B4D"/>
    <w:rsid w:val="009112A8"/>
    <w:rsid w:val="00916B68"/>
    <w:rsid w:val="00917BB1"/>
    <w:rsid w:val="00932015"/>
    <w:rsid w:val="00932DC7"/>
    <w:rsid w:val="00934526"/>
    <w:rsid w:val="00936F87"/>
    <w:rsid w:val="00937D90"/>
    <w:rsid w:val="00960556"/>
    <w:rsid w:val="0097013F"/>
    <w:rsid w:val="00975D21"/>
    <w:rsid w:val="00980531"/>
    <w:rsid w:val="009824B5"/>
    <w:rsid w:val="00990510"/>
    <w:rsid w:val="009936CE"/>
    <w:rsid w:val="009974A0"/>
    <w:rsid w:val="009A240D"/>
    <w:rsid w:val="009B6A1C"/>
    <w:rsid w:val="009D1F03"/>
    <w:rsid w:val="009D2056"/>
    <w:rsid w:val="009D39DF"/>
    <w:rsid w:val="009E06DF"/>
    <w:rsid w:val="009F2456"/>
    <w:rsid w:val="009F4BCA"/>
    <w:rsid w:val="00A00599"/>
    <w:rsid w:val="00A00C79"/>
    <w:rsid w:val="00A00D3C"/>
    <w:rsid w:val="00A0698D"/>
    <w:rsid w:val="00A07A8B"/>
    <w:rsid w:val="00A10116"/>
    <w:rsid w:val="00A20122"/>
    <w:rsid w:val="00A310AC"/>
    <w:rsid w:val="00A518FA"/>
    <w:rsid w:val="00A572A5"/>
    <w:rsid w:val="00A642B2"/>
    <w:rsid w:val="00A92666"/>
    <w:rsid w:val="00A9349C"/>
    <w:rsid w:val="00A966F5"/>
    <w:rsid w:val="00AB3B07"/>
    <w:rsid w:val="00AB75E8"/>
    <w:rsid w:val="00AC78EE"/>
    <w:rsid w:val="00AD0AC8"/>
    <w:rsid w:val="00AE068C"/>
    <w:rsid w:val="00AF71A9"/>
    <w:rsid w:val="00B20652"/>
    <w:rsid w:val="00B254B0"/>
    <w:rsid w:val="00B3129A"/>
    <w:rsid w:val="00B40EF4"/>
    <w:rsid w:val="00B42845"/>
    <w:rsid w:val="00B46E48"/>
    <w:rsid w:val="00B54CF4"/>
    <w:rsid w:val="00B63A6C"/>
    <w:rsid w:val="00B83C4F"/>
    <w:rsid w:val="00B9131A"/>
    <w:rsid w:val="00BA0669"/>
    <w:rsid w:val="00BC10A0"/>
    <w:rsid w:val="00BC52F5"/>
    <w:rsid w:val="00BE07EA"/>
    <w:rsid w:val="00BE7D59"/>
    <w:rsid w:val="00C02893"/>
    <w:rsid w:val="00C06D34"/>
    <w:rsid w:val="00C1341C"/>
    <w:rsid w:val="00C1650F"/>
    <w:rsid w:val="00C27226"/>
    <w:rsid w:val="00C35FE0"/>
    <w:rsid w:val="00C417D3"/>
    <w:rsid w:val="00C569B9"/>
    <w:rsid w:val="00C94045"/>
    <w:rsid w:val="00C946B6"/>
    <w:rsid w:val="00CC1B40"/>
    <w:rsid w:val="00CD43AA"/>
    <w:rsid w:val="00CD67F3"/>
    <w:rsid w:val="00CD6AC0"/>
    <w:rsid w:val="00CE0D97"/>
    <w:rsid w:val="00CE337B"/>
    <w:rsid w:val="00CF281E"/>
    <w:rsid w:val="00CF7EFB"/>
    <w:rsid w:val="00D3062E"/>
    <w:rsid w:val="00D310E9"/>
    <w:rsid w:val="00D318F1"/>
    <w:rsid w:val="00D35448"/>
    <w:rsid w:val="00D36307"/>
    <w:rsid w:val="00D36861"/>
    <w:rsid w:val="00D4455F"/>
    <w:rsid w:val="00D46CCF"/>
    <w:rsid w:val="00D5623B"/>
    <w:rsid w:val="00D67600"/>
    <w:rsid w:val="00D72A08"/>
    <w:rsid w:val="00D75827"/>
    <w:rsid w:val="00D75926"/>
    <w:rsid w:val="00D909AA"/>
    <w:rsid w:val="00D97592"/>
    <w:rsid w:val="00DA63B0"/>
    <w:rsid w:val="00DC0CBD"/>
    <w:rsid w:val="00DC7FBD"/>
    <w:rsid w:val="00DD7509"/>
    <w:rsid w:val="00DF2808"/>
    <w:rsid w:val="00DF5B14"/>
    <w:rsid w:val="00E11A56"/>
    <w:rsid w:val="00E21AB5"/>
    <w:rsid w:val="00E36DEA"/>
    <w:rsid w:val="00E47AF0"/>
    <w:rsid w:val="00E50ED8"/>
    <w:rsid w:val="00E5797F"/>
    <w:rsid w:val="00E60556"/>
    <w:rsid w:val="00E67C75"/>
    <w:rsid w:val="00E70349"/>
    <w:rsid w:val="00E92F1E"/>
    <w:rsid w:val="00E94E48"/>
    <w:rsid w:val="00EA37E0"/>
    <w:rsid w:val="00EB7A45"/>
    <w:rsid w:val="00EC5621"/>
    <w:rsid w:val="00EC6626"/>
    <w:rsid w:val="00EC6A73"/>
    <w:rsid w:val="00ED00D2"/>
    <w:rsid w:val="00EF38B7"/>
    <w:rsid w:val="00EF51FA"/>
    <w:rsid w:val="00EF7F27"/>
    <w:rsid w:val="00F07048"/>
    <w:rsid w:val="00F13324"/>
    <w:rsid w:val="00F16322"/>
    <w:rsid w:val="00F22C45"/>
    <w:rsid w:val="00F3096B"/>
    <w:rsid w:val="00F37F3C"/>
    <w:rsid w:val="00F4227C"/>
    <w:rsid w:val="00F44A04"/>
    <w:rsid w:val="00F46881"/>
    <w:rsid w:val="00F47D24"/>
    <w:rsid w:val="00F61BAF"/>
    <w:rsid w:val="00F62E76"/>
    <w:rsid w:val="00F72274"/>
    <w:rsid w:val="00F74307"/>
    <w:rsid w:val="00F74FFC"/>
    <w:rsid w:val="00F97475"/>
    <w:rsid w:val="00F974D6"/>
    <w:rsid w:val="00FB51E3"/>
    <w:rsid w:val="00FB7DF7"/>
    <w:rsid w:val="00FC21D0"/>
    <w:rsid w:val="00FD2F37"/>
    <w:rsid w:val="00FE388D"/>
    <w:rsid w:val="00FF1BE9"/>
    <w:rsid w:val="00FF571C"/>
    <w:rsid w:val="00FF5D5A"/>
    <w:rsid w:val="00FF65A1"/>
    <w:rsid w:val="16FBD56A"/>
    <w:rsid w:val="38FE9A2D"/>
    <w:rsid w:val="3D918062"/>
    <w:rsid w:val="447FA83A"/>
    <w:rsid w:val="5BF62271"/>
    <w:rsid w:val="62DD3CB9"/>
    <w:rsid w:val="688EB0CA"/>
    <w:rsid w:val="79DFBB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E03ED"/>
  <w15:chartTrackingRefBased/>
  <w15:docId w15:val="{562C7A54-B936-4770-A363-8D4A62BC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B4284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B4284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185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C729E"/>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6367AF"/>
    <w:pPr>
      <w:tabs>
        <w:tab w:val="right" w:leader="dot" w:pos="10212"/>
      </w:tabs>
      <w:spacing w:after="240"/>
    </w:pPr>
  </w:style>
  <w:style w:type="paragraph" w:styleId="TOC3">
    <w:name w:val="toc 3"/>
    <w:basedOn w:val="Normal"/>
    <w:next w:val="Normal"/>
    <w:autoRedefine/>
    <w:uiPriority w:val="39"/>
    <w:unhideWhenUsed/>
    <w:rsid w:val="000C729E"/>
    <w:pPr>
      <w:spacing w:after="100"/>
      <w:ind w:left="480"/>
    </w:pPr>
  </w:style>
  <w:style w:type="character" w:styleId="CommentReference">
    <w:name w:val="annotation reference"/>
    <w:basedOn w:val="DefaultParagraphFont"/>
    <w:uiPriority w:val="99"/>
    <w:semiHidden/>
    <w:unhideWhenUsed/>
    <w:rsid w:val="006367AF"/>
    <w:rPr>
      <w:sz w:val="16"/>
      <w:szCs w:val="16"/>
    </w:rPr>
  </w:style>
  <w:style w:type="paragraph" w:styleId="CommentText">
    <w:name w:val="annotation text"/>
    <w:basedOn w:val="Normal"/>
    <w:link w:val="CommentTextChar"/>
    <w:uiPriority w:val="99"/>
    <w:unhideWhenUsed/>
    <w:rsid w:val="006367AF"/>
    <w:pPr>
      <w:spacing w:line="240" w:lineRule="auto"/>
    </w:pPr>
    <w:rPr>
      <w:sz w:val="20"/>
      <w:szCs w:val="20"/>
    </w:rPr>
  </w:style>
  <w:style w:type="character" w:customStyle="1" w:styleId="CommentTextChar">
    <w:name w:val="Comment Text Char"/>
    <w:basedOn w:val="DefaultParagraphFont"/>
    <w:link w:val="CommentText"/>
    <w:uiPriority w:val="99"/>
    <w:rsid w:val="006367A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367AF"/>
    <w:rPr>
      <w:b/>
      <w:bCs/>
    </w:rPr>
  </w:style>
  <w:style w:type="character" w:customStyle="1" w:styleId="CommentSubjectChar">
    <w:name w:val="Comment Subject Char"/>
    <w:basedOn w:val="CommentTextChar"/>
    <w:link w:val="CommentSubject"/>
    <w:uiPriority w:val="99"/>
    <w:semiHidden/>
    <w:rsid w:val="006367AF"/>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80451">
      <w:bodyDiv w:val="1"/>
      <w:marLeft w:val="0"/>
      <w:marRight w:val="0"/>
      <w:marTop w:val="0"/>
      <w:marBottom w:val="0"/>
      <w:divBdr>
        <w:top w:val="none" w:sz="0" w:space="0" w:color="auto"/>
        <w:left w:val="none" w:sz="0" w:space="0" w:color="auto"/>
        <w:bottom w:val="none" w:sz="0" w:space="0" w:color="auto"/>
        <w:right w:val="none" w:sz="0" w:space="0" w:color="auto"/>
      </w:divBdr>
    </w:div>
    <w:div w:id="642202138">
      <w:bodyDiv w:val="1"/>
      <w:marLeft w:val="0"/>
      <w:marRight w:val="0"/>
      <w:marTop w:val="0"/>
      <w:marBottom w:val="0"/>
      <w:divBdr>
        <w:top w:val="none" w:sz="0" w:space="0" w:color="auto"/>
        <w:left w:val="none" w:sz="0" w:space="0" w:color="auto"/>
        <w:bottom w:val="none" w:sz="0" w:space="0" w:color="auto"/>
        <w:right w:val="none" w:sz="0" w:space="0" w:color="auto"/>
      </w:divBdr>
    </w:div>
    <w:div w:id="186720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resource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D725796A-FC49-4E32-A1D5-F68739EBC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CC311ED9-7CF4-407B-A4CD-FD7B8517B1D3}">
  <ds:schemaRefs>
    <ds:schemaRef ds:uri="http://schemas.microsoft.com/sharepoint/v3/contenttype/forms"/>
  </ds:schemaRefs>
</ds:datastoreItem>
</file>

<file path=customXml/itemProps4.xml><?xml version="1.0" encoding="utf-8"?>
<ds:datastoreItem xmlns:ds="http://schemas.openxmlformats.org/officeDocument/2006/customXml" ds:itemID="{A3016898-C939-47D2-A4B3-A42BF1E3B413}">
  <ds:schemaRefs>
    <ds:schemaRef ds:uri="http://purl.org/dc/elements/1.1/"/>
    <ds:schemaRef ds:uri="ce5b52f7-9556-48ad-bf4f-1238de82834a"/>
    <ds:schemaRef ds:uri="http://purl.org/dc/terms/"/>
    <ds:schemaRef ds:uri="http://purl.org/dc/dcmitype/"/>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7dd4d6b0-2bd1-40f7-94aa-8d4785e79023"/>
  </ds:schemaRefs>
</ds:datastoreItem>
</file>

<file path=docProps/app.xml><?xml version="1.0" encoding="utf-8"?>
<Properties xmlns="http://schemas.openxmlformats.org/officeDocument/2006/extended-properties" xmlns:vt="http://schemas.openxmlformats.org/officeDocument/2006/docPropsVTypes">
  <Template>SEPA_word_template_resources_cover</Template>
  <TotalTime>6</TotalTime>
  <Pages>8</Pages>
  <Words>1448</Words>
  <Characters>8259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CharactersWithSpaces>
  <SharedDoc>false</SharedDoc>
  <HLinks>
    <vt:vector size="48" baseType="variant">
      <vt:variant>
        <vt:i4>3539032</vt:i4>
      </vt:variant>
      <vt:variant>
        <vt:i4>45</vt:i4>
      </vt:variant>
      <vt:variant>
        <vt:i4>0</vt:i4>
      </vt:variant>
      <vt:variant>
        <vt:i4>5</vt:i4>
      </vt:variant>
      <vt:variant>
        <vt:lpwstr>mailto:equalities@sepa.org.uk</vt:lpwstr>
      </vt:variant>
      <vt:variant>
        <vt:lpwstr/>
      </vt:variant>
      <vt:variant>
        <vt:i4>1441852</vt:i4>
      </vt:variant>
      <vt:variant>
        <vt:i4>38</vt:i4>
      </vt:variant>
      <vt:variant>
        <vt:i4>0</vt:i4>
      </vt:variant>
      <vt:variant>
        <vt:i4>5</vt:i4>
      </vt:variant>
      <vt:variant>
        <vt:lpwstr/>
      </vt:variant>
      <vt:variant>
        <vt:lpwstr>_Toc191996572</vt:lpwstr>
      </vt:variant>
      <vt:variant>
        <vt:i4>1441852</vt:i4>
      </vt:variant>
      <vt:variant>
        <vt:i4>32</vt:i4>
      </vt:variant>
      <vt:variant>
        <vt:i4>0</vt:i4>
      </vt:variant>
      <vt:variant>
        <vt:i4>5</vt:i4>
      </vt:variant>
      <vt:variant>
        <vt:lpwstr/>
      </vt:variant>
      <vt:variant>
        <vt:lpwstr>_Toc191996571</vt:lpwstr>
      </vt:variant>
      <vt:variant>
        <vt:i4>1441852</vt:i4>
      </vt:variant>
      <vt:variant>
        <vt:i4>26</vt:i4>
      </vt:variant>
      <vt:variant>
        <vt:i4>0</vt:i4>
      </vt:variant>
      <vt:variant>
        <vt:i4>5</vt:i4>
      </vt:variant>
      <vt:variant>
        <vt:lpwstr/>
      </vt:variant>
      <vt:variant>
        <vt:lpwstr>_Toc191996570</vt:lpwstr>
      </vt:variant>
      <vt:variant>
        <vt:i4>1507388</vt:i4>
      </vt:variant>
      <vt:variant>
        <vt:i4>20</vt:i4>
      </vt:variant>
      <vt:variant>
        <vt:i4>0</vt:i4>
      </vt:variant>
      <vt:variant>
        <vt:i4>5</vt:i4>
      </vt:variant>
      <vt:variant>
        <vt:lpwstr/>
      </vt:variant>
      <vt:variant>
        <vt:lpwstr>_Toc191996569</vt:lpwstr>
      </vt:variant>
      <vt:variant>
        <vt:i4>1507388</vt:i4>
      </vt:variant>
      <vt:variant>
        <vt:i4>14</vt:i4>
      </vt:variant>
      <vt:variant>
        <vt:i4>0</vt:i4>
      </vt:variant>
      <vt:variant>
        <vt:i4>5</vt:i4>
      </vt:variant>
      <vt:variant>
        <vt:lpwstr/>
      </vt:variant>
      <vt:variant>
        <vt:lpwstr>_Toc191996568</vt:lpwstr>
      </vt:variant>
      <vt:variant>
        <vt:i4>1507388</vt:i4>
      </vt:variant>
      <vt:variant>
        <vt:i4>8</vt:i4>
      </vt:variant>
      <vt:variant>
        <vt:i4>0</vt:i4>
      </vt:variant>
      <vt:variant>
        <vt:i4>5</vt:i4>
      </vt:variant>
      <vt:variant>
        <vt:lpwstr/>
      </vt:variant>
      <vt:variant>
        <vt:lpwstr>_Toc191996567</vt:lpwstr>
      </vt:variant>
      <vt:variant>
        <vt:i4>1507388</vt:i4>
      </vt:variant>
      <vt:variant>
        <vt:i4>2</vt:i4>
      </vt:variant>
      <vt:variant>
        <vt:i4>0</vt:i4>
      </vt:variant>
      <vt:variant>
        <vt:i4>5</vt:i4>
      </vt:variant>
      <vt:variant>
        <vt:lpwstr/>
      </vt:variant>
      <vt:variant>
        <vt:lpwstr>_Toc191996566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Waste Unit</dc:creator>
  <cp:keywords/>
  <dc:description/>
  <cp:lastModifiedBy>Burzynski, Leeann</cp:lastModifiedBy>
  <cp:revision>9</cp:revision>
  <cp:lastPrinted>2023-03-24T04:44:00Z</cp:lastPrinted>
  <dcterms:created xsi:type="dcterms:W3CDTF">2025-03-17T11:52:00Z</dcterms:created>
  <dcterms:modified xsi:type="dcterms:W3CDTF">2025-05-07T16:06:00Z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2023-07-28T12:39:48Z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42244f92-3245-42e1-804f-f4492a4b6a19</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