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A8AFC4A" w14:textId="77777777" w:rsidR="004073BC" w:rsidRDefault="00F72274" w:rsidP="00EA7C0E">
          <w:pPr>
            <w:pStyle w:val="BodyText1"/>
          </w:pPr>
          <w:r>
            <w:rPr>
              <w:noProof/>
            </w:rPr>
            <w:drawing>
              <wp:anchor distT="0" distB="0" distL="114300" distR="114300" simplePos="0" relativeHeight="251658241" behindDoc="1" locked="0" layoutInCell="1" allowOverlap="1" wp14:anchorId="73CBD9C9" wp14:editId="6E6EECE0">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0824D21" wp14:editId="11D5B94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0FD9706" w14:textId="77777777" w:rsidR="004073BC" w:rsidRDefault="004073BC" w:rsidP="008C1A73"/>
        <w:p w14:paraId="1A1A6EBC" w14:textId="0A7C2E26" w:rsidR="00A4574B" w:rsidRPr="0081631D" w:rsidRDefault="00A4574B" w:rsidP="00A4574B">
          <w:pPr>
            <w:rPr>
              <w:b/>
              <w:bCs/>
              <w:color w:val="FFFFFF" w:themeColor="background1"/>
              <w:sz w:val="48"/>
              <w:szCs w:val="48"/>
            </w:rPr>
          </w:pPr>
          <w:r w:rsidRPr="0081631D">
            <w:rPr>
              <w:b/>
              <w:bCs/>
              <w:color w:val="FFFFFF" w:themeColor="background1"/>
              <w:sz w:val="48"/>
              <w:szCs w:val="48"/>
            </w:rPr>
            <w:t>WAT-G-</w:t>
          </w:r>
          <w:r w:rsidR="00D2609D">
            <w:rPr>
              <w:b/>
              <w:bCs/>
              <w:color w:val="FFFFFF" w:themeColor="background1"/>
              <w:sz w:val="48"/>
              <w:szCs w:val="48"/>
            </w:rPr>
            <w:t>070</w:t>
          </w:r>
        </w:p>
        <w:p w14:paraId="3F823EC0" w14:textId="77777777" w:rsidR="004073BC" w:rsidRDefault="004073BC" w:rsidP="008C1A73"/>
        <w:p w14:paraId="02AE2A63" w14:textId="77777777" w:rsidR="004073BC" w:rsidRDefault="004073BC" w:rsidP="008C1A73"/>
        <w:p w14:paraId="6E9CDB3F" w14:textId="77777777" w:rsidR="004073BC" w:rsidRDefault="004073BC" w:rsidP="008C1A73"/>
        <w:p w14:paraId="537B1387" w14:textId="606FC994"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F321E9A" wp14:editId="65B5B926">
                    <wp:simplePos x="0" y="0"/>
                    <wp:positionH relativeFrom="column">
                      <wp:posOffset>124460</wp:posOffset>
                    </wp:positionH>
                    <wp:positionV relativeFrom="paragraph">
                      <wp:posOffset>6942455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0C54200" w14:textId="218AA024" w:rsidR="00281BB1" w:rsidRPr="009A240D" w:rsidRDefault="00B238E9"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21E9A" id="_x0000_t202" coordsize="21600,21600" o:spt="202" path="m,l,21600r21600,l21600,xe">
                    <v:stroke joinstyle="miter"/>
                    <v:path gradientshapeok="t" o:connecttype="rect"/>
                  </v:shapetype>
                  <v:shape id="Text Box 3" o:spid="_x0000_s1026" type="#_x0000_t202" alt="&quot;&quot;" style="position:absolute;margin-left:9.8pt;margin-top:546.6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KQWOGuEAAAAMAQAADwAAAGRycy9kb3ducmV2LnhtbEyPS0/EMAyE70j8h8hI3Ngku6jalqYr&#10;xOPGcwEJbmlj2oomqZK0W/495gQna+zR+Jtyt9iBzRhi750CuRLA0DXe9K5V8Ppye7YFFpN2Rg/e&#10;oYJvjLCrjo9KXRh/cM8471PLKMTFQivoUhoLzmPTodVx5Ud0dPv0wepEMrTcBH2gcDvwtRAZt7p3&#10;9KHTI1512HztJ6tgeI/hrhbpY75u79PTI5/ebuSDUqcny+UFsIRL+jPDLz6hQ0VMtZ+ciWwgnWfk&#10;pCnyzQYYObJ8K4HVtJJreQ68Kvn/EtUPAAAA//8DAFBLAQItABQABgAIAAAAIQC2gziS/gAAAOEB&#10;AAATAAAAAAAAAAAAAAAAAAAAAABbQ29udGVudF9UeXBlc10ueG1sUEsBAi0AFAAGAAgAAAAhADj9&#10;If/WAAAAlAEAAAsAAAAAAAAAAAAAAAAALwEAAF9yZWxzLy5yZWxzUEsBAi0AFAAGAAgAAAAhANpp&#10;RwQPAgAAHAQAAA4AAAAAAAAAAAAAAAAALgIAAGRycy9lMm9Eb2MueG1sUEsBAi0AFAAGAAgAAAAh&#10;ACkFjhrhAAAADAEAAA8AAAAAAAAAAAAAAAAAaQQAAGRycy9kb3ducmV2LnhtbFBLBQYAAAAABAAE&#10;APMAAAB3BQAAAAA=&#10;" filled="f" stroked="f" strokeweight=".5pt">
                    <v:textbox inset="0,0,0,0">
                      <w:txbxContent>
                        <w:p w14:paraId="60C54200" w14:textId="218AA024" w:rsidR="00281BB1" w:rsidRPr="009A240D" w:rsidRDefault="00B238E9" w:rsidP="00281BB1">
                          <w:pPr>
                            <w:pStyle w:val="BodyText1"/>
                            <w:rPr>
                              <w:color w:val="FFFFFF" w:themeColor="background1"/>
                            </w:rPr>
                          </w:pPr>
                          <w:r>
                            <w:rPr>
                              <w:color w:val="FFFFFF" w:themeColor="background1"/>
                            </w:rPr>
                            <w:t>Version 1.0, August 2025</w:t>
                          </w:r>
                        </w:p>
                      </w:txbxContent>
                    </v:textbox>
                    <w10:anchorlock/>
                  </v:shape>
                </w:pict>
              </mc:Fallback>
            </mc:AlternateContent>
          </w:r>
          <w:r w:rsidR="00C0591B">
            <w:rPr>
              <w:b/>
              <w:bCs/>
              <w:color w:val="FFFFFF" w:themeColor="background1"/>
              <w:sz w:val="84"/>
              <w:szCs w:val="84"/>
            </w:rPr>
            <w:t xml:space="preserve">EASR Guidance: </w:t>
          </w:r>
          <w:r w:rsidR="007413CF">
            <w:rPr>
              <w:b/>
              <w:bCs/>
              <w:color w:val="FFFFFF" w:themeColor="background1"/>
              <w:sz w:val="84"/>
              <w:szCs w:val="84"/>
            </w:rPr>
            <w:t>D</w:t>
          </w:r>
          <w:r w:rsidR="009D2271">
            <w:rPr>
              <w:b/>
              <w:bCs/>
              <w:color w:val="FFFFFF" w:themeColor="background1"/>
              <w:sz w:val="84"/>
              <w:szCs w:val="84"/>
            </w:rPr>
            <w:t xml:space="preserve">ischarges to </w:t>
          </w:r>
          <w:r w:rsidR="00B238E9">
            <w:rPr>
              <w:b/>
              <w:bCs/>
              <w:color w:val="FFFFFF" w:themeColor="background1"/>
              <w:sz w:val="84"/>
              <w:szCs w:val="84"/>
            </w:rPr>
            <w:t xml:space="preserve">and near </w:t>
          </w:r>
          <w:r w:rsidR="009D2271">
            <w:rPr>
              <w:b/>
              <w:bCs/>
              <w:color w:val="FFFFFF" w:themeColor="background1"/>
              <w:sz w:val="84"/>
              <w:szCs w:val="84"/>
            </w:rPr>
            <w:t>bathing and shellfish waters</w:t>
          </w:r>
        </w:p>
        <w:p w14:paraId="33A90FE4"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8344355"/>
        <w:docPartObj>
          <w:docPartGallery w:val="Table of Contents"/>
          <w:docPartUnique/>
        </w:docPartObj>
      </w:sdtPr>
      <w:sdtEndPr>
        <w:rPr>
          <w:b/>
          <w:bCs/>
          <w:noProof/>
        </w:rPr>
      </w:sdtEndPr>
      <w:sdtContent>
        <w:p w14:paraId="75FEA106" w14:textId="008EBE53" w:rsidR="00EA7C0E" w:rsidRPr="00EA7C0E" w:rsidRDefault="00EA7C0E">
          <w:pPr>
            <w:pStyle w:val="TOCHeading"/>
            <w:rPr>
              <w:rStyle w:val="Heading1Char"/>
            </w:rPr>
          </w:pPr>
          <w:r w:rsidRPr="00EA7C0E">
            <w:rPr>
              <w:rStyle w:val="Heading1Char"/>
            </w:rPr>
            <w:t>Contents</w:t>
          </w:r>
        </w:p>
        <w:p w14:paraId="735B3D27" w14:textId="366410C7" w:rsidR="005F1F6C" w:rsidRDefault="00EA7C0E">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2768221" w:history="1">
            <w:r w:rsidR="005F1F6C" w:rsidRPr="001A7070">
              <w:rPr>
                <w:rStyle w:val="Hyperlink"/>
                <w:rFonts w:eastAsia="Times New Roman"/>
                <w:noProof/>
              </w:rPr>
              <w:t>1.</w:t>
            </w:r>
            <w:r w:rsidR="005F1F6C">
              <w:rPr>
                <w:noProof/>
                <w:kern w:val="2"/>
                <w:lang w:eastAsia="en-GB"/>
                <w14:ligatures w14:val="standardContextual"/>
              </w:rPr>
              <w:tab/>
            </w:r>
            <w:r w:rsidR="005F1F6C" w:rsidRPr="001A7070">
              <w:rPr>
                <w:rStyle w:val="Hyperlink"/>
                <w:rFonts w:eastAsia="Times New Roman"/>
                <w:noProof/>
              </w:rPr>
              <w:t>Purpose and scope</w:t>
            </w:r>
            <w:r w:rsidR="005F1F6C">
              <w:rPr>
                <w:noProof/>
                <w:webHidden/>
              </w:rPr>
              <w:tab/>
            </w:r>
            <w:r w:rsidR="005F1F6C">
              <w:rPr>
                <w:noProof/>
                <w:webHidden/>
              </w:rPr>
              <w:fldChar w:fldCharType="begin"/>
            </w:r>
            <w:r w:rsidR="005F1F6C">
              <w:rPr>
                <w:noProof/>
                <w:webHidden/>
              </w:rPr>
              <w:instrText xml:space="preserve"> PAGEREF _Toc192768221 \h </w:instrText>
            </w:r>
            <w:r w:rsidR="005F1F6C">
              <w:rPr>
                <w:noProof/>
                <w:webHidden/>
              </w:rPr>
            </w:r>
            <w:r w:rsidR="005F1F6C">
              <w:rPr>
                <w:noProof/>
                <w:webHidden/>
              </w:rPr>
              <w:fldChar w:fldCharType="separate"/>
            </w:r>
            <w:r w:rsidR="005F1F6C">
              <w:rPr>
                <w:noProof/>
                <w:webHidden/>
              </w:rPr>
              <w:t>2</w:t>
            </w:r>
            <w:r w:rsidR="005F1F6C">
              <w:rPr>
                <w:noProof/>
                <w:webHidden/>
              </w:rPr>
              <w:fldChar w:fldCharType="end"/>
            </w:r>
          </w:hyperlink>
        </w:p>
        <w:p w14:paraId="0E45F323" w14:textId="77EB3CF6" w:rsidR="005F1F6C" w:rsidRDefault="005F1F6C">
          <w:pPr>
            <w:pStyle w:val="TOC1"/>
            <w:tabs>
              <w:tab w:val="left" w:pos="480"/>
              <w:tab w:val="right" w:leader="dot" w:pos="10212"/>
            </w:tabs>
            <w:rPr>
              <w:noProof/>
              <w:kern w:val="2"/>
              <w:lang w:eastAsia="en-GB"/>
              <w14:ligatures w14:val="standardContextual"/>
            </w:rPr>
          </w:pPr>
          <w:hyperlink w:anchor="_Toc192768222" w:history="1">
            <w:r w:rsidRPr="001A7070">
              <w:rPr>
                <w:rStyle w:val="Hyperlink"/>
                <w:rFonts w:eastAsia="Times New Roman"/>
                <w:noProof/>
              </w:rPr>
              <w:t>2.</w:t>
            </w:r>
            <w:r>
              <w:rPr>
                <w:noProof/>
                <w:kern w:val="2"/>
                <w:lang w:eastAsia="en-GB"/>
                <w14:ligatures w14:val="standardContextual"/>
              </w:rPr>
              <w:tab/>
            </w:r>
            <w:r w:rsidRPr="001A7070">
              <w:rPr>
                <w:rStyle w:val="Hyperlink"/>
                <w:rFonts w:eastAsia="Times New Roman"/>
                <w:noProof/>
              </w:rPr>
              <w:t>Existing discharges</w:t>
            </w:r>
            <w:r>
              <w:rPr>
                <w:noProof/>
                <w:webHidden/>
              </w:rPr>
              <w:tab/>
            </w:r>
            <w:r>
              <w:rPr>
                <w:noProof/>
                <w:webHidden/>
              </w:rPr>
              <w:fldChar w:fldCharType="begin"/>
            </w:r>
            <w:r>
              <w:rPr>
                <w:noProof/>
                <w:webHidden/>
              </w:rPr>
              <w:instrText xml:space="preserve"> PAGEREF _Toc192768222 \h </w:instrText>
            </w:r>
            <w:r>
              <w:rPr>
                <w:noProof/>
                <w:webHidden/>
              </w:rPr>
            </w:r>
            <w:r>
              <w:rPr>
                <w:noProof/>
                <w:webHidden/>
              </w:rPr>
              <w:fldChar w:fldCharType="separate"/>
            </w:r>
            <w:r>
              <w:rPr>
                <w:noProof/>
                <w:webHidden/>
              </w:rPr>
              <w:t>2</w:t>
            </w:r>
            <w:r>
              <w:rPr>
                <w:noProof/>
                <w:webHidden/>
              </w:rPr>
              <w:fldChar w:fldCharType="end"/>
            </w:r>
          </w:hyperlink>
        </w:p>
        <w:p w14:paraId="2C8D43D5" w14:textId="56EA1247" w:rsidR="005F1F6C" w:rsidRDefault="005F1F6C">
          <w:pPr>
            <w:pStyle w:val="TOC1"/>
            <w:tabs>
              <w:tab w:val="left" w:pos="480"/>
              <w:tab w:val="right" w:leader="dot" w:pos="10212"/>
            </w:tabs>
            <w:rPr>
              <w:noProof/>
              <w:kern w:val="2"/>
              <w:lang w:eastAsia="en-GB"/>
              <w14:ligatures w14:val="standardContextual"/>
            </w:rPr>
          </w:pPr>
          <w:hyperlink w:anchor="_Toc192768223" w:history="1">
            <w:r w:rsidRPr="001A7070">
              <w:rPr>
                <w:rStyle w:val="Hyperlink"/>
                <w:rFonts w:eastAsia="Times New Roman"/>
                <w:noProof/>
              </w:rPr>
              <w:t>3.</w:t>
            </w:r>
            <w:r>
              <w:rPr>
                <w:noProof/>
                <w:kern w:val="2"/>
                <w:lang w:eastAsia="en-GB"/>
                <w14:ligatures w14:val="standardContextual"/>
              </w:rPr>
              <w:tab/>
            </w:r>
            <w:r w:rsidRPr="001A7070">
              <w:rPr>
                <w:rStyle w:val="Hyperlink"/>
                <w:rFonts w:eastAsia="Times New Roman"/>
                <w:noProof/>
              </w:rPr>
              <w:t>New or modified discharges</w:t>
            </w:r>
            <w:r>
              <w:rPr>
                <w:noProof/>
                <w:webHidden/>
              </w:rPr>
              <w:tab/>
            </w:r>
            <w:r>
              <w:rPr>
                <w:noProof/>
                <w:webHidden/>
              </w:rPr>
              <w:fldChar w:fldCharType="begin"/>
            </w:r>
            <w:r>
              <w:rPr>
                <w:noProof/>
                <w:webHidden/>
              </w:rPr>
              <w:instrText xml:space="preserve"> PAGEREF _Toc192768223 \h </w:instrText>
            </w:r>
            <w:r>
              <w:rPr>
                <w:noProof/>
                <w:webHidden/>
              </w:rPr>
            </w:r>
            <w:r>
              <w:rPr>
                <w:noProof/>
                <w:webHidden/>
              </w:rPr>
              <w:fldChar w:fldCharType="separate"/>
            </w:r>
            <w:r>
              <w:rPr>
                <w:noProof/>
                <w:webHidden/>
              </w:rPr>
              <w:t>3</w:t>
            </w:r>
            <w:r>
              <w:rPr>
                <w:noProof/>
                <w:webHidden/>
              </w:rPr>
              <w:fldChar w:fldCharType="end"/>
            </w:r>
          </w:hyperlink>
        </w:p>
        <w:p w14:paraId="42700C1C" w14:textId="651F6FB7" w:rsidR="005F1F6C" w:rsidRDefault="005F1F6C">
          <w:pPr>
            <w:pStyle w:val="TOC2"/>
            <w:tabs>
              <w:tab w:val="left" w:pos="960"/>
              <w:tab w:val="right" w:leader="dot" w:pos="10212"/>
            </w:tabs>
            <w:rPr>
              <w:noProof/>
              <w:kern w:val="2"/>
              <w:lang w:eastAsia="en-GB"/>
              <w14:ligatures w14:val="standardContextual"/>
            </w:rPr>
          </w:pPr>
          <w:hyperlink w:anchor="_Toc192768224" w:history="1">
            <w:r w:rsidRPr="001A7070">
              <w:rPr>
                <w:rStyle w:val="Hyperlink"/>
                <w:noProof/>
              </w:rPr>
              <w:t xml:space="preserve">3.1 </w:t>
            </w:r>
            <w:r>
              <w:rPr>
                <w:noProof/>
                <w:kern w:val="2"/>
                <w:lang w:eastAsia="en-GB"/>
                <w14:ligatures w14:val="standardContextual"/>
              </w:rPr>
              <w:tab/>
            </w:r>
            <w:r w:rsidRPr="001A7070">
              <w:rPr>
                <w:rStyle w:val="Hyperlink"/>
                <w:noProof/>
              </w:rPr>
              <w:t>Registration level sewage discharges</w:t>
            </w:r>
            <w:r>
              <w:rPr>
                <w:noProof/>
                <w:webHidden/>
              </w:rPr>
              <w:tab/>
            </w:r>
            <w:r>
              <w:rPr>
                <w:noProof/>
                <w:webHidden/>
              </w:rPr>
              <w:fldChar w:fldCharType="begin"/>
            </w:r>
            <w:r>
              <w:rPr>
                <w:noProof/>
                <w:webHidden/>
              </w:rPr>
              <w:instrText xml:space="preserve"> PAGEREF _Toc192768224 \h </w:instrText>
            </w:r>
            <w:r>
              <w:rPr>
                <w:noProof/>
                <w:webHidden/>
              </w:rPr>
            </w:r>
            <w:r>
              <w:rPr>
                <w:noProof/>
                <w:webHidden/>
              </w:rPr>
              <w:fldChar w:fldCharType="separate"/>
            </w:r>
            <w:r>
              <w:rPr>
                <w:noProof/>
                <w:webHidden/>
              </w:rPr>
              <w:t>4</w:t>
            </w:r>
            <w:r>
              <w:rPr>
                <w:noProof/>
                <w:webHidden/>
              </w:rPr>
              <w:fldChar w:fldCharType="end"/>
            </w:r>
          </w:hyperlink>
        </w:p>
        <w:p w14:paraId="5F8D5DD2" w14:textId="1E358760" w:rsidR="005F1F6C" w:rsidRDefault="005F1F6C">
          <w:pPr>
            <w:pStyle w:val="TOC2"/>
            <w:tabs>
              <w:tab w:val="left" w:pos="960"/>
              <w:tab w:val="right" w:leader="dot" w:pos="10212"/>
            </w:tabs>
            <w:rPr>
              <w:noProof/>
              <w:kern w:val="2"/>
              <w:lang w:eastAsia="en-GB"/>
              <w14:ligatures w14:val="standardContextual"/>
            </w:rPr>
          </w:pPr>
          <w:hyperlink w:anchor="_Toc192768225" w:history="1">
            <w:r w:rsidRPr="001A7070">
              <w:rPr>
                <w:rStyle w:val="Hyperlink"/>
                <w:rFonts w:eastAsia="Times New Roman"/>
                <w:noProof/>
              </w:rPr>
              <w:t>3.2</w:t>
            </w:r>
            <w:r>
              <w:rPr>
                <w:noProof/>
                <w:kern w:val="2"/>
                <w:lang w:eastAsia="en-GB"/>
                <w14:ligatures w14:val="standardContextual"/>
              </w:rPr>
              <w:tab/>
            </w:r>
            <w:r w:rsidRPr="001A7070">
              <w:rPr>
                <w:rStyle w:val="Hyperlink"/>
                <w:rFonts w:eastAsia="Times New Roman"/>
                <w:noProof/>
              </w:rPr>
              <w:t>Permit level sewage discharges greater than 10 domestic properties or 50 p.e. but less than or equal to 100 p.e</w:t>
            </w:r>
            <w:r>
              <w:rPr>
                <w:noProof/>
                <w:webHidden/>
              </w:rPr>
              <w:tab/>
            </w:r>
            <w:r>
              <w:rPr>
                <w:noProof/>
                <w:webHidden/>
              </w:rPr>
              <w:fldChar w:fldCharType="begin"/>
            </w:r>
            <w:r>
              <w:rPr>
                <w:noProof/>
                <w:webHidden/>
              </w:rPr>
              <w:instrText xml:space="preserve"> PAGEREF _Toc192768225 \h </w:instrText>
            </w:r>
            <w:r>
              <w:rPr>
                <w:noProof/>
                <w:webHidden/>
              </w:rPr>
            </w:r>
            <w:r>
              <w:rPr>
                <w:noProof/>
                <w:webHidden/>
              </w:rPr>
              <w:fldChar w:fldCharType="separate"/>
            </w:r>
            <w:r>
              <w:rPr>
                <w:noProof/>
                <w:webHidden/>
              </w:rPr>
              <w:t>4</w:t>
            </w:r>
            <w:r>
              <w:rPr>
                <w:noProof/>
                <w:webHidden/>
              </w:rPr>
              <w:fldChar w:fldCharType="end"/>
            </w:r>
          </w:hyperlink>
        </w:p>
        <w:p w14:paraId="4D551E59" w14:textId="57E29175" w:rsidR="005F1F6C" w:rsidRDefault="005F1F6C">
          <w:pPr>
            <w:pStyle w:val="TOC3"/>
            <w:tabs>
              <w:tab w:val="left" w:pos="1440"/>
              <w:tab w:val="right" w:leader="dot" w:pos="10212"/>
            </w:tabs>
            <w:rPr>
              <w:noProof/>
              <w:kern w:val="2"/>
              <w:lang w:eastAsia="en-GB"/>
              <w14:ligatures w14:val="standardContextual"/>
            </w:rPr>
          </w:pPr>
          <w:hyperlink w:anchor="_Toc192768226" w:history="1">
            <w:r w:rsidRPr="001A7070">
              <w:rPr>
                <w:rStyle w:val="Hyperlink"/>
                <w:rFonts w:eastAsia="Times New Roman"/>
                <w:noProof/>
              </w:rPr>
              <w:t>3.2.1</w:t>
            </w:r>
            <w:r>
              <w:rPr>
                <w:noProof/>
                <w:kern w:val="2"/>
                <w:lang w:eastAsia="en-GB"/>
                <w14:ligatures w14:val="standardContextual"/>
              </w:rPr>
              <w:tab/>
            </w:r>
            <w:r w:rsidRPr="001A7070">
              <w:rPr>
                <w:rStyle w:val="Hyperlink"/>
                <w:rFonts w:eastAsia="Times New Roman"/>
                <w:noProof/>
              </w:rPr>
              <w:t>What are bathing and shellfish water zones?</w:t>
            </w:r>
            <w:r>
              <w:rPr>
                <w:noProof/>
                <w:webHidden/>
              </w:rPr>
              <w:tab/>
            </w:r>
            <w:r>
              <w:rPr>
                <w:noProof/>
                <w:webHidden/>
              </w:rPr>
              <w:fldChar w:fldCharType="begin"/>
            </w:r>
            <w:r>
              <w:rPr>
                <w:noProof/>
                <w:webHidden/>
              </w:rPr>
              <w:instrText xml:space="preserve"> PAGEREF _Toc192768226 \h </w:instrText>
            </w:r>
            <w:r>
              <w:rPr>
                <w:noProof/>
                <w:webHidden/>
              </w:rPr>
            </w:r>
            <w:r>
              <w:rPr>
                <w:noProof/>
                <w:webHidden/>
              </w:rPr>
              <w:fldChar w:fldCharType="separate"/>
            </w:r>
            <w:r>
              <w:rPr>
                <w:noProof/>
                <w:webHidden/>
              </w:rPr>
              <w:t>5</w:t>
            </w:r>
            <w:r>
              <w:rPr>
                <w:noProof/>
                <w:webHidden/>
              </w:rPr>
              <w:fldChar w:fldCharType="end"/>
            </w:r>
          </w:hyperlink>
        </w:p>
        <w:p w14:paraId="557A2D19" w14:textId="3EF62A89" w:rsidR="005F1F6C" w:rsidRDefault="005F1F6C">
          <w:pPr>
            <w:pStyle w:val="TOC2"/>
            <w:tabs>
              <w:tab w:val="left" w:pos="960"/>
              <w:tab w:val="right" w:leader="dot" w:pos="10212"/>
            </w:tabs>
            <w:rPr>
              <w:noProof/>
              <w:kern w:val="2"/>
              <w:lang w:eastAsia="en-GB"/>
              <w14:ligatures w14:val="standardContextual"/>
            </w:rPr>
          </w:pPr>
          <w:hyperlink w:anchor="_Toc192768227" w:history="1">
            <w:r w:rsidRPr="001A7070">
              <w:rPr>
                <w:rStyle w:val="Hyperlink"/>
                <w:rFonts w:eastAsia="Times New Roman"/>
                <w:noProof/>
              </w:rPr>
              <w:t>3.3</w:t>
            </w:r>
            <w:r>
              <w:rPr>
                <w:noProof/>
                <w:kern w:val="2"/>
                <w:lang w:eastAsia="en-GB"/>
                <w14:ligatures w14:val="standardContextual"/>
              </w:rPr>
              <w:tab/>
            </w:r>
            <w:r w:rsidRPr="001A7070">
              <w:rPr>
                <w:rStyle w:val="Hyperlink"/>
                <w:rFonts w:eastAsia="Times New Roman"/>
                <w:noProof/>
              </w:rPr>
              <w:t>Permit level discharges greater than 100 p.e.</w:t>
            </w:r>
            <w:r>
              <w:rPr>
                <w:noProof/>
                <w:webHidden/>
              </w:rPr>
              <w:tab/>
            </w:r>
            <w:r>
              <w:rPr>
                <w:noProof/>
                <w:webHidden/>
              </w:rPr>
              <w:fldChar w:fldCharType="begin"/>
            </w:r>
            <w:r>
              <w:rPr>
                <w:noProof/>
                <w:webHidden/>
              </w:rPr>
              <w:instrText xml:space="preserve"> PAGEREF _Toc192768227 \h </w:instrText>
            </w:r>
            <w:r>
              <w:rPr>
                <w:noProof/>
                <w:webHidden/>
              </w:rPr>
            </w:r>
            <w:r>
              <w:rPr>
                <w:noProof/>
                <w:webHidden/>
              </w:rPr>
              <w:fldChar w:fldCharType="separate"/>
            </w:r>
            <w:r>
              <w:rPr>
                <w:noProof/>
                <w:webHidden/>
              </w:rPr>
              <w:t>6</w:t>
            </w:r>
            <w:r>
              <w:rPr>
                <w:noProof/>
                <w:webHidden/>
              </w:rPr>
              <w:fldChar w:fldCharType="end"/>
            </w:r>
          </w:hyperlink>
        </w:p>
        <w:p w14:paraId="4B210015" w14:textId="3B76B304" w:rsidR="005F1F6C" w:rsidRDefault="005F1F6C">
          <w:pPr>
            <w:pStyle w:val="TOC1"/>
            <w:tabs>
              <w:tab w:val="left" w:pos="480"/>
              <w:tab w:val="right" w:leader="dot" w:pos="10212"/>
            </w:tabs>
            <w:rPr>
              <w:noProof/>
              <w:kern w:val="2"/>
              <w:lang w:eastAsia="en-GB"/>
              <w14:ligatures w14:val="standardContextual"/>
            </w:rPr>
          </w:pPr>
          <w:hyperlink w:anchor="_Toc192768228" w:history="1">
            <w:r w:rsidRPr="001A7070">
              <w:rPr>
                <w:rStyle w:val="Hyperlink"/>
                <w:rFonts w:eastAsia="Times New Roman"/>
                <w:noProof/>
              </w:rPr>
              <w:t>4.</w:t>
            </w:r>
            <w:r>
              <w:rPr>
                <w:noProof/>
                <w:kern w:val="2"/>
                <w:lang w:eastAsia="en-GB"/>
                <w14:ligatures w14:val="standardContextual"/>
              </w:rPr>
              <w:tab/>
            </w:r>
            <w:r w:rsidRPr="001A7070">
              <w:rPr>
                <w:rStyle w:val="Hyperlink"/>
                <w:rFonts w:eastAsia="Times New Roman"/>
                <w:noProof/>
              </w:rPr>
              <w:t>Our requirements for modelling</w:t>
            </w:r>
            <w:r>
              <w:rPr>
                <w:noProof/>
                <w:webHidden/>
              </w:rPr>
              <w:tab/>
            </w:r>
            <w:r>
              <w:rPr>
                <w:noProof/>
                <w:webHidden/>
              </w:rPr>
              <w:fldChar w:fldCharType="begin"/>
            </w:r>
            <w:r>
              <w:rPr>
                <w:noProof/>
                <w:webHidden/>
              </w:rPr>
              <w:instrText xml:space="preserve"> PAGEREF _Toc192768228 \h </w:instrText>
            </w:r>
            <w:r>
              <w:rPr>
                <w:noProof/>
                <w:webHidden/>
              </w:rPr>
            </w:r>
            <w:r>
              <w:rPr>
                <w:noProof/>
                <w:webHidden/>
              </w:rPr>
              <w:fldChar w:fldCharType="separate"/>
            </w:r>
            <w:r>
              <w:rPr>
                <w:noProof/>
                <w:webHidden/>
              </w:rPr>
              <w:t>7</w:t>
            </w:r>
            <w:r>
              <w:rPr>
                <w:noProof/>
                <w:webHidden/>
              </w:rPr>
              <w:fldChar w:fldCharType="end"/>
            </w:r>
          </w:hyperlink>
        </w:p>
        <w:p w14:paraId="4C0D03F7" w14:textId="2904D4E1" w:rsidR="005F1F6C" w:rsidRDefault="005F1F6C">
          <w:pPr>
            <w:pStyle w:val="TOC2"/>
            <w:tabs>
              <w:tab w:val="left" w:pos="960"/>
              <w:tab w:val="right" w:leader="dot" w:pos="10212"/>
            </w:tabs>
            <w:rPr>
              <w:noProof/>
              <w:kern w:val="2"/>
              <w:lang w:eastAsia="en-GB"/>
              <w14:ligatures w14:val="standardContextual"/>
            </w:rPr>
          </w:pPr>
          <w:hyperlink w:anchor="_Toc192768229" w:history="1">
            <w:r w:rsidRPr="001A7070">
              <w:rPr>
                <w:rStyle w:val="Hyperlink"/>
                <w:rFonts w:eastAsia="Times New Roman"/>
                <w:noProof/>
              </w:rPr>
              <w:t xml:space="preserve">4.1 </w:t>
            </w:r>
            <w:r>
              <w:rPr>
                <w:noProof/>
                <w:kern w:val="2"/>
                <w:lang w:eastAsia="en-GB"/>
                <w14:ligatures w14:val="standardContextual"/>
              </w:rPr>
              <w:tab/>
            </w:r>
            <w:r w:rsidRPr="001A7070">
              <w:rPr>
                <w:rStyle w:val="Hyperlink"/>
                <w:rFonts w:eastAsia="Times New Roman"/>
                <w:noProof/>
              </w:rPr>
              <w:t>Discharges to or near bathing waters</w:t>
            </w:r>
            <w:r>
              <w:rPr>
                <w:noProof/>
                <w:webHidden/>
              </w:rPr>
              <w:tab/>
            </w:r>
            <w:r>
              <w:rPr>
                <w:noProof/>
                <w:webHidden/>
              </w:rPr>
              <w:fldChar w:fldCharType="begin"/>
            </w:r>
            <w:r>
              <w:rPr>
                <w:noProof/>
                <w:webHidden/>
              </w:rPr>
              <w:instrText xml:space="preserve"> PAGEREF _Toc192768229 \h </w:instrText>
            </w:r>
            <w:r>
              <w:rPr>
                <w:noProof/>
                <w:webHidden/>
              </w:rPr>
            </w:r>
            <w:r>
              <w:rPr>
                <w:noProof/>
                <w:webHidden/>
              </w:rPr>
              <w:fldChar w:fldCharType="separate"/>
            </w:r>
            <w:r>
              <w:rPr>
                <w:noProof/>
                <w:webHidden/>
              </w:rPr>
              <w:t>7</w:t>
            </w:r>
            <w:r>
              <w:rPr>
                <w:noProof/>
                <w:webHidden/>
              </w:rPr>
              <w:fldChar w:fldCharType="end"/>
            </w:r>
          </w:hyperlink>
        </w:p>
        <w:p w14:paraId="2A5DE882" w14:textId="66FC29A7" w:rsidR="005F1F6C" w:rsidRDefault="005F1F6C">
          <w:pPr>
            <w:pStyle w:val="TOC2"/>
            <w:tabs>
              <w:tab w:val="left" w:pos="960"/>
              <w:tab w:val="right" w:leader="dot" w:pos="10212"/>
            </w:tabs>
            <w:rPr>
              <w:noProof/>
              <w:kern w:val="2"/>
              <w:lang w:eastAsia="en-GB"/>
              <w14:ligatures w14:val="standardContextual"/>
            </w:rPr>
          </w:pPr>
          <w:hyperlink w:anchor="_Toc192768230" w:history="1">
            <w:r w:rsidRPr="001A7070">
              <w:rPr>
                <w:rStyle w:val="Hyperlink"/>
                <w:rFonts w:eastAsia="Times New Roman"/>
                <w:noProof/>
              </w:rPr>
              <w:t xml:space="preserve">4.2 </w:t>
            </w:r>
            <w:r>
              <w:rPr>
                <w:noProof/>
                <w:kern w:val="2"/>
                <w:lang w:eastAsia="en-GB"/>
                <w14:ligatures w14:val="standardContextual"/>
              </w:rPr>
              <w:tab/>
            </w:r>
            <w:r w:rsidRPr="001A7070">
              <w:rPr>
                <w:rStyle w:val="Hyperlink"/>
                <w:rFonts w:eastAsia="Times New Roman"/>
                <w:noProof/>
              </w:rPr>
              <w:t>Discharges to or near shellfish water protected areas</w:t>
            </w:r>
            <w:r>
              <w:rPr>
                <w:noProof/>
                <w:webHidden/>
              </w:rPr>
              <w:tab/>
            </w:r>
            <w:r>
              <w:rPr>
                <w:noProof/>
                <w:webHidden/>
              </w:rPr>
              <w:fldChar w:fldCharType="begin"/>
            </w:r>
            <w:r>
              <w:rPr>
                <w:noProof/>
                <w:webHidden/>
              </w:rPr>
              <w:instrText xml:space="preserve"> PAGEREF _Toc192768230 \h </w:instrText>
            </w:r>
            <w:r>
              <w:rPr>
                <w:noProof/>
                <w:webHidden/>
              </w:rPr>
            </w:r>
            <w:r>
              <w:rPr>
                <w:noProof/>
                <w:webHidden/>
              </w:rPr>
              <w:fldChar w:fldCharType="separate"/>
            </w:r>
            <w:r>
              <w:rPr>
                <w:noProof/>
                <w:webHidden/>
              </w:rPr>
              <w:t>7</w:t>
            </w:r>
            <w:r>
              <w:rPr>
                <w:noProof/>
                <w:webHidden/>
              </w:rPr>
              <w:fldChar w:fldCharType="end"/>
            </w:r>
          </w:hyperlink>
        </w:p>
        <w:p w14:paraId="6FAD8B88" w14:textId="6652CACA" w:rsidR="005F1F6C" w:rsidRDefault="005F1F6C">
          <w:pPr>
            <w:pStyle w:val="TOC2"/>
            <w:tabs>
              <w:tab w:val="left" w:pos="960"/>
              <w:tab w:val="right" w:leader="dot" w:pos="10212"/>
            </w:tabs>
            <w:rPr>
              <w:noProof/>
              <w:kern w:val="2"/>
              <w:lang w:eastAsia="en-GB"/>
              <w14:ligatures w14:val="standardContextual"/>
            </w:rPr>
          </w:pPr>
          <w:hyperlink w:anchor="_Toc192768231" w:history="1">
            <w:r w:rsidRPr="001A7070">
              <w:rPr>
                <w:rStyle w:val="Hyperlink"/>
                <w:rFonts w:eastAsia="Times New Roman"/>
                <w:noProof/>
              </w:rPr>
              <w:t>4.3</w:t>
            </w:r>
            <w:r>
              <w:rPr>
                <w:noProof/>
                <w:kern w:val="2"/>
                <w:lang w:eastAsia="en-GB"/>
                <w14:ligatures w14:val="standardContextual"/>
              </w:rPr>
              <w:tab/>
            </w:r>
            <w:r w:rsidRPr="001A7070">
              <w:rPr>
                <w:rStyle w:val="Hyperlink"/>
                <w:rFonts w:eastAsia="Times New Roman"/>
                <w:noProof/>
              </w:rPr>
              <w:t>Discharges to or near classified shellfish harvesting areas</w:t>
            </w:r>
            <w:r>
              <w:rPr>
                <w:noProof/>
                <w:webHidden/>
              </w:rPr>
              <w:tab/>
            </w:r>
            <w:r>
              <w:rPr>
                <w:noProof/>
                <w:webHidden/>
              </w:rPr>
              <w:fldChar w:fldCharType="begin"/>
            </w:r>
            <w:r>
              <w:rPr>
                <w:noProof/>
                <w:webHidden/>
              </w:rPr>
              <w:instrText xml:space="preserve"> PAGEREF _Toc192768231 \h </w:instrText>
            </w:r>
            <w:r>
              <w:rPr>
                <w:noProof/>
                <w:webHidden/>
              </w:rPr>
            </w:r>
            <w:r>
              <w:rPr>
                <w:noProof/>
                <w:webHidden/>
              </w:rPr>
              <w:fldChar w:fldCharType="separate"/>
            </w:r>
            <w:r>
              <w:rPr>
                <w:noProof/>
                <w:webHidden/>
              </w:rPr>
              <w:t>8</w:t>
            </w:r>
            <w:r>
              <w:rPr>
                <w:noProof/>
                <w:webHidden/>
              </w:rPr>
              <w:fldChar w:fldCharType="end"/>
            </w:r>
          </w:hyperlink>
        </w:p>
        <w:p w14:paraId="6FCEC51B" w14:textId="0056EED1" w:rsidR="005F1F6C" w:rsidRDefault="005F1F6C">
          <w:pPr>
            <w:pStyle w:val="TOC2"/>
            <w:tabs>
              <w:tab w:val="left" w:pos="960"/>
              <w:tab w:val="right" w:leader="dot" w:pos="10212"/>
            </w:tabs>
            <w:rPr>
              <w:noProof/>
              <w:kern w:val="2"/>
              <w:lang w:eastAsia="en-GB"/>
              <w14:ligatures w14:val="standardContextual"/>
            </w:rPr>
          </w:pPr>
          <w:hyperlink w:anchor="_Toc192768232" w:history="1">
            <w:r w:rsidRPr="001A7070">
              <w:rPr>
                <w:rStyle w:val="Hyperlink"/>
                <w:noProof/>
              </w:rPr>
              <w:t>4.4</w:t>
            </w:r>
            <w:r>
              <w:rPr>
                <w:noProof/>
                <w:kern w:val="2"/>
                <w:lang w:eastAsia="en-GB"/>
                <w14:ligatures w14:val="standardContextual"/>
              </w:rPr>
              <w:tab/>
            </w:r>
            <w:r w:rsidRPr="001A7070">
              <w:rPr>
                <w:rStyle w:val="Hyperlink"/>
                <w:noProof/>
              </w:rPr>
              <w:t>Sewage model input parameters</w:t>
            </w:r>
            <w:r>
              <w:rPr>
                <w:noProof/>
                <w:webHidden/>
              </w:rPr>
              <w:tab/>
            </w:r>
            <w:r>
              <w:rPr>
                <w:noProof/>
                <w:webHidden/>
              </w:rPr>
              <w:fldChar w:fldCharType="begin"/>
            </w:r>
            <w:r>
              <w:rPr>
                <w:noProof/>
                <w:webHidden/>
              </w:rPr>
              <w:instrText xml:space="preserve"> PAGEREF _Toc192768232 \h </w:instrText>
            </w:r>
            <w:r>
              <w:rPr>
                <w:noProof/>
                <w:webHidden/>
              </w:rPr>
            </w:r>
            <w:r>
              <w:rPr>
                <w:noProof/>
                <w:webHidden/>
              </w:rPr>
              <w:fldChar w:fldCharType="separate"/>
            </w:r>
            <w:r>
              <w:rPr>
                <w:noProof/>
                <w:webHidden/>
              </w:rPr>
              <w:t>9</w:t>
            </w:r>
            <w:r>
              <w:rPr>
                <w:noProof/>
                <w:webHidden/>
              </w:rPr>
              <w:fldChar w:fldCharType="end"/>
            </w:r>
          </w:hyperlink>
        </w:p>
        <w:p w14:paraId="6A6CA1CE" w14:textId="7AF848F2" w:rsidR="005F1F6C" w:rsidRDefault="005F1F6C">
          <w:pPr>
            <w:pStyle w:val="TOC3"/>
            <w:tabs>
              <w:tab w:val="left" w:pos="1440"/>
              <w:tab w:val="right" w:leader="dot" w:pos="10212"/>
            </w:tabs>
            <w:rPr>
              <w:noProof/>
              <w:kern w:val="2"/>
              <w:lang w:eastAsia="en-GB"/>
              <w14:ligatures w14:val="standardContextual"/>
            </w:rPr>
          </w:pPr>
          <w:hyperlink w:anchor="_Toc192768233" w:history="1">
            <w:r w:rsidRPr="001A7070">
              <w:rPr>
                <w:rStyle w:val="Hyperlink"/>
                <w:noProof/>
              </w:rPr>
              <w:t>4.4.1</w:t>
            </w:r>
            <w:r>
              <w:rPr>
                <w:noProof/>
                <w:kern w:val="2"/>
                <w:lang w:eastAsia="en-GB"/>
                <w14:ligatures w14:val="standardContextual"/>
              </w:rPr>
              <w:tab/>
            </w:r>
            <w:r w:rsidRPr="001A7070">
              <w:rPr>
                <w:rStyle w:val="Hyperlink"/>
                <w:noProof/>
              </w:rPr>
              <w:t>Mean E. coli numbers in sewage</w:t>
            </w:r>
            <w:r>
              <w:rPr>
                <w:noProof/>
                <w:webHidden/>
              </w:rPr>
              <w:tab/>
            </w:r>
            <w:r>
              <w:rPr>
                <w:noProof/>
                <w:webHidden/>
              </w:rPr>
              <w:fldChar w:fldCharType="begin"/>
            </w:r>
            <w:r>
              <w:rPr>
                <w:noProof/>
                <w:webHidden/>
              </w:rPr>
              <w:instrText xml:space="preserve"> PAGEREF _Toc192768233 \h </w:instrText>
            </w:r>
            <w:r>
              <w:rPr>
                <w:noProof/>
                <w:webHidden/>
              </w:rPr>
            </w:r>
            <w:r>
              <w:rPr>
                <w:noProof/>
                <w:webHidden/>
              </w:rPr>
              <w:fldChar w:fldCharType="separate"/>
            </w:r>
            <w:r>
              <w:rPr>
                <w:noProof/>
                <w:webHidden/>
              </w:rPr>
              <w:t>9</w:t>
            </w:r>
            <w:r>
              <w:rPr>
                <w:noProof/>
                <w:webHidden/>
              </w:rPr>
              <w:fldChar w:fldCharType="end"/>
            </w:r>
          </w:hyperlink>
        </w:p>
        <w:p w14:paraId="6488458F" w14:textId="36BDF26F" w:rsidR="005F1F6C" w:rsidRDefault="005F1F6C">
          <w:pPr>
            <w:pStyle w:val="TOC3"/>
            <w:tabs>
              <w:tab w:val="left" w:pos="1440"/>
              <w:tab w:val="right" w:leader="dot" w:pos="10212"/>
            </w:tabs>
            <w:rPr>
              <w:noProof/>
              <w:kern w:val="2"/>
              <w:lang w:eastAsia="en-GB"/>
              <w14:ligatures w14:val="standardContextual"/>
            </w:rPr>
          </w:pPr>
          <w:hyperlink w:anchor="_Toc192768234" w:history="1">
            <w:r w:rsidRPr="001A7070">
              <w:rPr>
                <w:rStyle w:val="Hyperlink"/>
                <w:noProof/>
              </w:rPr>
              <w:t>4.4.2</w:t>
            </w:r>
            <w:r>
              <w:rPr>
                <w:noProof/>
                <w:kern w:val="2"/>
                <w:lang w:eastAsia="en-GB"/>
                <w14:ligatures w14:val="standardContextual"/>
              </w:rPr>
              <w:tab/>
            </w:r>
            <w:r w:rsidRPr="001A7070">
              <w:rPr>
                <w:rStyle w:val="Hyperlink"/>
                <w:noProof/>
              </w:rPr>
              <w:t>E. coli die off rates</w:t>
            </w:r>
            <w:r>
              <w:rPr>
                <w:noProof/>
                <w:webHidden/>
              </w:rPr>
              <w:tab/>
            </w:r>
            <w:r>
              <w:rPr>
                <w:noProof/>
                <w:webHidden/>
              </w:rPr>
              <w:fldChar w:fldCharType="begin"/>
            </w:r>
            <w:r>
              <w:rPr>
                <w:noProof/>
                <w:webHidden/>
              </w:rPr>
              <w:instrText xml:space="preserve"> PAGEREF _Toc192768234 \h </w:instrText>
            </w:r>
            <w:r>
              <w:rPr>
                <w:noProof/>
                <w:webHidden/>
              </w:rPr>
            </w:r>
            <w:r>
              <w:rPr>
                <w:noProof/>
                <w:webHidden/>
              </w:rPr>
              <w:fldChar w:fldCharType="separate"/>
            </w:r>
            <w:r>
              <w:rPr>
                <w:noProof/>
                <w:webHidden/>
              </w:rPr>
              <w:t>9</w:t>
            </w:r>
            <w:r>
              <w:rPr>
                <w:noProof/>
                <w:webHidden/>
              </w:rPr>
              <w:fldChar w:fldCharType="end"/>
            </w:r>
          </w:hyperlink>
        </w:p>
        <w:p w14:paraId="5AE1641A" w14:textId="52E5CCE0" w:rsidR="005F1F6C" w:rsidRDefault="005F1F6C">
          <w:pPr>
            <w:pStyle w:val="TOC1"/>
            <w:tabs>
              <w:tab w:val="left" w:pos="480"/>
              <w:tab w:val="right" w:leader="dot" w:pos="10212"/>
            </w:tabs>
            <w:rPr>
              <w:noProof/>
              <w:kern w:val="2"/>
              <w:lang w:eastAsia="en-GB"/>
              <w14:ligatures w14:val="standardContextual"/>
            </w:rPr>
          </w:pPr>
          <w:hyperlink w:anchor="_Toc192768235" w:history="1">
            <w:r w:rsidRPr="001A7070">
              <w:rPr>
                <w:rStyle w:val="Hyperlink"/>
                <w:rFonts w:eastAsia="Times New Roman"/>
                <w:noProof/>
              </w:rPr>
              <w:t>5.</w:t>
            </w:r>
            <w:r>
              <w:rPr>
                <w:noProof/>
                <w:kern w:val="2"/>
                <w:lang w:eastAsia="en-GB"/>
                <w14:ligatures w14:val="standardContextual"/>
              </w:rPr>
              <w:tab/>
            </w:r>
            <w:r w:rsidRPr="001A7070">
              <w:rPr>
                <w:rStyle w:val="Hyperlink"/>
                <w:rFonts w:eastAsia="Times New Roman"/>
                <w:noProof/>
              </w:rPr>
              <w:t>Your permit</w:t>
            </w:r>
            <w:r>
              <w:rPr>
                <w:noProof/>
                <w:webHidden/>
              </w:rPr>
              <w:tab/>
            </w:r>
            <w:r>
              <w:rPr>
                <w:noProof/>
                <w:webHidden/>
              </w:rPr>
              <w:fldChar w:fldCharType="begin"/>
            </w:r>
            <w:r>
              <w:rPr>
                <w:noProof/>
                <w:webHidden/>
              </w:rPr>
              <w:instrText xml:space="preserve"> PAGEREF _Toc192768235 \h </w:instrText>
            </w:r>
            <w:r>
              <w:rPr>
                <w:noProof/>
                <w:webHidden/>
              </w:rPr>
            </w:r>
            <w:r>
              <w:rPr>
                <w:noProof/>
                <w:webHidden/>
              </w:rPr>
              <w:fldChar w:fldCharType="separate"/>
            </w:r>
            <w:r>
              <w:rPr>
                <w:noProof/>
                <w:webHidden/>
              </w:rPr>
              <w:t>10</w:t>
            </w:r>
            <w:r>
              <w:rPr>
                <w:noProof/>
                <w:webHidden/>
              </w:rPr>
              <w:fldChar w:fldCharType="end"/>
            </w:r>
          </w:hyperlink>
        </w:p>
        <w:p w14:paraId="13CA1B88" w14:textId="5F0DE82A" w:rsidR="005F1F6C" w:rsidRDefault="005F1F6C">
          <w:pPr>
            <w:pStyle w:val="TOC1"/>
            <w:tabs>
              <w:tab w:val="left" w:pos="480"/>
              <w:tab w:val="right" w:leader="dot" w:pos="10212"/>
            </w:tabs>
            <w:rPr>
              <w:noProof/>
              <w:kern w:val="2"/>
              <w:lang w:eastAsia="en-GB"/>
              <w14:ligatures w14:val="standardContextual"/>
            </w:rPr>
          </w:pPr>
          <w:hyperlink w:anchor="_Toc192768236" w:history="1">
            <w:r w:rsidRPr="001A7070">
              <w:rPr>
                <w:rStyle w:val="Hyperlink"/>
                <w:rFonts w:eastAsia="Times New Roman"/>
                <w:noProof/>
              </w:rPr>
              <w:t>6.</w:t>
            </w:r>
            <w:r>
              <w:rPr>
                <w:noProof/>
                <w:kern w:val="2"/>
                <w:lang w:eastAsia="en-GB"/>
                <w14:ligatures w14:val="standardContextual"/>
              </w:rPr>
              <w:tab/>
            </w:r>
            <w:r w:rsidRPr="001A7070">
              <w:rPr>
                <w:rStyle w:val="Hyperlink"/>
                <w:rFonts w:eastAsia="Times New Roman"/>
                <w:noProof/>
              </w:rPr>
              <w:t>Sewer overflows</w:t>
            </w:r>
            <w:r>
              <w:rPr>
                <w:noProof/>
                <w:webHidden/>
              </w:rPr>
              <w:tab/>
            </w:r>
            <w:r>
              <w:rPr>
                <w:noProof/>
                <w:webHidden/>
              </w:rPr>
              <w:fldChar w:fldCharType="begin"/>
            </w:r>
            <w:r>
              <w:rPr>
                <w:noProof/>
                <w:webHidden/>
              </w:rPr>
              <w:instrText xml:space="preserve"> PAGEREF _Toc192768236 \h </w:instrText>
            </w:r>
            <w:r>
              <w:rPr>
                <w:noProof/>
                <w:webHidden/>
              </w:rPr>
            </w:r>
            <w:r>
              <w:rPr>
                <w:noProof/>
                <w:webHidden/>
              </w:rPr>
              <w:fldChar w:fldCharType="separate"/>
            </w:r>
            <w:r>
              <w:rPr>
                <w:noProof/>
                <w:webHidden/>
              </w:rPr>
              <w:t>10</w:t>
            </w:r>
            <w:r>
              <w:rPr>
                <w:noProof/>
                <w:webHidden/>
              </w:rPr>
              <w:fldChar w:fldCharType="end"/>
            </w:r>
          </w:hyperlink>
        </w:p>
        <w:p w14:paraId="4B8EDAF7" w14:textId="763E4403" w:rsidR="005F1F6C" w:rsidRDefault="005F1F6C">
          <w:pPr>
            <w:pStyle w:val="TOC2"/>
            <w:tabs>
              <w:tab w:val="left" w:pos="960"/>
              <w:tab w:val="right" w:leader="dot" w:pos="10212"/>
            </w:tabs>
            <w:rPr>
              <w:noProof/>
              <w:kern w:val="2"/>
              <w:lang w:eastAsia="en-GB"/>
              <w14:ligatures w14:val="standardContextual"/>
            </w:rPr>
          </w:pPr>
          <w:hyperlink w:anchor="_Toc192768237" w:history="1">
            <w:r w:rsidRPr="001A7070">
              <w:rPr>
                <w:rStyle w:val="Hyperlink"/>
                <w:noProof/>
              </w:rPr>
              <w:t>6.1</w:t>
            </w:r>
            <w:r>
              <w:rPr>
                <w:noProof/>
                <w:kern w:val="2"/>
                <w:lang w:eastAsia="en-GB"/>
                <w14:ligatures w14:val="standardContextual"/>
              </w:rPr>
              <w:tab/>
            </w:r>
            <w:r w:rsidRPr="001A7070">
              <w:rPr>
                <w:rStyle w:val="Hyperlink"/>
                <w:noProof/>
              </w:rPr>
              <w:t>Emergency overflows</w:t>
            </w:r>
            <w:r>
              <w:rPr>
                <w:noProof/>
                <w:webHidden/>
              </w:rPr>
              <w:tab/>
            </w:r>
            <w:r>
              <w:rPr>
                <w:noProof/>
                <w:webHidden/>
              </w:rPr>
              <w:fldChar w:fldCharType="begin"/>
            </w:r>
            <w:r>
              <w:rPr>
                <w:noProof/>
                <w:webHidden/>
              </w:rPr>
              <w:instrText xml:space="preserve"> PAGEREF _Toc192768237 \h </w:instrText>
            </w:r>
            <w:r>
              <w:rPr>
                <w:noProof/>
                <w:webHidden/>
              </w:rPr>
            </w:r>
            <w:r>
              <w:rPr>
                <w:noProof/>
                <w:webHidden/>
              </w:rPr>
              <w:fldChar w:fldCharType="separate"/>
            </w:r>
            <w:r>
              <w:rPr>
                <w:noProof/>
                <w:webHidden/>
              </w:rPr>
              <w:t>10</w:t>
            </w:r>
            <w:r>
              <w:rPr>
                <w:noProof/>
                <w:webHidden/>
              </w:rPr>
              <w:fldChar w:fldCharType="end"/>
            </w:r>
          </w:hyperlink>
        </w:p>
        <w:p w14:paraId="4273162A" w14:textId="36C95038" w:rsidR="005F1F6C" w:rsidRDefault="005F1F6C">
          <w:pPr>
            <w:pStyle w:val="TOC2"/>
            <w:tabs>
              <w:tab w:val="left" w:pos="960"/>
              <w:tab w:val="right" w:leader="dot" w:pos="10212"/>
            </w:tabs>
            <w:rPr>
              <w:noProof/>
              <w:kern w:val="2"/>
              <w:lang w:eastAsia="en-GB"/>
              <w14:ligatures w14:val="standardContextual"/>
            </w:rPr>
          </w:pPr>
          <w:hyperlink w:anchor="_Toc192768238" w:history="1">
            <w:r w:rsidRPr="001A7070">
              <w:rPr>
                <w:rStyle w:val="Hyperlink"/>
                <w:rFonts w:eastAsia="Times New Roman"/>
                <w:noProof/>
              </w:rPr>
              <w:t xml:space="preserve">6.2 </w:t>
            </w:r>
            <w:r>
              <w:rPr>
                <w:noProof/>
                <w:kern w:val="2"/>
                <w:lang w:eastAsia="en-GB"/>
                <w14:ligatures w14:val="standardContextual"/>
              </w:rPr>
              <w:tab/>
            </w:r>
            <w:r w:rsidRPr="001A7070">
              <w:rPr>
                <w:rStyle w:val="Hyperlink"/>
                <w:rFonts w:eastAsia="Times New Roman"/>
                <w:noProof/>
              </w:rPr>
              <w:t>Combined sewer overflows</w:t>
            </w:r>
            <w:r>
              <w:rPr>
                <w:noProof/>
                <w:webHidden/>
              </w:rPr>
              <w:tab/>
            </w:r>
            <w:r>
              <w:rPr>
                <w:noProof/>
                <w:webHidden/>
              </w:rPr>
              <w:fldChar w:fldCharType="begin"/>
            </w:r>
            <w:r>
              <w:rPr>
                <w:noProof/>
                <w:webHidden/>
              </w:rPr>
              <w:instrText xml:space="preserve"> PAGEREF _Toc192768238 \h </w:instrText>
            </w:r>
            <w:r>
              <w:rPr>
                <w:noProof/>
                <w:webHidden/>
              </w:rPr>
            </w:r>
            <w:r>
              <w:rPr>
                <w:noProof/>
                <w:webHidden/>
              </w:rPr>
              <w:fldChar w:fldCharType="separate"/>
            </w:r>
            <w:r>
              <w:rPr>
                <w:noProof/>
                <w:webHidden/>
              </w:rPr>
              <w:t>11</w:t>
            </w:r>
            <w:r>
              <w:rPr>
                <w:noProof/>
                <w:webHidden/>
              </w:rPr>
              <w:fldChar w:fldCharType="end"/>
            </w:r>
          </w:hyperlink>
        </w:p>
        <w:p w14:paraId="54261A54" w14:textId="08E645C5" w:rsidR="005F1F6C" w:rsidRDefault="005F1F6C">
          <w:pPr>
            <w:pStyle w:val="TOC1"/>
            <w:tabs>
              <w:tab w:val="right" w:leader="dot" w:pos="10212"/>
            </w:tabs>
            <w:rPr>
              <w:noProof/>
              <w:kern w:val="2"/>
              <w:lang w:eastAsia="en-GB"/>
              <w14:ligatures w14:val="standardContextual"/>
            </w:rPr>
          </w:pPr>
          <w:hyperlink w:anchor="_Toc192768239" w:history="1">
            <w:r w:rsidRPr="001A7070">
              <w:rPr>
                <w:rStyle w:val="Hyperlink"/>
                <w:rFonts w:eastAsia="Times New Roman"/>
                <w:noProof/>
              </w:rPr>
              <w:t>Appendix 1: Legislative background</w:t>
            </w:r>
            <w:r>
              <w:rPr>
                <w:noProof/>
                <w:webHidden/>
              </w:rPr>
              <w:tab/>
            </w:r>
            <w:r>
              <w:rPr>
                <w:noProof/>
                <w:webHidden/>
              </w:rPr>
              <w:fldChar w:fldCharType="begin"/>
            </w:r>
            <w:r>
              <w:rPr>
                <w:noProof/>
                <w:webHidden/>
              </w:rPr>
              <w:instrText xml:space="preserve"> PAGEREF _Toc192768239 \h </w:instrText>
            </w:r>
            <w:r>
              <w:rPr>
                <w:noProof/>
                <w:webHidden/>
              </w:rPr>
            </w:r>
            <w:r>
              <w:rPr>
                <w:noProof/>
                <w:webHidden/>
              </w:rPr>
              <w:fldChar w:fldCharType="separate"/>
            </w:r>
            <w:r>
              <w:rPr>
                <w:noProof/>
                <w:webHidden/>
              </w:rPr>
              <w:t>11</w:t>
            </w:r>
            <w:r>
              <w:rPr>
                <w:noProof/>
                <w:webHidden/>
              </w:rPr>
              <w:fldChar w:fldCharType="end"/>
            </w:r>
          </w:hyperlink>
        </w:p>
        <w:p w14:paraId="54CCF6E2" w14:textId="37783875" w:rsidR="005F1F6C" w:rsidRDefault="005F1F6C">
          <w:pPr>
            <w:pStyle w:val="TOC2"/>
            <w:tabs>
              <w:tab w:val="left" w:pos="960"/>
              <w:tab w:val="right" w:leader="dot" w:pos="10212"/>
            </w:tabs>
            <w:rPr>
              <w:noProof/>
              <w:kern w:val="2"/>
              <w:lang w:eastAsia="en-GB"/>
              <w14:ligatures w14:val="standardContextual"/>
            </w:rPr>
          </w:pPr>
          <w:hyperlink w:anchor="_Toc192768240" w:history="1">
            <w:r w:rsidRPr="001A7070">
              <w:rPr>
                <w:rStyle w:val="Hyperlink"/>
                <w:rFonts w:eastAsia="Times New Roman"/>
                <w:noProof/>
              </w:rPr>
              <w:t>A.1</w:t>
            </w:r>
            <w:r>
              <w:rPr>
                <w:noProof/>
                <w:kern w:val="2"/>
                <w:lang w:eastAsia="en-GB"/>
                <w14:ligatures w14:val="standardContextual"/>
              </w:rPr>
              <w:tab/>
            </w:r>
            <w:r w:rsidRPr="001A7070">
              <w:rPr>
                <w:rStyle w:val="Hyperlink"/>
                <w:rFonts w:eastAsia="Times New Roman"/>
                <w:noProof/>
              </w:rPr>
              <w:t>Bathing Waters</w:t>
            </w:r>
            <w:r>
              <w:rPr>
                <w:noProof/>
                <w:webHidden/>
              </w:rPr>
              <w:tab/>
            </w:r>
            <w:r>
              <w:rPr>
                <w:noProof/>
                <w:webHidden/>
              </w:rPr>
              <w:fldChar w:fldCharType="begin"/>
            </w:r>
            <w:r>
              <w:rPr>
                <w:noProof/>
                <w:webHidden/>
              </w:rPr>
              <w:instrText xml:space="preserve"> PAGEREF _Toc192768240 \h </w:instrText>
            </w:r>
            <w:r>
              <w:rPr>
                <w:noProof/>
                <w:webHidden/>
              </w:rPr>
            </w:r>
            <w:r>
              <w:rPr>
                <w:noProof/>
                <w:webHidden/>
              </w:rPr>
              <w:fldChar w:fldCharType="separate"/>
            </w:r>
            <w:r>
              <w:rPr>
                <w:noProof/>
                <w:webHidden/>
              </w:rPr>
              <w:t>11</w:t>
            </w:r>
            <w:r>
              <w:rPr>
                <w:noProof/>
                <w:webHidden/>
              </w:rPr>
              <w:fldChar w:fldCharType="end"/>
            </w:r>
          </w:hyperlink>
        </w:p>
        <w:p w14:paraId="56282B4B" w14:textId="75E258AD" w:rsidR="005F1F6C" w:rsidRDefault="005F1F6C">
          <w:pPr>
            <w:pStyle w:val="TOC2"/>
            <w:tabs>
              <w:tab w:val="right" w:leader="dot" w:pos="10212"/>
            </w:tabs>
            <w:rPr>
              <w:noProof/>
              <w:kern w:val="2"/>
              <w:lang w:eastAsia="en-GB"/>
              <w14:ligatures w14:val="standardContextual"/>
            </w:rPr>
          </w:pPr>
          <w:hyperlink w:anchor="_Toc192768241" w:history="1">
            <w:r w:rsidRPr="001A7070">
              <w:rPr>
                <w:rStyle w:val="Hyperlink"/>
                <w:rFonts w:eastAsia="Times New Roman"/>
                <w:noProof/>
              </w:rPr>
              <w:t>A.2 Shellfish Waters</w:t>
            </w:r>
            <w:r>
              <w:rPr>
                <w:noProof/>
                <w:webHidden/>
              </w:rPr>
              <w:tab/>
            </w:r>
            <w:r>
              <w:rPr>
                <w:noProof/>
                <w:webHidden/>
              </w:rPr>
              <w:fldChar w:fldCharType="begin"/>
            </w:r>
            <w:r>
              <w:rPr>
                <w:noProof/>
                <w:webHidden/>
              </w:rPr>
              <w:instrText xml:space="preserve"> PAGEREF _Toc192768241 \h </w:instrText>
            </w:r>
            <w:r>
              <w:rPr>
                <w:noProof/>
                <w:webHidden/>
              </w:rPr>
            </w:r>
            <w:r>
              <w:rPr>
                <w:noProof/>
                <w:webHidden/>
              </w:rPr>
              <w:fldChar w:fldCharType="separate"/>
            </w:r>
            <w:r>
              <w:rPr>
                <w:noProof/>
                <w:webHidden/>
              </w:rPr>
              <w:t>11</w:t>
            </w:r>
            <w:r>
              <w:rPr>
                <w:noProof/>
                <w:webHidden/>
              </w:rPr>
              <w:fldChar w:fldCharType="end"/>
            </w:r>
          </w:hyperlink>
        </w:p>
        <w:p w14:paraId="5E11CB5D" w14:textId="3E81C75C" w:rsidR="005F1F6C" w:rsidRDefault="005F1F6C">
          <w:pPr>
            <w:pStyle w:val="TOC1"/>
            <w:tabs>
              <w:tab w:val="right" w:leader="dot" w:pos="10212"/>
            </w:tabs>
            <w:rPr>
              <w:noProof/>
              <w:kern w:val="2"/>
              <w:lang w:eastAsia="en-GB"/>
              <w14:ligatures w14:val="standardContextual"/>
            </w:rPr>
          </w:pPr>
          <w:hyperlink w:anchor="_Toc192768242" w:history="1">
            <w:r w:rsidRPr="001A7070">
              <w:rPr>
                <w:rStyle w:val="Hyperlink"/>
                <w:rFonts w:eastAsia="Times New Roman"/>
                <w:noProof/>
              </w:rPr>
              <w:t>Appendix 2: Bathing water standards</w:t>
            </w:r>
            <w:r>
              <w:rPr>
                <w:noProof/>
                <w:webHidden/>
              </w:rPr>
              <w:tab/>
            </w:r>
            <w:r>
              <w:rPr>
                <w:noProof/>
                <w:webHidden/>
              </w:rPr>
              <w:fldChar w:fldCharType="begin"/>
            </w:r>
            <w:r>
              <w:rPr>
                <w:noProof/>
                <w:webHidden/>
              </w:rPr>
              <w:instrText xml:space="preserve"> PAGEREF _Toc192768242 \h </w:instrText>
            </w:r>
            <w:r>
              <w:rPr>
                <w:noProof/>
                <w:webHidden/>
              </w:rPr>
            </w:r>
            <w:r>
              <w:rPr>
                <w:noProof/>
                <w:webHidden/>
              </w:rPr>
              <w:fldChar w:fldCharType="separate"/>
            </w:r>
            <w:r>
              <w:rPr>
                <w:noProof/>
                <w:webHidden/>
              </w:rPr>
              <w:t>13</w:t>
            </w:r>
            <w:r>
              <w:rPr>
                <w:noProof/>
                <w:webHidden/>
              </w:rPr>
              <w:fldChar w:fldCharType="end"/>
            </w:r>
          </w:hyperlink>
        </w:p>
        <w:p w14:paraId="6BB396EF" w14:textId="61EB0632" w:rsidR="005F1F6C" w:rsidRDefault="005F1F6C">
          <w:pPr>
            <w:pStyle w:val="TOC2"/>
            <w:tabs>
              <w:tab w:val="right" w:leader="dot" w:pos="10212"/>
            </w:tabs>
            <w:rPr>
              <w:noProof/>
              <w:kern w:val="2"/>
              <w:lang w:eastAsia="en-GB"/>
              <w14:ligatures w14:val="standardContextual"/>
            </w:rPr>
          </w:pPr>
          <w:hyperlink w:anchor="_Toc192768243" w:history="1">
            <w:r w:rsidRPr="001A7070">
              <w:rPr>
                <w:rStyle w:val="Hyperlink"/>
                <w:rFonts w:eastAsia="Times New Roman"/>
                <w:noProof/>
              </w:rPr>
              <w:t>A2.1 Modelling standards for bathing waters</w:t>
            </w:r>
            <w:r>
              <w:rPr>
                <w:noProof/>
                <w:webHidden/>
              </w:rPr>
              <w:tab/>
            </w:r>
            <w:r>
              <w:rPr>
                <w:noProof/>
                <w:webHidden/>
              </w:rPr>
              <w:fldChar w:fldCharType="begin"/>
            </w:r>
            <w:r>
              <w:rPr>
                <w:noProof/>
                <w:webHidden/>
              </w:rPr>
              <w:instrText xml:space="preserve"> PAGEREF _Toc192768243 \h </w:instrText>
            </w:r>
            <w:r>
              <w:rPr>
                <w:noProof/>
                <w:webHidden/>
              </w:rPr>
            </w:r>
            <w:r>
              <w:rPr>
                <w:noProof/>
                <w:webHidden/>
              </w:rPr>
              <w:fldChar w:fldCharType="separate"/>
            </w:r>
            <w:r>
              <w:rPr>
                <w:noProof/>
                <w:webHidden/>
              </w:rPr>
              <w:t>13</w:t>
            </w:r>
            <w:r>
              <w:rPr>
                <w:noProof/>
                <w:webHidden/>
              </w:rPr>
              <w:fldChar w:fldCharType="end"/>
            </w:r>
          </w:hyperlink>
        </w:p>
        <w:p w14:paraId="63B23B18" w14:textId="513BDA36" w:rsidR="005F1F6C" w:rsidRDefault="005F1F6C">
          <w:pPr>
            <w:pStyle w:val="TOC1"/>
            <w:tabs>
              <w:tab w:val="right" w:leader="dot" w:pos="10212"/>
            </w:tabs>
            <w:rPr>
              <w:noProof/>
              <w:kern w:val="2"/>
              <w:lang w:eastAsia="en-GB"/>
              <w14:ligatures w14:val="standardContextual"/>
            </w:rPr>
          </w:pPr>
          <w:hyperlink w:anchor="_Toc192768244" w:history="1">
            <w:r w:rsidRPr="001A7070">
              <w:rPr>
                <w:rStyle w:val="Hyperlink"/>
                <w:noProof/>
              </w:rPr>
              <w:t>Disclaimer</w:t>
            </w:r>
            <w:r>
              <w:rPr>
                <w:noProof/>
                <w:webHidden/>
              </w:rPr>
              <w:tab/>
            </w:r>
            <w:r>
              <w:rPr>
                <w:noProof/>
                <w:webHidden/>
              </w:rPr>
              <w:fldChar w:fldCharType="begin"/>
            </w:r>
            <w:r>
              <w:rPr>
                <w:noProof/>
                <w:webHidden/>
              </w:rPr>
              <w:instrText xml:space="preserve"> PAGEREF _Toc192768244 \h </w:instrText>
            </w:r>
            <w:r>
              <w:rPr>
                <w:noProof/>
                <w:webHidden/>
              </w:rPr>
            </w:r>
            <w:r>
              <w:rPr>
                <w:noProof/>
                <w:webHidden/>
              </w:rPr>
              <w:fldChar w:fldCharType="separate"/>
            </w:r>
            <w:r>
              <w:rPr>
                <w:noProof/>
                <w:webHidden/>
              </w:rPr>
              <w:t>13</w:t>
            </w:r>
            <w:r>
              <w:rPr>
                <w:noProof/>
                <w:webHidden/>
              </w:rPr>
              <w:fldChar w:fldCharType="end"/>
            </w:r>
          </w:hyperlink>
        </w:p>
        <w:p w14:paraId="447455BF" w14:textId="4791F3B1" w:rsidR="00EA7C0E" w:rsidRDefault="00EA7C0E">
          <w:r>
            <w:rPr>
              <w:b/>
              <w:bCs/>
              <w:noProof/>
            </w:rPr>
            <w:lastRenderedPageBreak/>
            <w:fldChar w:fldCharType="end"/>
          </w:r>
        </w:p>
      </w:sdtContent>
    </w:sdt>
    <w:p w14:paraId="5038249A" w14:textId="714534E0" w:rsidR="00EA7C0E" w:rsidRPr="00EA7C0E" w:rsidRDefault="00EA7C0E" w:rsidP="00EA7C0E">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101B9642" w14:textId="01B67877" w:rsidR="001226C8" w:rsidRPr="001226C8" w:rsidRDefault="001226C8" w:rsidP="001226C8">
      <w:pPr>
        <w:pStyle w:val="Heading1"/>
        <w:numPr>
          <w:ilvl w:val="0"/>
          <w:numId w:val="14"/>
        </w:numPr>
        <w:ind w:hanging="720"/>
        <w:rPr>
          <w:rFonts w:eastAsia="Times New Roman"/>
        </w:rPr>
      </w:pPr>
      <w:bookmarkStart w:id="0" w:name="_Toc192768221"/>
      <w:r w:rsidRPr="001226C8">
        <w:rPr>
          <w:rFonts w:eastAsia="Times New Roman"/>
        </w:rPr>
        <w:t>Purpose and scope</w:t>
      </w:r>
      <w:bookmarkEnd w:id="0"/>
    </w:p>
    <w:p w14:paraId="0D6017EE" w14:textId="5E3D38E9" w:rsidR="001226C8" w:rsidRPr="001226C8" w:rsidRDefault="001226C8" w:rsidP="001226C8">
      <w:pPr>
        <w:pStyle w:val="BodyText1"/>
        <w:rPr>
          <w:rFonts w:eastAsia="Times New Roman"/>
        </w:rPr>
      </w:pPr>
      <w:r w:rsidRPr="001226C8">
        <w:rPr>
          <w:rFonts w:eastAsia="Times New Roman"/>
        </w:rPr>
        <w:t xml:space="preserve">This guidance sets out </w:t>
      </w:r>
      <w:r w:rsidR="008575AB">
        <w:rPr>
          <w:rFonts w:eastAsia="Times New Roman"/>
        </w:rPr>
        <w:t xml:space="preserve">our requirements for </w:t>
      </w:r>
      <w:r w:rsidR="003430CA">
        <w:rPr>
          <w:rFonts w:eastAsia="Times New Roman"/>
        </w:rPr>
        <w:t xml:space="preserve">the treatment of </w:t>
      </w:r>
      <w:r w:rsidR="00B238E9">
        <w:rPr>
          <w:rFonts w:eastAsia="Times New Roman"/>
        </w:rPr>
        <w:t xml:space="preserve">effluent </w:t>
      </w:r>
      <w:r w:rsidR="00420EDA">
        <w:rPr>
          <w:rFonts w:eastAsia="Times New Roman"/>
        </w:rPr>
        <w:t xml:space="preserve">to reduce </w:t>
      </w:r>
      <w:r w:rsidR="00CE5267">
        <w:rPr>
          <w:rFonts w:eastAsia="Times New Roman"/>
        </w:rPr>
        <w:t>the amount</w:t>
      </w:r>
      <w:r w:rsidR="00026CF2">
        <w:rPr>
          <w:rFonts w:eastAsia="Times New Roman"/>
        </w:rPr>
        <w:t xml:space="preserve"> of </w:t>
      </w:r>
      <w:r w:rsidR="00F10E67">
        <w:rPr>
          <w:rFonts w:eastAsia="Times New Roman"/>
        </w:rPr>
        <w:t xml:space="preserve">microbes to </w:t>
      </w:r>
      <w:r w:rsidR="0086046B">
        <w:rPr>
          <w:rFonts w:eastAsia="Times New Roman"/>
        </w:rPr>
        <w:t>protect</w:t>
      </w:r>
      <w:r w:rsidR="00CE5267">
        <w:rPr>
          <w:rFonts w:eastAsia="Times New Roman"/>
        </w:rPr>
        <w:t xml:space="preserve"> </w:t>
      </w:r>
      <w:r w:rsidR="0086046B">
        <w:rPr>
          <w:rFonts w:eastAsia="Times New Roman"/>
        </w:rPr>
        <w:t>bathing and shellfish waters</w:t>
      </w:r>
      <w:r w:rsidR="005D6018">
        <w:rPr>
          <w:rFonts w:eastAsia="Times New Roman"/>
        </w:rPr>
        <w:t xml:space="preserve">. </w:t>
      </w:r>
      <w:r w:rsidR="00823D2C">
        <w:rPr>
          <w:rFonts w:eastAsia="Times New Roman"/>
        </w:rPr>
        <w:t xml:space="preserve">It applies to </w:t>
      </w:r>
      <w:r w:rsidR="00531EDC">
        <w:rPr>
          <w:rFonts w:eastAsia="Times New Roman"/>
        </w:rPr>
        <w:t>discharges</w:t>
      </w:r>
      <w:r w:rsidR="00823D2C">
        <w:rPr>
          <w:rFonts w:eastAsia="Times New Roman"/>
        </w:rPr>
        <w:t xml:space="preserve"> that contain microbes into surface water</w:t>
      </w:r>
      <w:r w:rsidR="00531EDC">
        <w:rPr>
          <w:rFonts w:eastAsia="Times New Roman"/>
        </w:rPr>
        <w:t>s.</w:t>
      </w:r>
      <w:r w:rsidR="00823D2C">
        <w:rPr>
          <w:rFonts w:eastAsia="Times New Roman"/>
        </w:rPr>
        <w:t xml:space="preserve"> </w:t>
      </w:r>
      <w:r w:rsidR="00CA67FF">
        <w:rPr>
          <w:rFonts w:eastAsia="Times New Roman"/>
        </w:rPr>
        <w:t xml:space="preserve">This guidance does not </w:t>
      </w:r>
      <w:r w:rsidR="00695512">
        <w:rPr>
          <w:rFonts w:eastAsia="Times New Roman"/>
        </w:rPr>
        <w:t>cover the risks to other part</w:t>
      </w:r>
      <w:r w:rsidR="00EB392D">
        <w:rPr>
          <w:rFonts w:eastAsia="Times New Roman"/>
        </w:rPr>
        <w:t>s</w:t>
      </w:r>
      <w:r w:rsidR="00695512">
        <w:rPr>
          <w:rFonts w:eastAsia="Times New Roman"/>
        </w:rPr>
        <w:t xml:space="preserve"> of the water environment </w:t>
      </w:r>
      <w:r w:rsidR="003430CA">
        <w:rPr>
          <w:rFonts w:eastAsia="Times New Roman"/>
        </w:rPr>
        <w:t xml:space="preserve">from a discharge </w:t>
      </w:r>
      <w:r w:rsidR="00695512">
        <w:rPr>
          <w:rFonts w:eastAsia="Times New Roman"/>
        </w:rPr>
        <w:t>nor does it cover the risks from non-microbial pollutants</w:t>
      </w:r>
      <w:r w:rsidR="008F0E5B">
        <w:rPr>
          <w:rFonts w:eastAsia="Times New Roman"/>
        </w:rPr>
        <w:t>.</w:t>
      </w:r>
      <w:r w:rsidR="00695512">
        <w:rPr>
          <w:rFonts w:eastAsia="Times New Roman"/>
        </w:rPr>
        <w:t xml:space="preserve"> </w:t>
      </w:r>
      <w:r w:rsidRPr="001226C8">
        <w:rPr>
          <w:rFonts w:eastAsia="Times New Roman"/>
        </w:rPr>
        <w:t>In this context “</w:t>
      </w:r>
      <w:r w:rsidR="00E05A59">
        <w:rPr>
          <w:rFonts w:eastAsia="Times New Roman"/>
        </w:rPr>
        <w:t>bathing or shellfish waters</w:t>
      </w:r>
      <w:r w:rsidRPr="001226C8">
        <w:rPr>
          <w:rFonts w:eastAsia="Times New Roman"/>
        </w:rPr>
        <w:t>” means:</w:t>
      </w:r>
    </w:p>
    <w:p w14:paraId="3A82B08C" w14:textId="42B7BCBC" w:rsidR="001226C8" w:rsidRPr="001226C8" w:rsidRDefault="001226C8" w:rsidP="001226C8">
      <w:pPr>
        <w:pStyle w:val="BodyText1"/>
        <w:numPr>
          <w:ilvl w:val="0"/>
          <w:numId w:val="18"/>
        </w:numPr>
        <w:rPr>
          <w:rFonts w:eastAsia="Times New Roman"/>
        </w:rPr>
      </w:pPr>
      <w:r>
        <w:rPr>
          <w:rFonts w:eastAsia="Times New Roman"/>
        </w:rPr>
        <w:t>B</w:t>
      </w:r>
      <w:r w:rsidRPr="001226C8">
        <w:rPr>
          <w:rFonts w:eastAsia="Times New Roman"/>
        </w:rPr>
        <w:t>athing waters</w:t>
      </w:r>
      <w:r w:rsidR="005463CB">
        <w:rPr>
          <w:rFonts w:eastAsia="Times New Roman"/>
        </w:rPr>
        <w:t xml:space="preserve"> </w:t>
      </w:r>
      <w:r w:rsidR="00B46198" w:rsidRPr="00176DB5">
        <w:t xml:space="preserve">designated by the Scottish Ministers under Regulation 3 of the Bathing Waters (Scotland) Regulations 2008. </w:t>
      </w:r>
    </w:p>
    <w:p w14:paraId="42BBAF58" w14:textId="74C48A53" w:rsidR="001226C8" w:rsidRPr="001226C8" w:rsidRDefault="001226C8" w:rsidP="001226C8">
      <w:pPr>
        <w:pStyle w:val="BodyText1"/>
        <w:numPr>
          <w:ilvl w:val="0"/>
          <w:numId w:val="18"/>
        </w:numPr>
        <w:rPr>
          <w:rFonts w:eastAsia="Times New Roman"/>
        </w:rPr>
      </w:pPr>
      <w:r>
        <w:rPr>
          <w:rFonts w:eastAsia="Times New Roman"/>
        </w:rPr>
        <w:t>S</w:t>
      </w:r>
      <w:r w:rsidRPr="001226C8">
        <w:rPr>
          <w:rFonts w:eastAsia="Times New Roman"/>
        </w:rPr>
        <w:t xml:space="preserve">hellfish water protected </w:t>
      </w:r>
      <w:r w:rsidR="00B46198">
        <w:rPr>
          <w:rFonts w:eastAsia="Times New Roman"/>
        </w:rPr>
        <w:t>areas</w:t>
      </w:r>
      <w:r w:rsidR="00B46198" w:rsidRPr="00B46198">
        <w:t xml:space="preserve"> designated under section 5A of the Water Environment and Water Services (Scotland) Act 2003</w:t>
      </w:r>
      <w:r w:rsidR="00176DB5">
        <w:t>.</w:t>
      </w:r>
      <w:r w:rsidR="00B46198" w:rsidRPr="00B46198">
        <w:t xml:space="preserve"> </w:t>
      </w:r>
    </w:p>
    <w:p w14:paraId="35429D8F" w14:textId="3CEC1BFF" w:rsidR="001226C8" w:rsidRPr="001226C8" w:rsidRDefault="001226C8" w:rsidP="001226C8">
      <w:pPr>
        <w:pStyle w:val="BodyText1"/>
        <w:numPr>
          <w:ilvl w:val="0"/>
          <w:numId w:val="18"/>
        </w:numPr>
        <w:rPr>
          <w:rFonts w:eastAsia="Times New Roman"/>
        </w:rPr>
      </w:pPr>
      <w:r>
        <w:rPr>
          <w:rFonts w:eastAsia="Times New Roman"/>
        </w:rPr>
        <w:t>C</w:t>
      </w:r>
      <w:r w:rsidRPr="001226C8">
        <w:rPr>
          <w:rFonts w:eastAsia="Times New Roman"/>
        </w:rPr>
        <w:t xml:space="preserve">lassified shellfish harvesting areas. </w:t>
      </w:r>
      <w:r w:rsidR="00B158FC">
        <w:t>A</w:t>
      </w:r>
      <w:r w:rsidR="00176DB5">
        <w:t>s</w:t>
      </w:r>
      <w:r w:rsidR="00B158FC" w:rsidRPr="00B46198">
        <w:t xml:space="preserve"> </w:t>
      </w:r>
      <w:r w:rsidR="00176DB5">
        <w:t>c</w:t>
      </w:r>
      <w:r w:rsidR="00B158FC" w:rsidRPr="00B46198">
        <w:t xml:space="preserve">lassified </w:t>
      </w:r>
      <w:r w:rsidR="00176DB5">
        <w:t xml:space="preserve">by </w:t>
      </w:r>
      <w:r w:rsidR="00B158FC" w:rsidRPr="00B46198">
        <w:t xml:space="preserve">Food Standards </w:t>
      </w:r>
      <w:r w:rsidR="00344A61">
        <w:t>Scotland</w:t>
      </w:r>
      <w:r w:rsidR="00176DB5">
        <w:t>.</w:t>
      </w:r>
    </w:p>
    <w:p w14:paraId="0EDFC1C9" w14:textId="77777777" w:rsidR="001226C8" w:rsidRDefault="001226C8" w:rsidP="001226C8">
      <w:pPr>
        <w:pStyle w:val="BodyText1"/>
        <w:rPr>
          <w:rFonts w:eastAsia="Times New Roman"/>
        </w:rPr>
      </w:pPr>
      <w:r w:rsidRPr="001226C8">
        <w:rPr>
          <w:rFonts w:eastAsia="Times New Roman"/>
        </w:rPr>
        <w:t xml:space="preserve">The guidance does not apply to discharges to soakaway. </w:t>
      </w:r>
    </w:p>
    <w:p w14:paraId="50F466D6" w14:textId="48619C46" w:rsidR="00232D37" w:rsidRPr="00784316" w:rsidRDefault="003430CA" w:rsidP="00232D37">
      <w:pPr>
        <w:pStyle w:val="Heading1"/>
        <w:numPr>
          <w:ilvl w:val="0"/>
          <w:numId w:val="17"/>
        </w:numPr>
        <w:tabs>
          <w:tab w:val="num" w:pos="709"/>
        </w:tabs>
        <w:spacing w:line="360" w:lineRule="auto"/>
        <w:ind w:left="709" w:hanging="709"/>
        <w:rPr>
          <w:rFonts w:eastAsia="Times New Roman"/>
        </w:rPr>
      </w:pPr>
      <w:bookmarkStart w:id="1" w:name="_Toc192768222"/>
      <w:r>
        <w:rPr>
          <w:rFonts w:eastAsia="Times New Roman"/>
        </w:rPr>
        <w:t>E</w:t>
      </w:r>
      <w:r w:rsidR="00232D37" w:rsidRPr="00784316">
        <w:rPr>
          <w:rFonts w:eastAsia="Times New Roman"/>
        </w:rPr>
        <w:t xml:space="preserve">xisting </w:t>
      </w:r>
      <w:r w:rsidR="005463CB">
        <w:rPr>
          <w:rFonts w:eastAsia="Times New Roman"/>
        </w:rPr>
        <w:t>d</w:t>
      </w:r>
      <w:r w:rsidR="00232D37" w:rsidRPr="00784316">
        <w:rPr>
          <w:rFonts w:eastAsia="Times New Roman"/>
        </w:rPr>
        <w:t>ischarges</w:t>
      </w:r>
      <w:bookmarkEnd w:id="1"/>
    </w:p>
    <w:p w14:paraId="3F1E1414" w14:textId="7ED2F103" w:rsidR="00232D37" w:rsidRPr="00784316" w:rsidRDefault="00232D37" w:rsidP="00406F7F">
      <w:pPr>
        <w:pStyle w:val="BodyText1"/>
        <w:numPr>
          <w:ilvl w:val="0"/>
          <w:numId w:val="21"/>
        </w:numPr>
      </w:pPr>
      <w:r>
        <w:t>I</w:t>
      </w:r>
      <w:r w:rsidRPr="0ED80FB2">
        <w:t>f there is no evidence of an environmental impact</w:t>
      </w:r>
      <w:r w:rsidR="00026CF2">
        <w:t>,</w:t>
      </w:r>
      <w:r w:rsidR="00C078FC">
        <w:t xml:space="preserve"> SEPA will grant an application to authorise an</w:t>
      </w:r>
      <w:r w:rsidR="00C078FC" w:rsidRPr="0ED80FB2">
        <w:t xml:space="preserve"> existing </w:t>
      </w:r>
      <w:r w:rsidR="00C078FC">
        <w:t xml:space="preserve">unauthorised </w:t>
      </w:r>
      <w:r w:rsidR="00C078FC" w:rsidRPr="0ED80FB2">
        <w:t xml:space="preserve">sewage discharge </w:t>
      </w:r>
      <w:r w:rsidR="00C078FC">
        <w:t>based on the status quo.</w:t>
      </w:r>
    </w:p>
    <w:p w14:paraId="7FF5062C" w14:textId="4D1DF792" w:rsidR="00232D37" w:rsidRDefault="00232D37" w:rsidP="00406F7F">
      <w:pPr>
        <w:pStyle w:val="BodyText1"/>
        <w:numPr>
          <w:ilvl w:val="0"/>
          <w:numId w:val="21"/>
        </w:numPr>
      </w:pPr>
      <w:r w:rsidRPr="00784316">
        <w:t xml:space="preserve">Where an existing authorised </w:t>
      </w:r>
      <w:r w:rsidRPr="000A022F">
        <w:t>or unauthorised</w:t>
      </w:r>
      <w:r w:rsidRPr="00784316">
        <w:t xml:space="preserve"> discharge is</w:t>
      </w:r>
      <w:r w:rsidRPr="009842CB">
        <w:t xml:space="preserve"> </w:t>
      </w:r>
      <w:r w:rsidR="00525EB4">
        <w:t xml:space="preserve">found to be </w:t>
      </w:r>
      <w:r w:rsidRPr="009842CB">
        <w:t>contributing</w:t>
      </w:r>
      <w:r w:rsidRPr="00784316">
        <w:t xml:space="preserve"> to a failure to achieve the required microbial standards</w:t>
      </w:r>
      <w:r>
        <w:rPr>
          <w:rStyle w:val="FootnoteReference"/>
          <w:rFonts w:cs="Arial"/>
        </w:rPr>
        <w:footnoteReference w:id="2"/>
      </w:r>
      <w:r w:rsidRPr="00784316">
        <w:t xml:space="preserve">, SEPA will require connection to </w:t>
      </w:r>
      <w:r w:rsidRPr="00784316">
        <w:lastRenderedPageBreak/>
        <w:t>sewer, discharge to soakaway or an upgrade in the treatment within a specified timescale so that the discharge meets the relevant microbial standards.</w:t>
      </w:r>
      <w:r>
        <w:t xml:space="preserve"> </w:t>
      </w:r>
    </w:p>
    <w:p w14:paraId="75FACE0D" w14:textId="230525F5" w:rsidR="00232D37" w:rsidRPr="00551530" w:rsidRDefault="00FC5DA3" w:rsidP="00406F7F">
      <w:pPr>
        <w:pStyle w:val="BodyText1"/>
        <w:numPr>
          <w:ilvl w:val="0"/>
          <w:numId w:val="21"/>
        </w:numPr>
      </w:pPr>
      <w:r>
        <w:t>W</w:t>
      </w:r>
      <w:r w:rsidR="00232D37">
        <w:t xml:space="preserve">here an existing authorised discharge is not </w:t>
      </w:r>
      <w:r w:rsidR="00232D37" w:rsidRPr="009842CB">
        <w:t>contributing</w:t>
      </w:r>
      <w:r w:rsidR="00232D37" w:rsidRPr="00784316">
        <w:t xml:space="preserve"> to a failure to achieve the required microbial standards</w:t>
      </w:r>
      <w:r w:rsidR="00232D37">
        <w:t xml:space="preserve"> and there is compliance with the conditions of authorisation</w:t>
      </w:r>
      <w:r w:rsidR="004C42DD">
        <w:t>,</w:t>
      </w:r>
      <w:r>
        <w:t xml:space="preserve"> SEPA will not normally require any further action from the discharger</w:t>
      </w:r>
      <w:r w:rsidR="00232D37">
        <w:t>.</w:t>
      </w:r>
    </w:p>
    <w:p w14:paraId="31BFC388" w14:textId="7D74B4E1" w:rsidR="00232D37" w:rsidRPr="00784316" w:rsidRDefault="00232D37" w:rsidP="00406F7F">
      <w:pPr>
        <w:pStyle w:val="BodyText1"/>
      </w:pPr>
      <w:r w:rsidRPr="0ED80FB2">
        <w:t xml:space="preserve">Existing </w:t>
      </w:r>
      <w:r w:rsidR="00406F7F">
        <w:t xml:space="preserve">sewage </w:t>
      </w:r>
      <w:r w:rsidRPr="0ED80FB2">
        <w:t xml:space="preserve">discharges of ≤100 </w:t>
      </w:r>
      <w:r w:rsidR="00B00697">
        <w:t>p</w:t>
      </w:r>
      <w:r w:rsidR="004D059E">
        <w:t>opulation equivalent (</w:t>
      </w:r>
      <w:r w:rsidRPr="0ED80FB2">
        <w:t>p.e.</w:t>
      </w:r>
      <w:r w:rsidR="004D059E">
        <w:t>)</w:t>
      </w:r>
      <w:r w:rsidRPr="0ED80FB2">
        <w:t xml:space="preserve"> are contributing to the failure to achieve the required microbial standards where:</w:t>
      </w:r>
    </w:p>
    <w:p w14:paraId="24BD0728" w14:textId="6DBD1909" w:rsidR="00232D37" w:rsidRPr="002F47A5" w:rsidRDefault="00232D37" w:rsidP="00406F7F">
      <w:pPr>
        <w:pStyle w:val="BodyText1"/>
        <w:numPr>
          <w:ilvl w:val="0"/>
          <w:numId w:val="22"/>
        </w:numPr>
        <w:rPr>
          <w:rFonts w:cs="Arial"/>
        </w:rPr>
      </w:pPr>
      <w:r w:rsidRPr="00784316">
        <w:rPr>
          <w:rFonts w:cs="Arial"/>
        </w:rPr>
        <w:t xml:space="preserve">The discharge is within the zones set out </w:t>
      </w:r>
      <w:r w:rsidRPr="002F47A5">
        <w:rPr>
          <w:rFonts w:cs="Arial"/>
        </w:rPr>
        <w:t xml:space="preserve">in </w:t>
      </w:r>
      <w:hyperlink w:anchor="_3.2.12_What_are" w:history="1">
        <w:r w:rsidR="00CC0446" w:rsidRPr="00CC0446">
          <w:rPr>
            <w:rStyle w:val="Hyperlink"/>
            <w:rFonts w:cs="Arial"/>
          </w:rPr>
          <w:t>3.2.2</w:t>
        </w:r>
      </w:hyperlink>
      <w:r w:rsidRPr="00E34742">
        <w:rPr>
          <w:rFonts w:cs="Arial"/>
        </w:rPr>
        <w:t xml:space="preserve"> </w:t>
      </w:r>
      <w:r w:rsidRPr="002F47A5">
        <w:rPr>
          <w:rFonts w:cs="Arial"/>
        </w:rPr>
        <w:t>and</w:t>
      </w:r>
    </w:p>
    <w:p w14:paraId="02C85FB4" w14:textId="77777777" w:rsidR="00232D37" w:rsidRPr="002F47A5" w:rsidRDefault="00232D37" w:rsidP="00406F7F">
      <w:pPr>
        <w:pStyle w:val="BodyText1"/>
        <w:numPr>
          <w:ilvl w:val="0"/>
          <w:numId w:val="22"/>
        </w:numPr>
        <w:rPr>
          <w:rFonts w:cs="Arial"/>
        </w:rPr>
      </w:pPr>
      <w:r w:rsidRPr="00B01302">
        <w:rPr>
          <w:rFonts w:cs="Arial"/>
        </w:rPr>
        <w:t>The bathing water is failing to meet the sufficient standard or is at risk of deterioration (see Appendix 2); or a shellfish water harvesting area is not meeting class A (see Appendix 1);</w:t>
      </w:r>
      <w:r w:rsidRPr="0ED80FB2">
        <w:rPr>
          <w:rFonts w:cs="Arial"/>
        </w:rPr>
        <w:t xml:space="preserve"> </w:t>
      </w:r>
      <w:r>
        <w:rPr>
          <w:rFonts w:cs="Arial"/>
        </w:rPr>
        <w:t>and</w:t>
      </w:r>
    </w:p>
    <w:p w14:paraId="578FA85A" w14:textId="0A7658AC" w:rsidR="00930FC3" w:rsidRDefault="00232D37" w:rsidP="00406F7F">
      <w:pPr>
        <w:pStyle w:val="BodyText1"/>
        <w:numPr>
          <w:ilvl w:val="0"/>
          <w:numId w:val="22"/>
        </w:numPr>
        <w:rPr>
          <w:rFonts w:cs="Arial"/>
        </w:rPr>
      </w:pPr>
      <w:r w:rsidRPr="002F47A5">
        <w:rPr>
          <w:rFonts w:cs="Arial"/>
        </w:rPr>
        <w:t xml:space="preserve">SEPA has evidence, as set out in the </w:t>
      </w:r>
      <w:r w:rsidRPr="0ED80FB2">
        <w:rPr>
          <w:rFonts w:cs="Arial"/>
        </w:rPr>
        <w:t>and</w:t>
      </w:r>
      <w:r w:rsidRPr="002F47A5">
        <w:rPr>
          <w:rFonts w:cs="Arial"/>
        </w:rPr>
        <w:t xml:space="preserve"> Bathing Water Improvement Plan or Shellfish Water Improvement Plan, that the failure is in part due to diffuse small scale sewage discharges i.e. microbial source tracking shows a human source and there are small sewage discharges into, or close to, the </w:t>
      </w:r>
      <w:r w:rsidR="00FC3408">
        <w:rPr>
          <w:rFonts w:cs="Arial"/>
        </w:rPr>
        <w:t xml:space="preserve">bathing water or shellfish water </w:t>
      </w:r>
      <w:r w:rsidRPr="002F47A5">
        <w:rPr>
          <w:rFonts w:cs="Arial"/>
        </w:rPr>
        <w:t xml:space="preserve">zones. The required treatment standard for discharges to or </w:t>
      </w:r>
      <w:r w:rsidR="00FC3408">
        <w:rPr>
          <w:rFonts w:cs="Arial"/>
        </w:rPr>
        <w:t>near bathing or shellfish</w:t>
      </w:r>
      <w:r w:rsidRPr="002F47A5">
        <w:rPr>
          <w:rFonts w:cs="Arial"/>
        </w:rPr>
        <w:t xml:space="preserve"> waters </w:t>
      </w:r>
      <w:r>
        <w:rPr>
          <w:rFonts w:cs="Arial"/>
        </w:rPr>
        <w:t>≤</w:t>
      </w:r>
      <w:r w:rsidRPr="002F47A5">
        <w:rPr>
          <w:rFonts w:cs="Arial"/>
        </w:rPr>
        <w:t xml:space="preserve">100p.e. is set out in </w:t>
      </w:r>
      <w:hyperlink w:anchor="_3.2_Permit_level" w:history="1">
        <w:r w:rsidRPr="0008304D">
          <w:rPr>
            <w:rStyle w:val="Hyperlink"/>
            <w:rFonts w:cs="Arial"/>
          </w:rPr>
          <w:t>Section 3.1</w:t>
        </w:r>
        <w:r w:rsidR="008A642D">
          <w:rPr>
            <w:rStyle w:val="Hyperlink"/>
            <w:rFonts w:cs="Arial"/>
          </w:rPr>
          <w:t xml:space="preserve"> and 3.2</w:t>
        </w:r>
        <w:r w:rsidRPr="0008304D">
          <w:rPr>
            <w:rStyle w:val="Hyperlink"/>
            <w:rFonts w:cs="Arial"/>
          </w:rPr>
          <w:t>.</w:t>
        </w:r>
      </w:hyperlink>
      <w:r w:rsidRPr="00EF7CFE">
        <w:rPr>
          <w:rFonts w:cs="Arial"/>
        </w:rPr>
        <w:t xml:space="preserve"> </w:t>
      </w:r>
    </w:p>
    <w:p w14:paraId="5C0C2B85" w14:textId="71229A8B" w:rsidR="00232D37" w:rsidRPr="00551530" w:rsidRDefault="00232D37" w:rsidP="00930FC3">
      <w:pPr>
        <w:pStyle w:val="BodyText1"/>
        <w:rPr>
          <w:rFonts w:cs="Arial"/>
        </w:rPr>
      </w:pPr>
      <w:r w:rsidRPr="00B01302">
        <w:rPr>
          <w:rFonts w:cs="Arial"/>
        </w:rPr>
        <w:t>For larger discharges, a site-specific assessment is required.</w:t>
      </w:r>
    </w:p>
    <w:p w14:paraId="7CCC7793" w14:textId="4B0219D2" w:rsidR="00720A67" w:rsidRPr="00784316" w:rsidRDefault="00720A67" w:rsidP="00720A67">
      <w:pPr>
        <w:pStyle w:val="Heading1"/>
        <w:numPr>
          <w:ilvl w:val="0"/>
          <w:numId w:val="17"/>
        </w:numPr>
        <w:tabs>
          <w:tab w:val="num" w:pos="709"/>
        </w:tabs>
        <w:spacing w:after="120" w:line="360" w:lineRule="auto"/>
        <w:ind w:left="709" w:hanging="709"/>
        <w:rPr>
          <w:rFonts w:eastAsia="Times New Roman"/>
        </w:rPr>
      </w:pPr>
      <w:bookmarkStart w:id="2" w:name="_Toc192768223"/>
      <w:bookmarkStart w:id="3" w:name="_Toc29673"/>
      <w:r w:rsidRPr="00784316">
        <w:rPr>
          <w:rFonts w:eastAsia="Times New Roman"/>
        </w:rPr>
        <w:t xml:space="preserve">New or </w:t>
      </w:r>
      <w:r>
        <w:rPr>
          <w:rFonts w:eastAsia="Times New Roman"/>
        </w:rPr>
        <w:t>m</w:t>
      </w:r>
      <w:r w:rsidRPr="00784316">
        <w:rPr>
          <w:rFonts w:eastAsia="Times New Roman"/>
        </w:rPr>
        <w:t xml:space="preserve">odified </w:t>
      </w:r>
      <w:r>
        <w:rPr>
          <w:rFonts w:eastAsia="Times New Roman"/>
        </w:rPr>
        <w:t>d</w:t>
      </w:r>
      <w:r w:rsidRPr="00784316">
        <w:rPr>
          <w:rFonts w:eastAsia="Times New Roman"/>
        </w:rPr>
        <w:t>ischarges</w:t>
      </w:r>
      <w:bookmarkEnd w:id="2"/>
      <w:r w:rsidRPr="00784316">
        <w:rPr>
          <w:rFonts w:eastAsia="Times New Roman"/>
        </w:rPr>
        <w:t xml:space="preserve"> </w:t>
      </w:r>
      <w:bookmarkEnd w:id="3"/>
    </w:p>
    <w:p w14:paraId="0DAF32E6" w14:textId="77777777" w:rsidR="003B10F3" w:rsidRPr="003430CA" w:rsidRDefault="003B10F3" w:rsidP="003B10F3">
      <w:pPr>
        <w:spacing w:after="240"/>
        <w:rPr>
          <w:rFonts w:ascii="Arial" w:hAnsi="Arial" w:cs="Arial"/>
        </w:rPr>
      </w:pPr>
      <w:r w:rsidRPr="003430CA">
        <w:rPr>
          <w:rFonts w:ascii="Arial" w:hAnsi="Arial" w:cs="Arial"/>
        </w:rPr>
        <w:t xml:space="preserve">A discharge can be considered modified when the effluent disposal characteristics have changed in a way that will result in: </w:t>
      </w:r>
    </w:p>
    <w:p w14:paraId="1540648B" w14:textId="77777777" w:rsidR="003B10F3" w:rsidRPr="003430CA" w:rsidRDefault="003B10F3" w:rsidP="003B10F3">
      <w:pPr>
        <w:pStyle w:val="ListParagraph"/>
        <w:numPr>
          <w:ilvl w:val="0"/>
          <w:numId w:val="23"/>
        </w:numPr>
        <w:spacing w:after="120" w:line="360" w:lineRule="auto"/>
        <w:ind w:left="714" w:hanging="357"/>
        <w:contextualSpacing w:val="0"/>
        <w:rPr>
          <w:rFonts w:cs="Arial"/>
          <w:sz w:val="24"/>
          <w:szCs w:val="24"/>
        </w:rPr>
      </w:pPr>
      <w:r w:rsidRPr="003430CA">
        <w:rPr>
          <w:rFonts w:cs="Arial"/>
          <w:sz w:val="24"/>
          <w:szCs w:val="24"/>
        </w:rPr>
        <w:t xml:space="preserve">A change in discharge regime leading to an increased load or volume. </w:t>
      </w:r>
    </w:p>
    <w:p w14:paraId="625DEACE" w14:textId="77777777" w:rsidR="003B10F3" w:rsidRPr="003430CA" w:rsidRDefault="003B10F3" w:rsidP="003B10F3">
      <w:pPr>
        <w:pStyle w:val="ListParagraph"/>
        <w:numPr>
          <w:ilvl w:val="0"/>
          <w:numId w:val="23"/>
        </w:numPr>
        <w:spacing w:after="120" w:line="360" w:lineRule="auto"/>
        <w:ind w:left="714" w:hanging="357"/>
        <w:contextualSpacing w:val="0"/>
        <w:rPr>
          <w:rFonts w:cs="Arial"/>
          <w:sz w:val="24"/>
          <w:szCs w:val="24"/>
        </w:rPr>
      </w:pPr>
      <w:r w:rsidRPr="003430CA">
        <w:rPr>
          <w:rFonts w:cs="Arial"/>
          <w:sz w:val="24"/>
          <w:szCs w:val="24"/>
        </w:rPr>
        <w:t xml:space="preserve">A change in discharge location or end of pipe geometry </w:t>
      </w:r>
    </w:p>
    <w:p w14:paraId="4805D786" w14:textId="77777777" w:rsidR="003B10F3" w:rsidRPr="003430CA" w:rsidRDefault="003B10F3" w:rsidP="003B10F3">
      <w:pPr>
        <w:pStyle w:val="ListParagraph"/>
        <w:numPr>
          <w:ilvl w:val="0"/>
          <w:numId w:val="23"/>
        </w:numPr>
        <w:spacing w:after="240" w:line="360" w:lineRule="auto"/>
        <w:ind w:left="714" w:hanging="357"/>
        <w:contextualSpacing w:val="0"/>
        <w:rPr>
          <w:rFonts w:cs="Arial"/>
          <w:sz w:val="24"/>
          <w:szCs w:val="24"/>
        </w:rPr>
      </w:pPr>
      <w:r w:rsidRPr="003430CA">
        <w:rPr>
          <w:rFonts w:cs="Arial"/>
          <w:sz w:val="24"/>
          <w:szCs w:val="24"/>
        </w:rPr>
        <w:t xml:space="preserve">Any change to the discharge that leads to an alteration in the dilution or dispersion pattern. </w:t>
      </w:r>
    </w:p>
    <w:p w14:paraId="3322D60A" w14:textId="55CEABC0" w:rsidR="003430CA" w:rsidRPr="003430CA" w:rsidRDefault="00645467" w:rsidP="00633AB0">
      <w:pPr>
        <w:pStyle w:val="BodyText1"/>
      </w:pPr>
      <w:r w:rsidRPr="003430CA">
        <w:lastRenderedPageBreak/>
        <w:t xml:space="preserve">You should avoid </w:t>
      </w:r>
      <w:r w:rsidR="00143081" w:rsidRPr="003430CA">
        <w:t>d</w:t>
      </w:r>
      <w:r w:rsidR="00633AB0" w:rsidRPr="003430CA">
        <w:t>ischarg</w:t>
      </w:r>
      <w:r w:rsidR="00143081" w:rsidRPr="003430CA">
        <w:t>ing</w:t>
      </w:r>
      <w:r w:rsidR="00633AB0" w:rsidRPr="003430CA">
        <w:t xml:space="preserve"> directly to, or </w:t>
      </w:r>
      <w:r w:rsidR="00143081" w:rsidRPr="003430CA">
        <w:t>close to</w:t>
      </w:r>
      <w:r w:rsidR="001C3A9C" w:rsidRPr="003430CA">
        <w:t xml:space="preserve">, bathing or shellfish waters if possible. </w:t>
      </w:r>
    </w:p>
    <w:p w14:paraId="0C5FCE50" w14:textId="144991AA" w:rsidR="00633AB0" w:rsidRPr="00633AB0" w:rsidRDefault="00633AB0" w:rsidP="00633AB0">
      <w:pPr>
        <w:pStyle w:val="BodyText1"/>
      </w:pPr>
      <w:r w:rsidRPr="007B492C">
        <w:t xml:space="preserve">For </w:t>
      </w:r>
      <w:r w:rsidR="00DD6680" w:rsidRPr="007B492C">
        <w:t>permit</w:t>
      </w:r>
      <w:r w:rsidRPr="007B492C">
        <w:t xml:space="preserve"> level discharges, </w:t>
      </w:r>
      <w:r w:rsidR="00120028" w:rsidRPr="007B492C">
        <w:t>you should consider</w:t>
      </w:r>
      <w:r w:rsidRPr="007B492C">
        <w:t xml:space="preserve"> alternative discharge options before pursuing a direct discharge (e.g. connection to sewer,</w:t>
      </w:r>
      <w:r w:rsidRPr="007B492C" w:rsidDel="008F658D">
        <w:t xml:space="preserve"> </w:t>
      </w:r>
      <w:r w:rsidRPr="007B492C">
        <w:t>or relocation of outfall).</w:t>
      </w:r>
      <w:r w:rsidRPr="00633AB0">
        <w:t xml:space="preserve"> </w:t>
      </w:r>
    </w:p>
    <w:p w14:paraId="4992403C" w14:textId="2AC162AE" w:rsidR="00C60A66" w:rsidRPr="007B492C" w:rsidRDefault="00C60A66" w:rsidP="00C60A66">
      <w:pPr>
        <w:spacing w:after="360"/>
        <w:rPr>
          <w:rFonts w:ascii="Arial" w:hAnsi="Arial" w:cs="Arial"/>
          <w:strike/>
        </w:rPr>
      </w:pPr>
      <w:r>
        <w:rPr>
          <w:rFonts w:ascii="Arial" w:hAnsi="Arial" w:cs="Arial"/>
        </w:rPr>
        <w:t>We have</w:t>
      </w:r>
      <w:r w:rsidRPr="00784316">
        <w:rPr>
          <w:rFonts w:ascii="Arial" w:hAnsi="Arial" w:cs="Arial"/>
        </w:rPr>
        <w:t xml:space="preserve"> a general presumption against discharge of chlorinated organic</w:t>
      </w:r>
      <w:r>
        <w:rPr>
          <w:rFonts w:ascii="Arial" w:hAnsi="Arial" w:cs="Arial"/>
        </w:rPr>
        <w:t xml:space="preserve"> </w:t>
      </w:r>
      <w:r w:rsidRPr="00784316">
        <w:rPr>
          <w:rFonts w:ascii="Arial" w:hAnsi="Arial" w:cs="Arial"/>
        </w:rPr>
        <w:t xml:space="preserve">effluents due to the presence of chlorine and its reaction by-products. However, </w:t>
      </w:r>
      <w:r w:rsidR="00895D6A">
        <w:rPr>
          <w:rFonts w:ascii="Arial" w:hAnsi="Arial" w:cs="Arial"/>
        </w:rPr>
        <w:t>we</w:t>
      </w:r>
      <w:r w:rsidRPr="00784316">
        <w:rPr>
          <w:rFonts w:ascii="Arial" w:hAnsi="Arial" w:cs="Arial"/>
        </w:rPr>
        <w:t xml:space="preserve"> recognise that chlorination of sewage effluents to achieve specified bacteriological standards in the bathing waters may be required as a short-term measure pending completion of capital works or for experimental purposes. </w:t>
      </w:r>
      <w:r w:rsidR="00D049EB">
        <w:rPr>
          <w:rFonts w:ascii="Arial" w:hAnsi="Arial" w:cs="Arial"/>
        </w:rPr>
        <w:t>You should consider t</w:t>
      </w:r>
      <w:r w:rsidR="009F2AF9">
        <w:rPr>
          <w:rFonts w:ascii="Arial" w:hAnsi="Arial" w:cs="Arial"/>
        </w:rPr>
        <w:t xml:space="preserve">he risk from any </w:t>
      </w:r>
      <w:r w:rsidR="00757BB3">
        <w:rPr>
          <w:rFonts w:ascii="Arial" w:hAnsi="Arial" w:cs="Arial"/>
        </w:rPr>
        <w:t xml:space="preserve">such </w:t>
      </w:r>
      <w:r w:rsidR="009F2AF9">
        <w:rPr>
          <w:rFonts w:ascii="Arial" w:hAnsi="Arial" w:cs="Arial"/>
        </w:rPr>
        <w:t>discharge</w:t>
      </w:r>
      <w:r w:rsidR="00F97E25">
        <w:rPr>
          <w:rFonts w:ascii="Arial" w:hAnsi="Arial" w:cs="Arial"/>
        </w:rPr>
        <w:t>, including</w:t>
      </w:r>
      <w:r w:rsidR="009A4D53">
        <w:rPr>
          <w:rFonts w:ascii="Arial" w:hAnsi="Arial" w:cs="Arial"/>
        </w:rPr>
        <w:t xml:space="preserve"> from any </w:t>
      </w:r>
      <w:r w:rsidR="00B02BF4">
        <w:rPr>
          <w:rFonts w:ascii="Arial" w:hAnsi="Arial" w:cs="Arial"/>
        </w:rPr>
        <w:t>t</w:t>
      </w:r>
      <w:r w:rsidR="00B02BF4" w:rsidRPr="00B02BF4">
        <w:rPr>
          <w:rFonts w:ascii="Arial" w:hAnsi="Arial" w:cs="Arial"/>
        </w:rPr>
        <w:t>rihalomethanes</w:t>
      </w:r>
      <w:r w:rsidR="00757BB3">
        <w:rPr>
          <w:rFonts w:ascii="Arial" w:hAnsi="Arial" w:cs="Arial"/>
        </w:rPr>
        <w:t>.</w:t>
      </w:r>
      <w:r w:rsidR="00B02BF4">
        <w:rPr>
          <w:rFonts w:ascii="Arial" w:hAnsi="Arial" w:cs="Arial"/>
        </w:rPr>
        <w:t xml:space="preserve"> </w:t>
      </w:r>
      <w:r w:rsidRPr="00784316">
        <w:rPr>
          <w:rFonts w:ascii="Arial" w:hAnsi="Arial" w:cs="Arial"/>
        </w:rPr>
        <w:t xml:space="preserve">For discharges to </w:t>
      </w:r>
      <w:r w:rsidR="00CC11F3">
        <w:rPr>
          <w:rFonts w:ascii="Arial" w:hAnsi="Arial" w:cs="Arial"/>
        </w:rPr>
        <w:t>s</w:t>
      </w:r>
      <w:r w:rsidRPr="00784316">
        <w:rPr>
          <w:rFonts w:ascii="Arial" w:hAnsi="Arial" w:cs="Arial"/>
        </w:rPr>
        <w:t xml:space="preserve">hellfish </w:t>
      </w:r>
      <w:r w:rsidR="00CC11F3">
        <w:rPr>
          <w:rFonts w:ascii="Arial" w:hAnsi="Arial" w:cs="Arial"/>
        </w:rPr>
        <w:t>w</w:t>
      </w:r>
      <w:r w:rsidRPr="00784316">
        <w:rPr>
          <w:rFonts w:ascii="Arial" w:hAnsi="Arial" w:cs="Arial"/>
        </w:rPr>
        <w:t xml:space="preserve">aters, </w:t>
      </w:r>
      <w:r w:rsidR="00895D6A">
        <w:rPr>
          <w:rFonts w:ascii="Arial" w:hAnsi="Arial" w:cs="Arial"/>
        </w:rPr>
        <w:t>we</w:t>
      </w:r>
      <w:r w:rsidRPr="00784316">
        <w:rPr>
          <w:rFonts w:ascii="Arial" w:hAnsi="Arial" w:cs="Arial"/>
        </w:rPr>
        <w:t xml:space="preserve"> ha</w:t>
      </w:r>
      <w:r w:rsidR="00CC11F3">
        <w:rPr>
          <w:rFonts w:ascii="Arial" w:hAnsi="Arial" w:cs="Arial"/>
        </w:rPr>
        <w:t>ve</w:t>
      </w:r>
      <w:r w:rsidRPr="00784316">
        <w:rPr>
          <w:rFonts w:ascii="Arial" w:hAnsi="Arial" w:cs="Arial"/>
        </w:rPr>
        <w:t xml:space="preserve"> a general presumption against use of chemical forms of disinfection (with the exception of hydrogen peroxide). </w:t>
      </w:r>
    </w:p>
    <w:p w14:paraId="269EEDF1" w14:textId="7F43FDCD" w:rsidR="00895D6A" w:rsidRPr="00784316" w:rsidRDefault="00895D6A" w:rsidP="00895D6A">
      <w:pPr>
        <w:spacing w:after="240"/>
        <w:rPr>
          <w:rFonts w:ascii="Arial" w:hAnsi="Arial" w:cs="Arial"/>
        </w:rPr>
      </w:pPr>
      <w:r>
        <w:rPr>
          <w:rFonts w:ascii="Arial" w:hAnsi="Arial" w:cs="Arial"/>
        </w:rPr>
        <w:t xml:space="preserve">If you are using </w:t>
      </w:r>
      <w:r w:rsidRPr="00784316">
        <w:rPr>
          <w:rFonts w:ascii="Arial" w:hAnsi="Arial" w:cs="Arial"/>
        </w:rPr>
        <w:t xml:space="preserve">an automated process to </w:t>
      </w:r>
      <w:r w:rsidR="00DB315B">
        <w:rPr>
          <w:rFonts w:ascii="Arial" w:hAnsi="Arial" w:cs="Arial"/>
        </w:rPr>
        <w:t>treat your effluent</w:t>
      </w:r>
      <w:r w:rsidR="00733B0C">
        <w:rPr>
          <w:rFonts w:ascii="Arial" w:hAnsi="Arial" w:cs="Arial"/>
        </w:rPr>
        <w:t>,</w:t>
      </w:r>
      <w:r w:rsidR="00DB315B">
        <w:rPr>
          <w:rFonts w:ascii="Arial" w:hAnsi="Arial" w:cs="Arial"/>
        </w:rPr>
        <w:t xml:space="preserve"> you should install</w:t>
      </w:r>
      <w:r w:rsidRPr="00784316">
        <w:rPr>
          <w:rFonts w:ascii="Arial" w:hAnsi="Arial" w:cs="Arial"/>
        </w:rPr>
        <w:t xml:space="preserve"> telemetry</w:t>
      </w:r>
      <w:r w:rsidR="00DB315B">
        <w:rPr>
          <w:rFonts w:ascii="Arial" w:hAnsi="Arial" w:cs="Arial"/>
        </w:rPr>
        <w:t xml:space="preserve"> </w:t>
      </w:r>
      <w:r w:rsidRPr="00784316">
        <w:rPr>
          <w:rFonts w:ascii="Arial" w:hAnsi="Arial" w:cs="Arial"/>
        </w:rPr>
        <w:t xml:space="preserve">to warn </w:t>
      </w:r>
      <w:r w:rsidR="00DB315B">
        <w:rPr>
          <w:rFonts w:ascii="Arial" w:hAnsi="Arial" w:cs="Arial"/>
        </w:rPr>
        <w:t xml:space="preserve">you </w:t>
      </w:r>
      <w:r w:rsidRPr="00784316">
        <w:rPr>
          <w:rFonts w:ascii="Arial" w:hAnsi="Arial" w:cs="Arial"/>
        </w:rPr>
        <w:t xml:space="preserve">of failure of the equipment. </w:t>
      </w:r>
    </w:p>
    <w:p w14:paraId="64ACD09A" w14:textId="21DA9908" w:rsidR="00465987" w:rsidRPr="0021397E" w:rsidRDefault="00DB315B" w:rsidP="00E64F95">
      <w:pPr>
        <w:pStyle w:val="BodyText"/>
        <w:spacing w:line="360" w:lineRule="auto"/>
        <w:rPr>
          <w:rFonts w:cs="Arial"/>
          <w:sz w:val="24"/>
          <w:szCs w:val="24"/>
        </w:rPr>
      </w:pPr>
      <w:r>
        <w:rPr>
          <w:rFonts w:cs="Arial"/>
          <w:sz w:val="24"/>
          <w:szCs w:val="24"/>
        </w:rPr>
        <w:t>We</w:t>
      </w:r>
      <w:r w:rsidR="00895D6A" w:rsidRPr="00784316">
        <w:rPr>
          <w:rFonts w:cs="Arial"/>
          <w:sz w:val="24"/>
          <w:szCs w:val="24"/>
        </w:rPr>
        <w:t xml:space="preserve"> </w:t>
      </w:r>
      <w:r w:rsidR="00895D6A">
        <w:rPr>
          <w:rFonts w:cs="Arial"/>
          <w:sz w:val="24"/>
          <w:szCs w:val="24"/>
        </w:rPr>
        <w:t>n</w:t>
      </w:r>
      <w:r w:rsidR="00895D6A" w:rsidRPr="00784316">
        <w:rPr>
          <w:rFonts w:cs="Arial"/>
          <w:sz w:val="24"/>
          <w:szCs w:val="24"/>
        </w:rPr>
        <w:t>ormally</w:t>
      </w:r>
      <w:r w:rsidR="00895D6A">
        <w:rPr>
          <w:rFonts w:cs="Arial"/>
          <w:sz w:val="24"/>
          <w:szCs w:val="24"/>
        </w:rPr>
        <w:t xml:space="preserve"> require</w:t>
      </w:r>
      <w:r w:rsidR="00895D6A" w:rsidRPr="00784316">
        <w:rPr>
          <w:rFonts w:cs="Arial"/>
          <w:sz w:val="24"/>
          <w:szCs w:val="24"/>
        </w:rPr>
        <w:t xml:space="preserve"> bathing season compliance for discharges to</w:t>
      </w:r>
      <w:r>
        <w:rPr>
          <w:rFonts w:cs="Arial"/>
          <w:sz w:val="24"/>
          <w:szCs w:val="24"/>
        </w:rPr>
        <w:t xml:space="preserve"> and near </w:t>
      </w:r>
      <w:r w:rsidR="00895D6A" w:rsidRPr="00784316">
        <w:rPr>
          <w:rFonts w:cs="Arial"/>
          <w:sz w:val="24"/>
          <w:szCs w:val="24"/>
        </w:rPr>
        <w:t xml:space="preserve">bathing waters and </w:t>
      </w:r>
      <w:r w:rsidR="00895D6A" w:rsidRPr="0021397E">
        <w:rPr>
          <w:rFonts w:cs="Arial"/>
          <w:sz w:val="24"/>
          <w:szCs w:val="24"/>
        </w:rPr>
        <w:t xml:space="preserve">annual compliance for discharges to </w:t>
      </w:r>
      <w:r w:rsidRPr="0021397E">
        <w:rPr>
          <w:rFonts w:cs="Arial"/>
          <w:sz w:val="24"/>
          <w:szCs w:val="24"/>
        </w:rPr>
        <w:t>s</w:t>
      </w:r>
      <w:r w:rsidR="00895D6A" w:rsidRPr="0021397E">
        <w:rPr>
          <w:rFonts w:cs="Arial"/>
          <w:sz w:val="24"/>
          <w:szCs w:val="24"/>
        </w:rPr>
        <w:t xml:space="preserve">hellfish </w:t>
      </w:r>
      <w:r w:rsidRPr="0021397E">
        <w:rPr>
          <w:rFonts w:cs="Arial"/>
          <w:sz w:val="24"/>
          <w:szCs w:val="24"/>
        </w:rPr>
        <w:t>w</w:t>
      </w:r>
      <w:r w:rsidR="00895D6A" w:rsidRPr="0021397E">
        <w:rPr>
          <w:rFonts w:cs="Arial"/>
          <w:sz w:val="24"/>
          <w:szCs w:val="24"/>
        </w:rPr>
        <w:t>aters.</w:t>
      </w:r>
    </w:p>
    <w:p w14:paraId="54F0CA2B" w14:textId="747462CA" w:rsidR="0021397E" w:rsidRPr="0021397E" w:rsidRDefault="0021397E" w:rsidP="0021397E">
      <w:pPr>
        <w:pStyle w:val="Heading2"/>
      </w:pPr>
      <w:bookmarkStart w:id="4" w:name="_3.1_Registration_level"/>
      <w:bookmarkStart w:id="5" w:name="_Toc192768224"/>
      <w:bookmarkEnd w:id="4"/>
      <w:r w:rsidRPr="0021397E">
        <w:t>3.</w:t>
      </w:r>
      <w:r>
        <w:t>1</w:t>
      </w:r>
      <w:r w:rsidRPr="0021397E">
        <w:t xml:space="preserve"> </w:t>
      </w:r>
      <w:r w:rsidRPr="0021397E">
        <w:tab/>
        <w:t>Registration level sewage discharges</w:t>
      </w:r>
      <w:bookmarkEnd w:id="5"/>
    </w:p>
    <w:p w14:paraId="5FB1F4D0" w14:textId="31AD477C" w:rsidR="00720A67" w:rsidRPr="0021397E" w:rsidRDefault="0021397E" w:rsidP="00720A67">
      <w:pPr>
        <w:pStyle w:val="BodyText1"/>
      </w:pPr>
      <w:r w:rsidRPr="0021397E">
        <w:t xml:space="preserve">There is a registration activity for the discharge of sewage effluent in bathing and shellfish water zones. There are standard conditions attached to this registration requiring treatment to protect the bathing and shellfish waters. </w:t>
      </w:r>
    </w:p>
    <w:p w14:paraId="3CD11308" w14:textId="2B970EE5" w:rsidR="00FB15A3" w:rsidRDefault="00FB15A3" w:rsidP="00FB15A3">
      <w:pPr>
        <w:pStyle w:val="Heading2"/>
        <w:rPr>
          <w:rFonts w:eastAsia="Times New Roman"/>
        </w:rPr>
      </w:pPr>
      <w:bookmarkStart w:id="6" w:name="_3.2_Pemit_level"/>
      <w:bookmarkStart w:id="7" w:name="_3.2_Permit_level"/>
      <w:bookmarkStart w:id="8" w:name="_Toc192768225"/>
      <w:bookmarkEnd w:id="6"/>
      <w:bookmarkEnd w:id="7"/>
      <w:r>
        <w:rPr>
          <w:rFonts w:eastAsia="Times New Roman"/>
        </w:rPr>
        <w:t>3</w:t>
      </w:r>
      <w:r w:rsidRPr="00263E70">
        <w:rPr>
          <w:rFonts w:eastAsia="Times New Roman"/>
        </w:rPr>
        <w:t>.2</w:t>
      </w:r>
      <w:r w:rsidRPr="00263E70">
        <w:rPr>
          <w:rFonts w:eastAsia="Times New Roman"/>
        </w:rPr>
        <w:tab/>
      </w:r>
      <w:r>
        <w:rPr>
          <w:rFonts w:eastAsia="Times New Roman"/>
        </w:rPr>
        <w:t>Pe</w:t>
      </w:r>
      <w:r w:rsidR="00AB3B8E">
        <w:rPr>
          <w:rFonts w:eastAsia="Times New Roman"/>
        </w:rPr>
        <w:t>r</w:t>
      </w:r>
      <w:r>
        <w:rPr>
          <w:rFonts w:eastAsia="Times New Roman"/>
        </w:rPr>
        <w:t>mit</w:t>
      </w:r>
      <w:r w:rsidRPr="00263E70">
        <w:rPr>
          <w:rFonts w:eastAsia="Times New Roman"/>
        </w:rPr>
        <w:t xml:space="preserve"> level </w:t>
      </w:r>
      <w:r w:rsidR="00F745C3">
        <w:rPr>
          <w:rFonts w:eastAsia="Times New Roman"/>
        </w:rPr>
        <w:t xml:space="preserve">sewage </w:t>
      </w:r>
      <w:r w:rsidRPr="00263E70">
        <w:rPr>
          <w:rFonts w:eastAsia="Times New Roman"/>
        </w:rPr>
        <w:t xml:space="preserve">discharges </w:t>
      </w:r>
      <w:r w:rsidR="00AE7E85">
        <w:rPr>
          <w:rFonts w:eastAsia="Times New Roman"/>
        </w:rPr>
        <w:t xml:space="preserve">greater than </w:t>
      </w:r>
      <w:r>
        <w:rPr>
          <w:rFonts w:eastAsia="Times New Roman"/>
        </w:rPr>
        <w:t>10</w:t>
      </w:r>
      <w:r w:rsidRPr="00263E70">
        <w:rPr>
          <w:rFonts w:eastAsia="Times New Roman"/>
        </w:rPr>
        <w:t xml:space="preserve"> domestic properties or </w:t>
      </w:r>
      <w:r>
        <w:rPr>
          <w:rFonts w:eastAsia="Times New Roman"/>
        </w:rPr>
        <w:t>50</w:t>
      </w:r>
      <w:r w:rsidRPr="00263E70">
        <w:rPr>
          <w:rFonts w:eastAsia="Times New Roman"/>
        </w:rPr>
        <w:t xml:space="preserve"> p</w:t>
      </w:r>
      <w:r>
        <w:rPr>
          <w:rFonts w:eastAsia="Times New Roman"/>
        </w:rPr>
        <w:t>.</w:t>
      </w:r>
      <w:r w:rsidRPr="00263E70">
        <w:rPr>
          <w:rFonts w:eastAsia="Times New Roman"/>
        </w:rPr>
        <w:t>e</w:t>
      </w:r>
      <w:r>
        <w:rPr>
          <w:rFonts w:eastAsia="Times New Roman"/>
        </w:rPr>
        <w:t>.</w:t>
      </w:r>
      <w:r w:rsidRPr="00263E70">
        <w:rPr>
          <w:rFonts w:eastAsia="Times New Roman"/>
        </w:rPr>
        <w:t xml:space="preserve"> b</w:t>
      </w:r>
      <w:r w:rsidR="00BE618E">
        <w:rPr>
          <w:rFonts w:eastAsia="Times New Roman"/>
        </w:rPr>
        <w:t>ut less than or equal to</w:t>
      </w:r>
      <w:r w:rsidRPr="00263E70">
        <w:rPr>
          <w:rFonts w:eastAsia="Times New Roman"/>
        </w:rPr>
        <w:t xml:space="preserve"> 100 p.e</w:t>
      </w:r>
      <w:bookmarkEnd w:id="8"/>
    </w:p>
    <w:p w14:paraId="4687A30C" w14:textId="291A2397" w:rsidR="0068023F" w:rsidRDefault="00E61BD8" w:rsidP="0068023F">
      <w:pPr>
        <w:pStyle w:val="BodyText1"/>
      </w:pPr>
      <w:r>
        <w:t xml:space="preserve">If you have a </w:t>
      </w:r>
      <w:r w:rsidRPr="00784316">
        <w:t>discharge to, a</w:t>
      </w:r>
      <w:r w:rsidR="00AF5F77">
        <w:t xml:space="preserve"> </w:t>
      </w:r>
      <w:hyperlink w:anchor="_3.2.2_What_are" w:history="1">
        <w:r w:rsidR="00AF5F77" w:rsidRPr="005372CB">
          <w:rPr>
            <w:rStyle w:val="Hyperlink"/>
          </w:rPr>
          <w:t>bathing</w:t>
        </w:r>
      </w:hyperlink>
      <w:r w:rsidR="00AF5F77">
        <w:t xml:space="preserve"> or </w:t>
      </w:r>
      <w:hyperlink w:anchor="_3.2.1_What_are" w:history="1">
        <w:r w:rsidR="00AF5F77" w:rsidRPr="005372CB">
          <w:rPr>
            <w:rStyle w:val="Hyperlink"/>
          </w:rPr>
          <w:t>shellfish</w:t>
        </w:r>
        <w:r w:rsidRPr="005372CB">
          <w:rPr>
            <w:rStyle w:val="Hyperlink"/>
          </w:rPr>
          <w:t xml:space="preserve"> water</w:t>
        </w:r>
        <w:r w:rsidR="00EB2BE5" w:rsidRPr="005372CB">
          <w:rPr>
            <w:rStyle w:val="Hyperlink"/>
          </w:rPr>
          <w:t xml:space="preserve"> zone</w:t>
        </w:r>
      </w:hyperlink>
      <w:r>
        <w:t>,</w:t>
      </w:r>
      <w:r w:rsidRPr="00784316">
        <w:t xml:space="preserve"> </w:t>
      </w:r>
      <w:r w:rsidR="0068023F">
        <w:t xml:space="preserve">you can either: </w:t>
      </w:r>
    </w:p>
    <w:p w14:paraId="6F1E9336" w14:textId="6AF2AE67" w:rsidR="00E84652" w:rsidRPr="009103FF" w:rsidRDefault="00E84652" w:rsidP="00E84652">
      <w:pPr>
        <w:pStyle w:val="BodyText1"/>
        <w:numPr>
          <w:ilvl w:val="0"/>
          <w:numId w:val="39"/>
        </w:numPr>
      </w:pPr>
      <w:r w:rsidRPr="009103FF">
        <w:t xml:space="preserve">Treat the sewage </w:t>
      </w:r>
      <w:r w:rsidR="009103FF" w:rsidRPr="009103FF">
        <w:t>using</w:t>
      </w:r>
      <w:r w:rsidRPr="009103FF">
        <w:t>:</w:t>
      </w:r>
    </w:p>
    <w:p w14:paraId="7EC2055B" w14:textId="7D5DE5A9" w:rsidR="00E84652" w:rsidRPr="009103FF" w:rsidRDefault="00E84652" w:rsidP="00E84652">
      <w:pPr>
        <w:pStyle w:val="BodyText1"/>
        <w:numPr>
          <w:ilvl w:val="1"/>
          <w:numId w:val="39"/>
        </w:numPr>
      </w:pPr>
      <w:r w:rsidRPr="009103FF">
        <w:lastRenderedPageBreak/>
        <w:t xml:space="preserve"> a system that is designed to meet no more than 500 Escherichia coli </w:t>
      </w:r>
      <w:r w:rsidR="00604A5A" w:rsidRPr="009103FF">
        <w:t xml:space="preserve">(E.coli) </w:t>
      </w:r>
      <w:r w:rsidRPr="009103FF">
        <w:t>per 100 millilitres of sewage effluent and 200 intestinal enterococci per 100 millilitres of sewage effluent</w:t>
      </w:r>
      <w:r w:rsidR="00285CE5" w:rsidRPr="009103FF">
        <w:rPr>
          <w:rStyle w:val="FootnoteReference"/>
        </w:rPr>
        <w:footnoteReference w:id="3"/>
      </w:r>
      <w:r w:rsidRPr="009103FF">
        <w:t>; or</w:t>
      </w:r>
    </w:p>
    <w:p w14:paraId="38139D69" w14:textId="775E8155" w:rsidR="00E84652" w:rsidRPr="009103FF" w:rsidRDefault="00285CE5" w:rsidP="00E84652">
      <w:pPr>
        <w:pStyle w:val="BodyText1"/>
        <w:numPr>
          <w:ilvl w:val="1"/>
          <w:numId w:val="39"/>
        </w:numPr>
      </w:pPr>
      <w:r w:rsidRPr="009103FF">
        <w:t>b</w:t>
      </w:r>
      <w:r w:rsidR="00E84652" w:rsidRPr="009103FF">
        <w:t>y a secondary treatment system and a proprietary filtration system using bio-fibrous media.</w:t>
      </w:r>
    </w:p>
    <w:p w14:paraId="26DD8948" w14:textId="7350BB2F" w:rsidR="004A4EC1" w:rsidRDefault="0068023F">
      <w:pPr>
        <w:pStyle w:val="BodyText1"/>
        <w:numPr>
          <w:ilvl w:val="0"/>
          <w:numId w:val="31"/>
        </w:numPr>
      </w:pPr>
      <w:r>
        <w:t xml:space="preserve">Carry out </w:t>
      </w:r>
      <w:r w:rsidR="00112E2D">
        <w:t>modelling</w:t>
      </w:r>
      <w:r>
        <w:t xml:space="preserve"> to d</w:t>
      </w:r>
      <w:r w:rsidR="00E61BD8" w:rsidRPr="00784316">
        <w:t xml:space="preserve">emonstrate </w:t>
      </w:r>
      <w:r>
        <w:t xml:space="preserve">that the discharge will not </w:t>
      </w:r>
      <w:r w:rsidR="00B33C68">
        <w:t>result in non-</w:t>
      </w:r>
      <w:r w:rsidR="00E61BD8" w:rsidRPr="00784316">
        <w:t xml:space="preserve">compliance with </w:t>
      </w:r>
      <w:r w:rsidR="00B33C68">
        <w:t xml:space="preserve">the relevant bathing or shellfish water </w:t>
      </w:r>
      <w:r w:rsidR="00E61BD8" w:rsidRPr="00784316">
        <w:t>standards</w:t>
      </w:r>
      <w:r w:rsidR="00B33C68">
        <w:t>. Section</w:t>
      </w:r>
      <w:r w:rsidR="004A4EC1">
        <w:t xml:space="preserve"> </w:t>
      </w:r>
      <w:r w:rsidR="00B27D14">
        <w:t>4</w:t>
      </w:r>
      <w:r w:rsidR="004A4EC1">
        <w:t xml:space="preserve"> sets out our requirement for this assessment. </w:t>
      </w:r>
    </w:p>
    <w:p w14:paraId="7D7DCAD2" w14:textId="00E6B9BB" w:rsidR="00E61BD8" w:rsidRPr="00EC2EE5" w:rsidRDefault="00E61BD8" w:rsidP="007B492C">
      <w:pPr>
        <w:pStyle w:val="BodyText1"/>
        <w:ind w:left="720"/>
      </w:pPr>
      <w:r w:rsidRPr="003561A8">
        <w:t xml:space="preserve">For these discharges SEPA will not normally require numerical modelling to demonstrate compliance with initial dilution requirements and microbiological standards unless the site is particularly sensitive to such discharges (e.g. a discharge to a shallow enclosed bay) or there is low confidence that the standards can be achieved. </w:t>
      </w:r>
      <w:r w:rsidR="00B7072B" w:rsidRPr="003561A8">
        <w:t xml:space="preserve">WAT-G-066, EASR Guidance: Permit Activity: Assessing the impact of discharges on coastal and transitional waters </w:t>
      </w:r>
      <w:r w:rsidRPr="003561A8">
        <w:t>provides further information.</w:t>
      </w:r>
      <w:r w:rsidRPr="00EC2EE5">
        <w:t xml:space="preserve"> </w:t>
      </w:r>
    </w:p>
    <w:p w14:paraId="74ED7ECF" w14:textId="5AD57C9C" w:rsidR="00DB3945" w:rsidRPr="00B7072B" w:rsidRDefault="00554B50" w:rsidP="00B7072B">
      <w:pPr>
        <w:pStyle w:val="Heading3"/>
        <w:rPr>
          <w:rFonts w:eastAsia="Times New Roman"/>
        </w:rPr>
      </w:pPr>
      <w:bookmarkStart w:id="9" w:name="_3.2.2_What_are"/>
      <w:bookmarkStart w:id="10" w:name="_3.2.12_What_are"/>
      <w:bookmarkStart w:id="11" w:name="_3.2.1_What_are"/>
      <w:bookmarkStart w:id="12" w:name="_Toc192768226"/>
      <w:bookmarkEnd w:id="9"/>
      <w:bookmarkEnd w:id="10"/>
      <w:bookmarkEnd w:id="11"/>
      <w:r w:rsidRPr="00EC2EE5">
        <w:rPr>
          <w:rFonts w:eastAsia="Times New Roman"/>
        </w:rPr>
        <w:t>3.2.</w:t>
      </w:r>
      <w:r w:rsidR="00464699" w:rsidRPr="00EC2EE5">
        <w:rPr>
          <w:rFonts w:eastAsia="Times New Roman"/>
        </w:rPr>
        <w:t>1</w:t>
      </w:r>
      <w:r w:rsidRPr="00EC2EE5">
        <w:rPr>
          <w:rFonts w:eastAsia="Times New Roman"/>
        </w:rPr>
        <w:tab/>
      </w:r>
      <w:r w:rsidR="00DB3945" w:rsidRPr="00EC2EE5">
        <w:rPr>
          <w:rFonts w:eastAsia="Times New Roman"/>
        </w:rPr>
        <w:t>What are bathing and shellfish water zones?</w:t>
      </w:r>
      <w:bookmarkEnd w:id="12"/>
    </w:p>
    <w:p w14:paraId="5626D3B8" w14:textId="77777777" w:rsidR="00DB3945" w:rsidRPr="00B46198" w:rsidRDefault="00DB3945" w:rsidP="00DB3945">
      <w:pPr>
        <w:pStyle w:val="BodyText1"/>
      </w:pPr>
      <w:r w:rsidRPr="00B46198">
        <w:t>A zone to protect bathing waters means:</w:t>
      </w:r>
    </w:p>
    <w:p w14:paraId="2A9511E3" w14:textId="77777777" w:rsidR="00DB3945" w:rsidRPr="00B46198" w:rsidRDefault="00DB3945" w:rsidP="00DB3945">
      <w:pPr>
        <w:pStyle w:val="BodyText1"/>
        <w:numPr>
          <w:ilvl w:val="0"/>
          <w:numId w:val="35"/>
        </w:numPr>
      </w:pPr>
      <w:r w:rsidRPr="00B46198">
        <w:t>Any surface water designated by the Scottish Ministers under Regulation 3 of the Bathing Waters (Scotland) Regulations 2008 as a bathing water; or</w:t>
      </w:r>
    </w:p>
    <w:p w14:paraId="33DBF55A" w14:textId="0BB149F2" w:rsidR="00DB3945" w:rsidRPr="00B46198" w:rsidRDefault="00DB3945" w:rsidP="00DB3945">
      <w:pPr>
        <w:pStyle w:val="BodyText1"/>
        <w:numPr>
          <w:ilvl w:val="0"/>
          <w:numId w:val="35"/>
        </w:numPr>
      </w:pPr>
      <w:r w:rsidRPr="00B46198">
        <w:t xml:space="preserve">A buffer zone around any surface water designated by the Scottish Ministers under Regulation 3 of the Bathing Waters (Scotland) Regulations 2008 as a bathing water. The buffer zone is 1500m as measured along the coast and/up the river unless they have </w:t>
      </w:r>
      <w:r w:rsidRPr="00B46198">
        <w:lastRenderedPageBreak/>
        <w:t>been extended because bacteria die-off may not have sufficiently taken place. Where this is the case</w:t>
      </w:r>
      <w:r w:rsidR="00091AB0">
        <w:t>,</w:t>
      </w:r>
      <w:r w:rsidRPr="00B46198">
        <w:t xml:space="preserve"> it will be detailed in the bathing water improvement plan.</w:t>
      </w:r>
    </w:p>
    <w:p w14:paraId="186046E7" w14:textId="77777777" w:rsidR="00DB3945" w:rsidRDefault="00DB3945" w:rsidP="00DB3945">
      <w:pPr>
        <w:pStyle w:val="BodyText1"/>
      </w:pPr>
      <w:r>
        <w:t>A zone to protect shellfish waters means:</w:t>
      </w:r>
    </w:p>
    <w:p w14:paraId="408CD127" w14:textId="67CC294D" w:rsidR="00DB3945" w:rsidRPr="00B46198" w:rsidRDefault="00DB3945" w:rsidP="00DB3945">
      <w:pPr>
        <w:pStyle w:val="BodyText1"/>
        <w:numPr>
          <w:ilvl w:val="0"/>
          <w:numId w:val="37"/>
        </w:numPr>
      </w:pPr>
      <w:r>
        <w:t>A</w:t>
      </w:r>
      <w:r w:rsidRPr="00B46198">
        <w:t>n area of coastal water or transitional water designated as a shellfish water protected area under section 5A of the Water Environment and Water Services (Scotland) Act 2003 (“shellfish water protected area”;</w:t>
      </w:r>
      <w:r w:rsidR="0040441E">
        <w:t xml:space="preserve"> </w:t>
      </w:r>
      <w:r w:rsidRPr="00B46198">
        <w:t>or</w:t>
      </w:r>
    </w:p>
    <w:p w14:paraId="754098B6" w14:textId="77777777" w:rsidR="00DB3945" w:rsidRDefault="00DB3945" w:rsidP="00DB3945">
      <w:pPr>
        <w:pStyle w:val="BodyText1"/>
        <w:numPr>
          <w:ilvl w:val="0"/>
          <w:numId w:val="37"/>
        </w:numPr>
      </w:pPr>
      <w:r>
        <w:t>W</w:t>
      </w:r>
      <w:r w:rsidRPr="00B46198">
        <w:t>atercourses that dr</w:t>
      </w:r>
      <w:r>
        <w:t>a</w:t>
      </w:r>
      <w:r w:rsidRPr="00B46198">
        <w:t xml:space="preserve">in into the protected area up to 1500m inland of the shellfish water protected area; or </w:t>
      </w:r>
    </w:p>
    <w:p w14:paraId="4A2F6C43" w14:textId="10441CEC" w:rsidR="00DB3945" w:rsidRPr="00B46198" w:rsidRDefault="00DB3945" w:rsidP="00DB3945">
      <w:pPr>
        <w:pStyle w:val="BodyText1"/>
        <w:numPr>
          <w:ilvl w:val="0"/>
          <w:numId w:val="37"/>
        </w:numPr>
      </w:pPr>
      <w:r>
        <w:t>A</w:t>
      </w:r>
      <w:r w:rsidRPr="00B46198">
        <w:t xml:space="preserve"> Classified Shellfish Harvesting area where the harvesting is for common mussels, pacific oysters, common cockles, carpet clams, pullet carpet shell</w:t>
      </w:r>
      <w:r w:rsidR="00EB5691">
        <w:t>s</w:t>
      </w:r>
      <w:r w:rsidRPr="00B46198">
        <w:t xml:space="preserve"> or surf clams</w:t>
      </w:r>
      <w:r w:rsidR="008B306B">
        <w:rPr>
          <w:rStyle w:val="FootnoteReference"/>
        </w:rPr>
        <w:footnoteReference w:id="4"/>
      </w:r>
      <w:r w:rsidRPr="00B46198">
        <w:t>. A Classified Shellfish Harvesting is classifie</w:t>
      </w:r>
      <w:r w:rsidR="00EB5691">
        <w:t>d</w:t>
      </w:r>
      <w:r w:rsidRPr="00B46198">
        <w:t xml:space="preserve"> as such by Food Standards </w:t>
      </w:r>
      <w:r w:rsidR="00971C7E">
        <w:t>Scotland</w:t>
      </w:r>
      <w:r w:rsidRPr="00B46198">
        <w:t>;</w:t>
      </w:r>
    </w:p>
    <w:p w14:paraId="185920C8" w14:textId="35670BB3" w:rsidR="00DB3945" w:rsidRDefault="00AC5EA6" w:rsidP="00DB3945">
      <w:pPr>
        <w:pStyle w:val="BodyText1"/>
        <w:numPr>
          <w:ilvl w:val="0"/>
          <w:numId w:val="37"/>
        </w:numPr>
      </w:pPr>
      <w:r>
        <w:t>A</w:t>
      </w:r>
      <w:r w:rsidR="00DB3945" w:rsidRPr="00B46198">
        <w:t xml:space="preserve"> buffer zone, as measured 1500m along the coast and/up the </w:t>
      </w:r>
      <w:r w:rsidR="00111D2A">
        <w:t>watercourse</w:t>
      </w:r>
      <w:r w:rsidR="00DB3945" w:rsidRPr="00B158FC">
        <w:t>, from the Classified Shellfish Harvesting area where the harvesting is for common mussels, pacific oyster, common cockles, carpet clams, pullet carpet shell</w:t>
      </w:r>
      <w:r w:rsidR="00111D2A">
        <w:t>s</w:t>
      </w:r>
      <w:r w:rsidR="00DB3945" w:rsidRPr="00B158FC">
        <w:t xml:space="preserve"> or surf clams.</w:t>
      </w:r>
    </w:p>
    <w:p w14:paraId="71AA68E6" w14:textId="191DB393" w:rsidR="00D4639F" w:rsidRPr="00B46198" w:rsidRDefault="00D4639F" w:rsidP="00D4639F">
      <w:pPr>
        <w:pStyle w:val="BodyText1"/>
      </w:pPr>
      <w:r>
        <w:t xml:space="preserve">You can ask SEPA for information on whether your discharge is within one of these zones. </w:t>
      </w:r>
    </w:p>
    <w:p w14:paraId="3DB007C3" w14:textId="1A61431B" w:rsidR="00823D2C" w:rsidRPr="00263E70" w:rsidRDefault="00823D2C" w:rsidP="00823D2C">
      <w:pPr>
        <w:pStyle w:val="Heading2"/>
        <w:rPr>
          <w:rFonts w:eastAsia="Times New Roman"/>
        </w:rPr>
      </w:pPr>
      <w:bookmarkStart w:id="13" w:name="_Toc192768227"/>
      <w:r>
        <w:rPr>
          <w:rFonts w:eastAsia="Times New Roman"/>
        </w:rPr>
        <w:t>3</w:t>
      </w:r>
      <w:r w:rsidRPr="00263E70">
        <w:rPr>
          <w:rFonts w:eastAsia="Times New Roman"/>
        </w:rPr>
        <w:t>.3</w:t>
      </w:r>
      <w:r w:rsidRPr="00263E70">
        <w:rPr>
          <w:rFonts w:eastAsia="Times New Roman"/>
        </w:rPr>
        <w:tab/>
      </w:r>
      <w:r w:rsidR="00E64F95">
        <w:rPr>
          <w:rFonts w:eastAsia="Times New Roman"/>
        </w:rPr>
        <w:t>Permit</w:t>
      </w:r>
      <w:r w:rsidRPr="00263E70">
        <w:rPr>
          <w:rFonts w:eastAsia="Times New Roman"/>
        </w:rPr>
        <w:t xml:space="preserve"> level discharges </w:t>
      </w:r>
      <w:r w:rsidR="00E64F95">
        <w:rPr>
          <w:rFonts w:eastAsia="Times New Roman"/>
        </w:rPr>
        <w:t xml:space="preserve">greater than </w:t>
      </w:r>
      <w:r w:rsidRPr="00263E70">
        <w:rPr>
          <w:rFonts w:eastAsia="Times New Roman"/>
        </w:rPr>
        <w:t>100 p.e</w:t>
      </w:r>
      <w:r>
        <w:rPr>
          <w:rFonts w:eastAsia="Times New Roman"/>
        </w:rPr>
        <w:t>.</w:t>
      </w:r>
      <w:bookmarkEnd w:id="13"/>
    </w:p>
    <w:p w14:paraId="6BC8D07E" w14:textId="34035CBF" w:rsidR="00720A67" w:rsidRPr="00214E9A" w:rsidRDefault="00823D2C" w:rsidP="00214E9A">
      <w:pPr>
        <w:spacing w:after="240"/>
      </w:pPr>
      <w:r>
        <w:rPr>
          <w:rFonts w:ascii="Arial" w:hAnsi="Arial" w:cs="Arial"/>
        </w:rPr>
        <w:t>You should</w:t>
      </w:r>
      <w:r w:rsidRPr="1E07969B">
        <w:rPr>
          <w:rFonts w:ascii="Arial" w:hAnsi="Arial" w:cs="Arial"/>
        </w:rPr>
        <w:t xml:space="preserve"> undertake </w:t>
      </w:r>
      <w:r w:rsidRPr="00EE53AA">
        <w:rPr>
          <w:rFonts w:ascii="Arial" w:hAnsi="Arial" w:cs="Arial"/>
        </w:rPr>
        <w:t>modelling</w:t>
      </w:r>
      <w:r w:rsidRPr="1E07969B">
        <w:rPr>
          <w:rFonts w:ascii="Arial" w:hAnsi="Arial" w:cs="Arial"/>
        </w:rPr>
        <w:t xml:space="preserve"> of the impact of discharge</w:t>
      </w:r>
      <w:r w:rsidR="007707FA">
        <w:rPr>
          <w:rFonts w:ascii="Arial" w:hAnsi="Arial" w:cs="Arial"/>
        </w:rPr>
        <w:t xml:space="preserve"> if you are near a bathing or shellfish water. Near in this </w:t>
      </w:r>
      <w:r w:rsidR="00C84AB7">
        <w:rPr>
          <w:rFonts w:ascii="Arial" w:hAnsi="Arial" w:cs="Arial"/>
        </w:rPr>
        <w:t>context</w:t>
      </w:r>
      <w:r w:rsidR="007707FA">
        <w:rPr>
          <w:rFonts w:ascii="Arial" w:hAnsi="Arial" w:cs="Arial"/>
        </w:rPr>
        <w:t xml:space="preserve"> needs to be determined on a </w:t>
      </w:r>
      <w:r w:rsidR="00E64F95">
        <w:rPr>
          <w:rFonts w:ascii="Arial" w:hAnsi="Arial" w:cs="Arial"/>
        </w:rPr>
        <w:t>site-specific</w:t>
      </w:r>
      <w:r w:rsidR="007707FA">
        <w:rPr>
          <w:rFonts w:ascii="Arial" w:hAnsi="Arial" w:cs="Arial"/>
        </w:rPr>
        <w:t xml:space="preserve"> basis</w:t>
      </w:r>
      <w:r w:rsidRPr="1E07969B">
        <w:rPr>
          <w:rFonts w:ascii="Arial" w:hAnsi="Arial" w:cs="Arial"/>
        </w:rPr>
        <w:t>.</w:t>
      </w:r>
      <w:r w:rsidR="00C52A2B">
        <w:rPr>
          <w:rFonts w:ascii="Arial" w:hAnsi="Arial" w:cs="Arial"/>
        </w:rPr>
        <w:t xml:space="preserve"> I</w:t>
      </w:r>
      <w:r w:rsidR="0096332C">
        <w:rPr>
          <w:rFonts w:ascii="Arial" w:hAnsi="Arial" w:cs="Arial"/>
        </w:rPr>
        <w:t>f you need advice on this</w:t>
      </w:r>
      <w:r w:rsidR="00E771B2">
        <w:rPr>
          <w:rFonts w:ascii="Arial" w:hAnsi="Arial" w:cs="Arial"/>
        </w:rPr>
        <w:t>,</w:t>
      </w:r>
      <w:r w:rsidR="0096332C">
        <w:rPr>
          <w:rFonts w:ascii="Arial" w:hAnsi="Arial" w:cs="Arial"/>
        </w:rPr>
        <w:t xml:space="preserve"> contact SEPA</w:t>
      </w:r>
      <w:r w:rsidR="0060736E">
        <w:rPr>
          <w:rFonts w:ascii="Arial" w:hAnsi="Arial" w:cs="Arial"/>
        </w:rPr>
        <w:t xml:space="preserve"> at </w:t>
      </w:r>
      <w:hyperlink r:id="rId14" w:history="1">
        <w:r w:rsidR="00E771B2" w:rsidRPr="00C6786B">
          <w:rPr>
            <w:rStyle w:val="Hyperlink"/>
            <w:rFonts w:ascii="Arial" w:hAnsi="Arial" w:cs="Arial"/>
          </w:rPr>
          <w:t>waterpermitting@sepa.org.uk.</w:t>
        </w:r>
      </w:hyperlink>
    </w:p>
    <w:p w14:paraId="7A6EF4AD" w14:textId="52D78B73" w:rsidR="00720A67" w:rsidRPr="00263E70" w:rsidRDefault="008E5C9B" w:rsidP="00DA46D8">
      <w:pPr>
        <w:pStyle w:val="Heading1"/>
        <w:numPr>
          <w:ilvl w:val="0"/>
          <w:numId w:val="17"/>
        </w:numPr>
        <w:ind w:hanging="720"/>
        <w:rPr>
          <w:rFonts w:eastAsia="Times New Roman"/>
        </w:rPr>
      </w:pPr>
      <w:bookmarkStart w:id="14" w:name="_3.3_Licence_level"/>
      <w:bookmarkStart w:id="15" w:name="_Toc192768228"/>
      <w:bookmarkEnd w:id="14"/>
      <w:r>
        <w:rPr>
          <w:rFonts w:eastAsia="Times New Roman"/>
        </w:rPr>
        <w:lastRenderedPageBreak/>
        <w:t>Our requirements for modelling</w:t>
      </w:r>
      <w:bookmarkEnd w:id="15"/>
      <w:r>
        <w:rPr>
          <w:rFonts w:eastAsia="Times New Roman"/>
        </w:rPr>
        <w:t xml:space="preserve"> </w:t>
      </w:r>
    </w:p>
    <w:p w14:paraId="5404AFAD" w14:textId="07122890" w:rsidR="00720A67" w:rsidRPr="006E5DAA" w:rsidRDefault="008E5C9B" w:rsidP="006E5DAA">
      <w:pPr>
        <w:pStyle w:val="BodyText1"/>
      </w:pPr>
      <w:r w:rsidRPr="006E5DAA">
        <w:t xml:space="preserve">Where </w:t>
      </w:r>
      <w:r w:rsidR="00711042" w:rsidRPr="006E5DAA">
        <w:t xml:space="preserve">you </w:t>
      </w:r>
      <w:r w:rsidR="00052FCA">
        <w:t>are</w:t>
      </w:r>
      <w:r w:rsidR="00711042" w:rsidRPr="006E5DAA">
        <w:t xml:space="preserve"> undertaking </w:t>
      </w:r>
      <w:r w:rsidRPr="006E5DAA">
        <w:t>modelling</w:t>
      </w:r>
      <w:r w:rsidR="00B53A61">
        <w:t>,</w:t>
      </w:r>
      <w:r w:rsidRPr="006E5DAA">
        <w:t xml:space="preserve"> t</w:t>
      </w:r>
      <w:r w:rsidR="00720A67" w:rsidRPr="006E5DAA">
        <w:t xml:space="preserve">he level of modelling should be proportionate to the environmental risk. </w:t>
      </w:r>
      <w:r w:rsidR="00D71DD8" w:rsidRPr="006E5DAA">
        <w:t xml:space="preserve">For example, the modelling could be by a simple conceptual model supported by simple calculations. </w:t>
      </w:r>
      <w:r w:rsidR="00720A67" w:rsidRPr="006E5DAA">
        <w:t>Depending on the location of the discharge</w:t>
      </w:r>
      <w:r w:rsidR="00711042" w:rsidRPr="006E5DAA">
        <w:t xml:space="preserve">, you may be able to take </w:t>
      </w:r>
      <w:r w:rsidR="00720A67" w:rsidRPr="006E5DAA">
        <w:t xml:space="preserve">initial dilution </w:t>
      </w:r>
      <w:r w:rsidR="00711042" w:rsidRPr="006E5DAA">
        <w:t>into account</w:t>
      </w:r>
      <w:r w:rsidR="00720A67" w:rsidRPr="006E5DAA">
        <w:t xml:space="preserve">. </w:t>
      </w:r>
      <w:r w:rsidR="00E65368" w:rsidRPr="006E5DAA">
        <w:t xml:space="preserve">You should read </w:t>
      </w:r>
      <w:r w:rsidR="00593D9E">
        <w:t>WAT-G-0</w:t>
      </w:r>
      <w:r w:rsidR="00290B75">
        <w:t xml:space="preserve">66, EASR Guidance: Permit Activity: Assessing </w:t>
      </w:r>
      <w:r w:rsidR="00FC605A">
        <w:t>the impact of discharges on coastal and transitional waters.</w:t>
      </w:r>
    </w:p>
    <w:p w14:paraId="52D4684C" w14:textId="276258D1" w:rsidR="00720A67" w:rsidRPr="006E5DAA" w:rsidRDefault="00820D66" w:rsidP="006E5DAA">
      <w:pPr>
        <w:pStyle w:val="BodyText1"/>
      </w:pPr>
      <w:r w:rsidRPr="006E5DAA">
        <w:t xml:space="preserve">Sections </w:t>
      </w:r>
      <w:r w:rsidR="00DA46D8">
        <w:t>4.1 to 4.3</w:t>
      </w:r>
      <w:r w:rsidR="00720A67" w:rsidRPr="006E5DAA">
        <w:t xml:space="preserve"> set out </w:t>
      </w:r>
      <w:r w:rsidR="00D71DD8" w:rsidRPr="006E5DAA">
        <w:t xml:space="preserve">the outcomes that we will require </w:t>
      </w:r>
      <w:r w:rsidR="00CD6A54" w:rsidRPr="006E5DAA">
        <w:t>you</w:t>
      </w:r>
      <w:r w:rsidR="00D71DD8" w:rsidRPr="006E5DAA">
        <w:t xml:space="preserve"> to demonstrate via your modelling. </w:t>
      </w:r>
    </w:p>
    <w:p w14:paraId="39B20D64" w14:textId="58A34610" w:rsidR="00720A67" w:rsidRPr="006E5DAA" w:rsidRDefault="00CD6A54" w:rsidP="006E5DAA">
      <w:pPr>
        <w:pStyle w:val="BodyText1"/>
      </w:pPr>
      <w:r w:rsidRPr="006E5DAA">
        <w:t xml:space="preserve">Before submitting an application, you should </w:t>
      </w:r>
      <w:r w:rsidR="0016270B" w:rsidRPr="0016270B">
        <w:t xml:space="preserve">contact SEPA </w:t>
      </w:r>
      <w:r w:rsidR="0016270B">
        <w:t xml:space="preserve">for advice </w:t>
      </w:r>
      <w:r w:rsidR="0016270B" w:rsidRPr="0016270B">
        <w:t xml:space="preserve">at </w:t>
      </w:r>
      <w:hyperlink r:id="rId15" w:history="1">
        <w:r w:rsidR="0016270B" w:rsidRPr="00C6786B">
          <w:rPr>
            <w:rStyle w:val="Hyperlink"/>
          </w:rPr>
          <w:t>waterpermitting@sepa.org.uk.</w:t>
        </w:r>
      </w:hyperlink>
    </w:p>
    <w:p w14:paraId="7EB890BD" w14:textId="1A32E5F7" w:rsidR="00720A67" w:rsidRPr="00263E70" w:rsidRDefault="00DA46D8" w:rsidP="00DA46D8">
      <w:pPr>
        <w:pStyle w:val="Heading2"/>
        <w:rPr>
          <w:rFonts w:eastAsia="Times New Roman"/>
        </w:rPr>
      </w:pPr>
      <w:bookmarkStart w:id="16" w:name="_Toc192768229"/>
      <w:r>
        <w:rPr>
          <w:rFonts w:eastAsia="Times New Roman"/>
        </w:rPr>
        <w:t>4</w:t>
      </w:r>
      <w:r w:rsidR="00720A67" w:rsidRPr="1E07969B">
        <w:rPr>
          <w:rFonts w:eastAsia="Times New Roman"/>
        </w:rPr>
        <w:t>.</w:t>
      </w:r>
      <w:r>
        <w:rPr>
          <w:rFonts w:eastAsia="Times New Roman"/>
        </w:rPr>
        <w:t>1</w:t>
      </w:r>
      <w:r w:rsidR="00720A67" w:rsidRPr="1E07969B">
        <w:rPr>
          <w:rFonts w:eastAsia="Times New Roman"/>
        </w:rPr>
        <w:t xml:space="preserve"> </w:t>
      </w:r>
      <w:r>
        <w:rPr>
          <w:rFonts w:eastAsia="Times New Roman"/>
        </w:rPr>
        <w:tab/>
      </w:r>
      <w:r w:rsidR="00720A67" w:rsidRPr="1E07969B">
        <w:rPr>
          <w:rFonts w:eastAsia="Times New Roman"/>
        </w:rPr>
        <w:t xml:space="preserve">Discharges to or </w:t>
      </w:r>
      <w:r w:rsidR="0075567F">
        <w:rPr>
          <w:rFonts w:eastAsia="Times New Roman"/>
        </w:rPr>
        <w:t xml:space="preserve">near </w:t>
      </w:r>
      <w:r w:rsidR="00720A67" w:rsidRPr="1E07969B">
        <w:rPr>
          <w:rFonts w:eastAsia="Times New Roman"/>
        </w:rPr>
        <w:t>bathing waters</w:t>
      </w:r>
      <w:bookmarkEnd w:id="16"/>
      <w:r w:rsidR="00720A67" w:rsidRPr="1E07969B">
        <w:rPr>
          <w:rFonts w:eastAsia="Times New Roman"/>
        </w:rPr>
        <w:t xml:space="preserve"> </w:t>
      </w:r>
    </w:p>
    <w:p w14:paraId="46B2B4EE" w14:textId="6BE4A629" w:rsidR="00994C4A" w:rsidRDefault="00994C4A" w:rsidP="006E5DAA">
      <w:pPr>
        <w:pStyle w:val="BodyText1"/>
        <w:numPr>
          <w:ilvl w:val="0"/>
          <w:numId w:val="41"/>
        </w:numPr>
      </w:pPr>
      <w:r>
        <w:t>Your modelling shou</w:t>
      </w:r>
      <w:r w:rsidR="00CD3EB7">
        <w:t xml:space="preserve">ld </w:t>
      </w:r>
      <w:r w:rsidR="00DF412A">
        <w:t xml:space="preserve">normally </w:t>
      </w:r>
      <w:r w:rsidR="00CD3EB7">
        <w:t xml:space="preserve">consider both E. coli and </w:t>
      </w:r>
      <w:r w:rsidR="00CD3EB7" w:rsidRPr="002F47A5">
        <w:rPr>
          <w:rFonts w:ascii="Arial" w:hAnsi="Arial" w:cs="Arial"/>
        </w:rPr>
        <w:t>Intestinal enterococci</w:t>
      </w:r>
      <w:r w:rsidR="00CD3EB7" w:rsidRPr="545BCADB">
        <w:t xml:space="preserve"> </w:t>
      </w:r>
      <w:r w:rsidR="00CD3EB7">
        <w:t>(I.E.)</w:t>
      </w:r>
      <w:r w:rsidR="00AD7585">
        <w:t xml:space="preserve"> </w:t>
      </w:r>
      <w:r w:rsidR="00CD3EB7">
        <w:t xml:space="preserve">unless you can justify that </w:t>
      </w:r>
      <w:r w:rsidR="00280FC6">
        <w:t xml:space="preserve">modelling for </w:t>
      </w:r>
      <w:r w:rsidR="00D56457">
        <w:t>one of these parameters</w:t>
      </w:r>
      <w:r w:rsidR="00383554">
        <w:t xml:space="preserve"> provides sufficient </w:t>
      </w:r>
      <w:r w:rsidR="00AD7585">
        <w:t>evidence that the standards for</w:t>
      </w:r>
      <w:r w:rsidR="00D56457">
        <w:t xml:space="preserve"> the other parameter </w:t>
      </w:r>
      <w:r w:rsidR="00AD7585">
        <w:t xml:space="preserve">will be met. </w:t>
      </w:r>
    </w:p>
    <w:p w14:paraId="09959395" w14:textId="66F86DBB" w:rsidR="00720A67" w:rsidRPr="00784316" w:rsidRDefault="00807B76" w:rsidP="006E5DAA">
      <w:pPr>
        <w:pStyle w:val="BodyText1"/>
        <w:numPr>
          <w:ilvl w:val="0"/>
          <w:numId w:val="41"/>
        </w:numPr>
      </w:pPr>
      <w:r>
        <w:t>Your modelling should</w:t>
      </w:r>
      <w:r w:rsidR="00720A67" w:rsidRPr="545BCADB">
        <w:t xml:space="preserve"> demonstrate compliance with sufficient standard</w:t>
      </w:r>
      <w:r w:rsidR="00115AC0">
        <w:t>s</w:t>
      </w:r>
      <w:r w:rsidR="00720A67" w:rsidRPr="545BCADB">
        <w:t xml:space="preserve"> as a minimum as detailed in Appendix 2. </w:t>
      </w:r>
    </w:p>
    <w:p w14:paraId="4A4B646A" w14:textId="7B7879B6" w:rsidR="00720A67" w:rsidRPr="00784316" w:rsidRDefault="00720A67" w:rsidP="006E5DAA">
      <w:pPr>
        <w:pStyle w:val="BodyText1"/>
        <w:numPr>
          <w:ilvl w:val="0"/>
          <w:numId w:val="41"/>
        </w:numPr>
      </w:pPr>
      <w:r w:rsidRPr="00784316">
        <w:t>The</w:t>
      </w:r>
      <w:r w:rsidR="00115AC0">
        <w:t>se</w:t>
      </w:r>
      <w:r w:rsidRPr="00784316">
        <w:t xml:space="preserve"> standards must be achieved at end of pipe for direct discharges. </w:t>
      </w:r>
    </w:p>
    <w:p w14:paraId="49581392" w14:textId="093A017D" w:rsidR="00720A67" w:rsidRPr="00E76543" w:rsidRDefault="00B53401" w:rsidP="006E5DAA">
      <w:pPr>
        <w:pStyle w:val="BodyText1"/>
        <w:numPr>
          <w:ilvl w:val="0"/>
          <w:numId w:val="41"/>
        </w:numPr>
      </w:pPr>
      <w:r>
        <w:t xml:space="preserve">Your modelling must demonstrate </w:t>
      </w:r>
      <w:r w:rsidR="0014392A">
        <w:t xml:space="preserve">that </w:t>
      </w:r>
      <w:r w:rsidR="00720A67" w:rsidRPr="00784316">
        <w:t xml:space="preserve">the required initial dilution criteria </w:t>
      </w:r>
      <w:r w:rsidR="0014392A">
        <w:t xml:space="preserve">are met </w:t>
      </w:r>
      <w:r w:rsidR="00720A67" w:rsidRPr="00784316">
        <w:t>to reduce to acceptable levels both the visibility of slicks and the occurrence of smell nuisance.</w:t>
      </w:r>
    </w:p>
    <w:p w14:paraId="52F39271" w14:textId="036F966D" w:rsidR="00720A67" w:rsidRPr="00263E70" w:rsidRDefault="00DA46D8" w:rsidP="00DA46D8">
      <w:pPr>
        <w:pStyle w:val="Heading2"/>
        <w:rPr>
          <w:rFonts w:eastAsia="Times New Roman"/>
        </w:rPr>
      </w:pPr>
      <w:bookmarkStart w:id="17" w:name="_Toc192768230"/>
      <w:r>
        <w:rPr>
          <w:rFonts w:eastAsia="Times New Roman"/>
        </w:rPr>
        <w:t>4.</w:t>
      </w:r>
      <w:r w:rsidR="00720A67">
        <w:rPr>
          <w:rFonts w:eastAsia="Times New Roman"/>
        </w:rPr>
        <w:t xml:space="preserve">2 </w:t>
      </w:r>
      <w:r w:rsidR="005A21CA">
        <w:rPr>
          <w:rFonts w:eastAsia="Times New Roman"/>
        </w:rPr>
        <w:tab/>
      </w:r>
      <w:r w:rsidR="00720A67" w:rsidRPr="00263E70">
        <w:rPr>
          <w:rFonts w:eastAsia="Times New Roman"/>
        </w:rPr>
        <w:t xml:space="preserve">Discharges to or </w:t>
      </w:r>
      <w:r w:rsidR="0075567F">
        <w:rPr>
          <w:rFonts w:eastAsia="Times New Roman"/>
        </w:rPr>
        <w:t>near</w:t>
      </w:r>
      <w:r w:rsidR="00720A67" w:rsidRPr="00263E70">
        <w:rPr>
          <w:rFonts w:eastAsia="Times New Roman"/>
        </w:rPr>
        <w:t xml:space="preserve"> shellfish water protected areas</w:t>
      </w:r>
      <w:bookmarkEnd w:id="17"/>
      <w:r w:rsidR="00720A67" w:rsidRPr="00263E70">
        <w:rPr>
          <w:rFonts w:eastAsia="Times New Roman"/>
        </w:rPr>
        <w:t xml:space="preserve"> </w:t>
      </w:r>
    </w:p>
    <w:p w14:paraId="6545E10D" w14:textId="14779229" w:rsidR="00720A67" w:rsidRPr="00784316" w:rsidRDefault="00720A67" w:rsidP="006E5DAA">
      <w:pPr>
        <w:pStyle w:val="BodyText1"/>
      </w:pPr>
      <w:r w:rsidRPr="00784316">
        <w:t>For discharge</w:t>
      </w:r>
      <w:r w:rsidR="00E54090">
        <w:t>s</w:t>
      </w:r>
      <w:r w:rsidRPr="00784316">
        <w:t xml:space="preserve"> </w:t>
      </w:r>
      <w:r>
        <w:t xml:space="preserve">directly </w:t>
      </w:r>
      <w:r w:rsidRPr="00784316">
        <w:t>to a shellfish water protected area or watercourses draining into the protected area:</w:t>
      </w:r>
    </w:p>
    <w:p w14:paraId="44D78E0F" w14:textId="20BCA5A1" w:rsidR="00720A67" w:rsidRPr="00784316" w:rsidRDefault="0014392A" w:rsidP="006E5DAA">
      <w:pPr>
        <w:pStyle w:val="BodyText1"/>
        <w:numPr>
          <w:ilvl w:val="0"/>
          <w:numId w:val="42"/>
        </w:numPr>
      </w:pPr>
      <w:r>
        <w:lastRenderedPageBreak/>
        <w:t>Your modelling should</w:t>
      </w:r>
      <w:r w:rsidR="00720A67" w:rsidRPr="00784316">
        <w:t xml:space="preserve"> demonstrate compliance with </w:t>
      </w:r>
      <w:r w:rsidR="00720A67">
        <w:t>5</w:t>
      </w:r>
      <w:r w:rsidR="00720A67" w:rsidRPr="00784316">
        <w:t xml:space="preserve"> E.coli/100ml as a geometric mean</w:t>
      </w:r>
      <w:r w:rsidR="00D87350">
        <w:rPr>
          <w:rStyle w:val="FootnoteReference"/>
        </w:rPr>
        <w:footnoteReference w:id="5"/>
      </w:r>
      <w:r w:rsidR="00720A67" w:rsidRPr="00784316">
        <w:t xml:space="preserve">, at the mixing zone edge. This will protect the shellfish water protected area for future harvesting and will prevent deterioration of the shellfish water protected area. </w:t>
      </w:r>
      <w:r w:rsidR="00644D60">
        <w:t>You can take into account a</w:t>
      </w:r>
      <w:r w:rsidR="00720A67" w:rsidRPr="00784316">
        <w:t>ny dilution in a watercourse</w:t>
      </w:r>
      <w:r w:rsidR="00644D60">
        <w:t>.</w:t>
      </w:r>
    </w:p>
    <w:p w14:paraId="294B23B0" w14:textId="77777777" w:rsidR="00644D60" w:rsidRPr="00E76543" w:rsidRDefault="00644D60" w:rsidP="006E5DAA">
      <w:pPr>
        <w:pStyle w:val="BodyText1"/>
        <w:numPr>
          <w:ilvl w:val="0"/>
          <w:numId w:val="42"/>
        </w:numPr>
      </w:pPr>
      <w:r>
        <w:t xml:space="preserve">Your modelling must demonstrate that </w:t>
      </w:r>
      <w:r w:rsidRPr="00784316">
        <w:t xml:space="preserve">the required initial dilution criteria </w:t>
      </w:r>
      <w:r>
        <w:t xml:space="preserve">are met </w:t>
      </w:r>
      <w:r w:rsidRPr="00784316">
        <w:t>to reduce to acceptable levels both the visibility of slicks and the occurrence of smell nuisance.</w:t>
      </w:r>
    </w:p>
    <w:p w14:paraId="4E8FB060" w14:textId="2251F0EE" w:rsidR="00720A67" w:rsidRPr="00784316" w:rsidRDefault="00720A67" w:rsidP="007B492C">
      <w:pPr>
        <w:pStyle w:val="BodyText1"/>
      </w:pPr>
      <w:r w:rsidRPr="0ED80FB2">
        <w:t xml:space="preserve">For discharge to coastal and transitional waters </w:t>
      </w:r>
      <w:r w:rsidR="00B736A5">
        <w:t>near</w:t>
      </w:r>
      <w:r w:rsidRPr="0ED80FB2">
        <w:t xml:space="preserve"> a shellfish water protected area or watercourses draining into this area:</w:t>
      </w:r>
    </w:p>
    <w:p w14:paraId="796E3793" w14:textId="2CE2FD97" w:rsidR="00720A67" w:rsidRPr="00784316" w:rsidRDefault="00644D60" w:rsidP="006E5DAA">
      <w:pPr>
        <w:pStyle w:val="BodyText1"/>
        <w:numPr>
          <w:ilvl w:val="0"/>
          <w:numId w:val="42"/>
        </w:numPr>
      </w:pPr>
      <w:r>
        <w:t>Your modelling should</w:t>
      </w:r>
      <w:r w:rsidRPr="00784316">
        <w:t xml:space="preserve"> demonstrate compliance with </w:t>
      </w:r>
      <w:r w:rsidR="00720A67" w:rsidRPr="00784316">
        <w:t>5 E.</w:t>
      </w:r>
      <w:r w:rsidR="006D34F5">
        <w:t xml:space="preserve"> </w:t>
      </w:r>
      <w:r w:rsidR="00720A67" w:rsidRPr="00784316">
        <w:t>coli/100ml as a geometric me</w:t>
      </w:r>
      <w:r w:rsidR="00B12D46">
        <w:t>an</w:t>
      </w:r>
      <w:r w:rsidR="00B12D46" w:rsidRPr="00B12D46">
        <w:rPr>
          <w:vertAlign w:val="superscript"/>
        </w:rPr>
        <w:t>4</w:t>
      </w:r>
      <w:r w:rsidR="00B12D46">
        <w:t xml:space="preserve"> </w:t>
      </w:r>
      <w:r w:rsidR="00720A67" w:rsidRPr="00784316">
        <w:t>at the protected area. In achieving this standard</w:t>
      </w:r>
      <w:r w:rsidR="00720A67">
        <w:t>,</w:t>
      </w:r>
      <w:r w:rsidR="00720A67" w:rsidRPr="00784316">
        <w:t xml:space="preserve"> </w:t>
      </w:r>
      <w:r>
        <w:t xml:space="preserve">you can take into </w:t>
      </w:r>
      <w:r w:rsidR="00720A67" w:rsidRPr="00784316">
        <w:t xml:space="preserve">account </w:t>
      </w:r>
      <w:r>
        <w:t>any</w:t>
      </w:r>
      <w:r w:rsidR="00720A67" w:rsidRPr="00784316">
        <w:t xml:space="preserve"> dilution </w:t>
      </w:r>
      <w:r w:rsidR="00861C1A">
        <w:t xml:space="preserve">in </w:t>
      </w:r>
      <w:r w:rsidR="0075567F">
        <w:t>a</w:t>
      </w:r>
      <w:r w:rsidR="00720A67" w:rsidRPr="00784316">
        <w:t xml:space="preserve"> watercourse, </w:t>
      </w:r>
      <w:r w:rsidR="00861C1A">
        <w:t xml:space="preserve">in </w:t>
      </w:r>
      <w:r w:rsidR="00720A67" w:rsidRPr="00784316">
        <w:t>the coastal and transitional water outside the protected area and in a zone equivalent to the allowed mixing zones in the protected area.</w:t>
      </w:r>
    </w:p>
    <w:p w14:paraId="4821E29E" w14:textId="77777777" w:rsidR="0075567F" w:rsidRPr="00E76543" w:rsidRDefault="0075567F" w:rsidP="006E5DAA">
      <w:pPr>
        <w:pStyle w:val="BodyText1"/>
        <w:numPr>
          <w:ilvl w:val="0"/>
          <w:numId w:val="42"/>
        </w:numPr>
      </w:pPr>
      <w:r>
        <w:t xml:space="preserve">Your modelling must demonstrate that </w:t>
      </w:r>
      <w:r w:rsidRPr="00784316">
        <w:t xml:space="preserve">the required initial dilution criteria </w:t>
      </w:r>
      <w:r>
        <w:t xml:space="preserve">are met </w:t>
      </w:r>
      <w:r w:rsidRPr="00784316">
        <w:t>to reduce to acceptable levels both the visibility of slicks and the occurrence of smell nuisance.</w:t>
      </w:r>
    </w:p>
    <w:p w14:paraId="69C3BDC7" w14:textId="14A95476" w:rsidR="00720A67" w:rsidRPr="00263E70" w:rsidRDefault="00DA46D8" w:rsidP="00DA46D8">
      <w:pPr>
        <w:pStyle w:val="Heading2"/>
        <w:rPr>
          <w:rFonts w:eastAsia="Times New Roman"/>
        </w:rPr>
      </w:pPr>
      <w:bookmarkStart w:id="18" w:name="_Toc192768231"/>
      <w:r>
        <w:rPr>
          <w:rFonts w:eastAsia="Times New Roman"/>
        </w:rPr>
        <w:t>4.3</w:t>
      </w:r>
      <w:r>
        <w:rPr>
          <w:rFonts w:eastAsia="Times New Roman"/>
        </w:rPr>
        <w:tab/>
      </w:r>
      <w:r w:rsidR="00720A67" w:rsidRPr="00263E70">
        <w:rPr>
          <w:rFonts w:eastAsia="Times New Roman"/>
        </w:rPr>
        <w:t xml:space="preserve">Discharges to or </w:t>
      </w:r>
      <w:r w:rsidR="0075567F">
        <w:rPr>
          <w:rFonts w:eastAsia="Times New Roman"/>
        </w:rPr>
        <w:t>near</w:t>
      </w:r>
      <w:r w:rsidR="00720A67" w:rsidRPr="00263E70">
        <w:rPr>
          <w:rFonts w:eastAsia="Times New Roman"/>
        </w:rPr>
        <w:t xml:space="preserve"> classified shellfish harvesting areas</w:t>
      </w:r>
      <w:bookmarkEnd w:id="18"/>
    </w:p>
    <w:p w14:paraId="15546073" w14:textId="033D6F64" w:rsidR="00720A67" w:rsidRPr="00784316" w:rsidRDefault="00720A67" w:rsidP="006E5DAA">
      <w:pPr>
        <w:pStyle w:val="BodyText1"/>
      </w:pPr>
      <w:r w:rsidRPr="00784316">
        <w:t xml:space="preserve">For discharges directly into classified shellfish harvesting areas, to coastal and transitional waters </w:t>
      </w:r>
      <w:r w:rsidR="00A45333">
        <w:t>near</w:t>
      </w:r>
      <w:r w:rsidRPr="00784316">
        <w:t xml:space="preserve"> a classified shellfish harvesting area or watercourses draining into these areas:</w:t>
      </w:r>
    </w:p>
    <w:p w14:paraId="6104D77E" w14:textId="7937D9A9" w:rsidR="00720A67" w:rsidRPr="00784316" w:rsidRDefault="00A45333" w:rsidP="006E5DAA">
      <w:pPr>
        <w:pStyle w:val="BodyText1"/>
        <w:numPr>
          <w:ilvl w:val="0"/>
          <w:numId w:val="43"/>
        </w:numPr>
      </w:pPr>
      <w:r>
        <w:t>Your modelling should</w:t>
      </w:r>
      <w:r w:rsidRPr="00784316">
        <w:t xml:space="preserve"> demonstrate compliance with</w:t>
      </w:r>
      <w:r w:rsidR="00720A67">
        <w:t xml:space="preserve"> </w:t>
      </w:r>
      <w:r w:rsidR="00720A67" w:rsidRPr="1E07969B">
        <w:t>5</w:t>
      </w:r>
      <w:r w:rsidR="00720A67">
        <w:t xml:space="preserve"> </w:t>
      </w:r>
      <w:r w:rsidR="00720A67" w:rsidRPr="1E07969B">
        <w:t>E.</w:t>
      </w:r>
      <w:r w:rsidR="002107F1">
        <w:t xml:space="preserve"> </w:t>
      </w:r>
      <w:r w:rsidR="00720A67" w:rsidRPr="1E07969B">
        <w:t>coli/100ml as a geometric mean</w:t>
      </w:r>
      <w:r w:rsidR="00707029">
        <w:rPr>
          <w:vertAlign w:val="superscript"/>
        </w:rPr>
        <w:t xml:space="preserve">4 </w:t>
      </w:r>
      <w:r>
        <w:t>in</w:t>
      </w:r>
      <w:r w:rsidR="00720A67">
        <w:t xml:space="preserve"> the classified harvesting area. </w:t>
      </w:r>
    </w:p>
    <w:p w14:paraId="11CBF410" w14:textId="53B2ECFA" w:rsidR="00720A67" w:rsidRPr="007336A6" w:rsidRDefault="00751CC8" w:rsidP="006E5DAA">
      <w:pPr>
        <w:pStyle w:val="BodyText1"/>
        <w:numPr>
          <w:ilvl w:val="0"/>
          <w:numId w:val="43"/>
        </w:numPr>
      </w:pPr>
      <w:r w:rsidRPr="007336A6">
        <w:t>You can take into account any d</w:t>
      </w:r>
      <w:r w:rsidR="00720A67" w:rsidRPr="007336A6">
        <w:t xml:space="preserve">ilution </w:t>
      </w:r>
      <w:r w:rsidR="007336A6" w:rsidRPr="007336A6">
        <w:t>outside of the classified shellfish harvesting areas</w:t>
      </w:r>
      <w:r w:rsidR="00720A67" w:rsidRPr="007336A6">
        <w:t xml:space="preserve"> </w:t>
      </w:r>
      <w:r w:rsidRPr="007336A6">
        <w:t>if</w:t>
      </w:r>
      <w:r w:rsidR="00720A67" w:rsidRPr="007336A6">
        <w:t xml:space="preserve"> the discharge is outside of a classified shellfish harvesting area. </w:t>
      </w:r>
    </w:p>
    <w:p w14:paraId="7C2AC39A" w14:textId="77777777" w:rsidR="007336A6" w:rsidRPr="00E76543" w:rsidRDefault="007336A6" w:rsidP="006E5DAA">
      <w:pPr>
        <w:pStyle w:val="BodyText1"/>
        <w:numPr>
          <w:ilvl w:val="0"/>
          <w:numId w:val="43"/>
        </w:numPr>
      </w:pPr>
      <w:r>
        <w:lastRenderedPageBreak/>
        <w:t xml:space="preserve">Your modelling must demonstrate that </w:t>
      </w:r>
      <w:r w:rsidRPr="00784316">
        <w:t xml:space="preserve">the required initial dilution criteria </w:t>
      </w:r>
      <w:r>
        <w:t xml:space="preserve">are met </w:t>
      </w:r>
      <w:r w:rsidRPr="00784316">
        <w:t>to reduce to acceptable levels both the visibility of slicks and the occurrence of smell nuisance.</w:t>
      </w:r>
    </w:p>
    <w:p w14:paraId="585EC3E1" w14:textId="0A602F5E" w:rsidR="00720A67" w:rsidRPr="00784316" w:rsidRDefault="007604F2" w:rsidP="006E5DAA">
      <w:pPr>
        <w:pStyle w:val="BodyText1"/>
        <w:numPr>
          <w:ilvl w:val="0"/>
          <w:numId w:val="43"/>
        </w:numPr>
      </w:pPr>
      <w:r>
        <w:t>You can’t use i</w:t>
      </w:r>
      <w:r w:rsidR="00720A67" w:rsidRPr="00784316">
        <w:t xml:space="preserve">nitial dilution </w:t>
      </w:r>
      <w:r>
        <w:t>to</w:t>
      </w:r>
      <w:r w:rsidR="00720A67" w:rsidRPr="00784316">
        <w:t xml:space="preserve"> meet</w:t>
      </w:r>
      <w:r w:rsidR="006E5DAA">
        <w:t xml:space="preserve"> the</w:t>
      </w:r>
      <w:r w:rsidR="00720A67" w:rsidRPr="00784316">
        <w:t xml:space="preserve"> required microbiological standards for direct discharges</w:t>
      </w:r>
      <w:r w:rsidR="00720A67">
        <w:t xml:space="preserve"> to classified harvesting ar</w:t>
      </w:r>
      <w:r>
        <w:t>ea</w:t>
      </w:r>
      <w:r w:rsidR="00720A67">
        <w:t>s</w:t>
      </w:r>
      <w:r w:rsidR="002A1A1F">
        <w:t>. T</w:t>
      </w:r>
      <w:r w:rsidR="00720A67" w:rsidRPr="00784316">
        <w:t>hese standards must be achieved at end of pipe for direct discharges.</w:t>
      </w:r>
    </w:p>
    <w:p w14:paraId="6891E1D2" w14:textId="164E019C" w:rsidR="00DA46D8" w:rsidRDefault="00720A67" w:rsidP="00DA46D8">
      <w:pPr>
        <w:pStyle w:val="BodyText1"/>
        <w:numPr>
          <w:ilvl w:val="0"/>
          <w:numId w:val="43"/>
        </w:numPr>
      </w:pPr>
      <w:r w:rsidRPr="00784316">
        <w:t>In determining the impact</w:t>
      </w:r>
      <w:r w:rsidR="002A1A1F">
        <w:t xml:space="preserve">, you can take into </w:t>
      </w:r>
      <w:r w:rsidRPr="00784316">
        <w:t>account the degree of impact on the classified shellfish harvesting area. Where harvesting is dispersed</w:t>
      </w:r>
      <w:r w:rsidR="00B91321">
        <w:t>,</w:t>
      </w:r>
      <w:r w:rsidRPr="00784316">
        <w:t xml:space="preserve"> the impact is likely to be low</w:t>
      </w:r>
      <w:r w:rsidR="00DA46D8">
        <w:t>.</w:t>
      </w:r>
    </w:p>
    <w:p w14:paraId="2CB226A1" w14:textId="3B868262" w:rsidR="009E0C3D" w:rsidRDefault="009E0C3D" w:rsidP="009E0C3D">
      <w:pPr>
        <w:pStyle w:val="Heading2"/>
      </w:pPr>
      <w:bookmarkStart w:id="19" w:name="_Toc192768232"/>
      <w:r>
        <w:t>4.4</w:t>
      </w:r>
      <w:r>
        <w:tab/>
        <w:t xml:space="preserve">Sewage </w:t>
      </w:r>
      <w:r w:rsidR="00824A2D">
        <w:t xml:space="preserve">model </w:t>
      </w:r>
      <w:r>
        <w:t>input parameters</w:t>
      </w:r>
      <w:bookmarkEnd w:id="19"/>
    </w:p>
    <w:p w14:paraId="5DBA6372" w14:textId="6543638C" w:rsidR="009E0C3D" w:rsidRDefault="00423382" w:rsidP="007B492C">
      <w:pPr>
        <w:pStyle w:val="BodyText1"/>
      </w:pPr>
      <w:r>
        <w:t xml:space="preserve">You can use these </w:t>
      </w:r>
      <w:r w:rsidR="00974DF8">
        <w:t>values</w:t>
      </w:r>
      <w:r>
        <w:t xml:space="preserve"> </w:t>
      </w:r>
      <w:r w:rsidR="00D0042D">
        <w:t>for E.</w:t>
      </w:r>
      <w:r w:rsidR="00974DF8">
        <w:t xml:space="preserve"> </w:t>
      </w:r>
      <w:r w:rsidR="00D0042D">
        <w:t xml:space="preserve">coli </w:t>
      </w:r>
      <w:r w:rsidR="008A4EA9">
        <w:t xml:space="preserve">numbers </w:t>
      </w:r>
      <w:r w:rsidR="00974DF8">
        <w:t>in sewage and E.</w:t>
      </w:r>
      <w:r w:rsidR="00CC15F7">
        <w:t xml:space="preserve"> </w:t>
      </w:r>
      <w:r w:rsidR="000B7B07">
        <w:t>coli</w:t>
      </w:r>
      <w:r w:rsidR="00974DF8">
        <w:t xml:space="preserve"> die of</w:t>
      </w:r>
      <w:r w:rsidR="006D34F5">
        <w:t>f</w:t>
      </w:r>
      <w:r w:rsidR="00974DF8">
        <w:t xml:space="preserve"> rates in</w:t>
      </w:r>
      <w:r>
        <w:t xml:space="preserve"> your model.</w:t>
      </w:r>
      <w:r w:rsidR="007E4B6C">
        <w:t xml:space="preserve"> </w:t>
      </w:r>
      <w:r w:rsidR="006D1CE6">
        <w:t xml:space="preserve">These are guideline values </w:t>
      </w:r>
      <w:r w:rsidR="00FB4BFB">
        <w:t>and, in some cases,</w:t>
      </w:r>
      <w:r w:rsidR="007E4B6C">
        <w:t xml:space="preserve"> it may be more appropriate to use site-specific values. </w:t>
      </w:r>
    </w:p>
    <w:p w14:paraId="5285FF94" w14:textId="6D1D5EA7" w:rsidR="009E0C3D" w:rsidRDefault="00196AA4" w:rsidP="007B492C">
      <w:pPr>
        <w:pStyle w:val="Heading3"/>
      </w:pPr>
      <w:bookmarkStart w:id="20" w:name="_Toc192768233"/>
      <w:r>
        <w:t>4.4.1</w:t>
      </w:r>
      <w:r>
        <w:tab/>
      </w:r>
      <w:r w:rsidR="00241DD2">
        <w:t xml:space="preserve">Mean </w:t>
      </w:r>
      <w:r>
        <w:t>E. coli numbers in sewage</w:t>
      </w:r>
      <w:bookmarkEnd w:id="20"/>
    </w:p>
    <w:p w14:paraId="1CCEB753" w14:textId="1EA6D9EB" w:rsidR="00423382" w:rsidRPr="00CB0232" w:rsidRDefault="009E0C3D" w:rsidP="007B492C">
      <w:pPr>
        <w:pStyle w:val="BodyText1"/>
        <w:numPr>
          <w:ilvl w:val="0"/>
          <w:numId w:val="50"/>
        </w:numPr>
      </w:pPr>
      <w:r w:rsidRPr="00CB0232">
        <w:t xml:space="preserve">Raw </w:t>
      </w:r>
      <w:r w:rsidR="00BA587D" w:rsidRPr="00CB0232">
        <w:t>s</w:t>
      </w:r>
      <w:r w:rsidRPr="00CB0232">
        <w:t>ewage</w:t>
      </w:r>
      <w:r w:rsidR="00620242" w:rsidRPr="00CB0232">
        <w:t xml:space="preserve"> E. coli /100ml is 2 x 10</w:t>
      </w:r>
      <w:r w:rsidR="00620242" w:rsidRPr="00CB0232">
        <w:rPr>
          <w:vertAlign w:val="superscript"/>
        </w:rPr>
        <w:t>7</w:t>
      </w:r>
      <w:r w:rsidR="00620242" w:rsidRPr="00CB0232">
        <w:t xml:space="preserve"> </w:t>
      </w:r>
    </w:p>
    <w:p w14:paraId="2048AB5C" w14:textId="7F3A0239" w:rsidR="009E0C3D" w:rsidRPr="00CB0232" w:rsidRDefault="00792DEC" w:rsidP="007B492C">
      <w:pPr>
        <w:pStyle w:val="BodyText1"/>
        <w:numPr>
          <w:ilvl w:val="0"/>
          <w:numId w:val="50"/>
        </w:numPr>
      </w:pPr>
      <w:r w:rsidRPr="00CB0232">
        <w:t>S</w:t>
      </w:r>
      <w:r w:rsidR="005E5760" w:rsidRPr="00CB0232">
        <w:t>eptic tank</w:t>
      </w:r>
      <w:r w:rsidR="009E0C3D" w:rsidRPr="00CB0232">
        <w:t xml:space="preserve"> effluent </w:t>
      </w:r>
      <w:r w:rsidR="00620242" w:rsidRPr="00CB0232">
        <w:t>E. coli /100ml is 1 x 10</w:t>
      </w:r>
      <w:r w:rsidR="00620242" w:rsidRPr="00CB0232">
        <w:rPr>
          <w:vertAlign w:val="superscript"/>
        </w:rPr>
        <w:t>7</w:t>
      </w:r>
      <w:r w:rsidR="00620242" w:rsidRPr="00CB0232">
        <w:t xml:space="preserve"> </w:t>
      </w:r>
    </w:p>
    <w:p w14:paraId="554866F9" w14:textId="325D3ABA" w:rsidR="00620242" w:rsidRPr="00CB0232" w:rsidRDefault="009E0C3D" w:rsidP="007B492C">
      <w:pPr>
        <w:pStyle w:val="BodyText1"/>
        <w:numPr>
          <w:ilvl w:val="0"/>
          <w:numId w:val="50"/>
        </w:numPr>
      </w:pPr>
      <w:r w:rsidRPr="00CB0232">
        <w:t xml:space="preserve">Secondary </w:t>
      </w:r>
      <w:r w:rsidR="00112928" w:rsidRPr="00CB0232">
        <w:t>t</w:t>
      </w:r>
      <w:r w:rsidRPr="00CB0232">
        <w:t xml:space="preserve">reated </w:t>
      </w:r>
      <w:r w:rsidR="00112928" w:rsidRPr="00CB0232">
        <w:t>e</w:t>
      </w:r>
      <w:r w:rsidRPr="00CB0232">
        <w:t xml:space="preserve">ffluent </w:t>
      </w:r>
      <w:r w:rsidR="00620242" w:rsidRPr="00CB0232">
        <w:t>E. coli /100ml is 1 x 10</w:t>
      </w:r>
      <w:r w:rsidR="00620242" w:rsidRPr="007B492C">
        <w:rPr>
          <w:vertAlign w:val="superscript"/>
        </w:rPr>
        <w:t>5</w:t>
      </w:r>
      <w:r w:rsidR="00620242" w:rsidRPr="00CB0232">
        <w:t xml:space="preserve"> </w:t>
      </w:r>
    </w:p>
    <w:p w14:paraId="3AE95963" w14:textId="13BCD722" w:rsidR="009E0C3D" w:rsidRPr="00CB0232" w:rsidRDefault="00620242" w:rsidP="007B492C">
      <w:pPr>
        <w:pStyle w:val="BodyText1"/>
        <w:numPr>
          <w:ilvl w:val="0"/>
          <w:numId w:val="50"/>
        </w:numPr>
      </w:pPr>
      <w:r w:rsidRPr="00CB0232">
        <w:t xml:space="preserve">Subsurface flow wetlands </w:t>
      </w:r>
      <w:r w:rsidR="00DE1B39" w:rsidRPr="00CB0232">
        <w:t xml:space="preserve">E. coli /100ml is </w:t>
      </w:r>
      <w:r w:rsidR="009E0C3D" w:rsidRPr="00CB0232">
        <w:t>4 x 10</w:t>
      </w:r>
      <w:r w:rsidR="009E0C3D" w:rsidRPr="007B492C">
        <w:rPr>
          <w:vertAlign w:val="superscript"/>
        </w:rPr>
        <w:t>3</w:t>
      </w:r>
      <w:r w:rsidR="009E0C3D" w:rsidRPr="00CB0232">
        <w:t xml:space="preserve"> </w:t>
      </w:r>
    </w:p>
    <w:p w14:paraId="2B9ED650" w14:textId="6DECEFD4" w:rsidR="00064EF2" w:rsidRPr="00CB0232" w:rsidRDefault="00620242" w:rsidP="007B492C">
      <w:pPr>
        <w:pStyle w:val="BodyText1"/>
        <w:numPr>
          <w:ilvl w:val="0"/>
          <w:numId w:val="50"/>
        </w:numPr>
      </w:pPr>
      <w:r w:rsidRPr="00CB0232">
        <w:t xml:space="preserve">Other reedbeds and wetlands </w:t>
      </w:r>
      <w:r w:rsidR="00064EF2" w:rsidRPr="00CB0232">
        <w:t>E. coli /100ml is 4 x 10</w:t>
      </w:r>
      <w:r w:rsidR="00064EF2" w:rsidRPr="00CB0232">
        <w:rPr>
          <w:vertAlign w:val="superscript"/>
        </w:rPr>
        <w:t>4</w:t>
      </w:r>
      <w:r w:rsidR="00064EF2" w:rsidRPr="00CB0232">
        <w:t xml:space="preserve"> </w:t>
      </w:r>
    </w:p>
    <w:p w14:paraId="502C1C21" w14:textId="5E94B30D" w:rsidR="009E0C3D" w:rsidRPr="00871FD8" w:rsidRDefault="009E0C3D" w:rsidP="007B492C">
      <w:pPr>
        <w:pStyle w:val="BodyText1"/>
        <w:numPr>
          <w:ilvl w:val="0"/>
          <w:numId w:val="50"/>
        </w:numPr>
      </w:pPr>
      <w:r w:rsidRPr="007B492C">
        <w:t>CSO discharges</w:t>
      </w:r>
      <w:r w:rsidR="00CB0232" w:rsidRPr="00CB0232">
        <w:t xml:space="preserve"> E. coli /100ml is 1 x 10</w:t>
      </w:r>
      <w:r w:rsidR="00CB0232" w:rsidRPr="00CB0232">
        <w:rPr>
          <w:vertAlign w:val="superscript"/>
        </w:rPr>
        <w:t>6</w:t>
      </w:r>
      <w:r w:rsidR="00CB0232" w:rsidRPr="00CB0232">
        <w:t xml:space="preserve"> </w:t>
      </w:r>
    </w:p>
    <w:p w14:paraId="1F0E70F3" w14:textId="04CA4E0B" w:rsidR="009E0C3D" w:rsidRPr="007E3FB7" w:rsidRDefault="00196AA4" w:rsidP="007B492C">
      <w:pPr>
        <w:pStyle w:val="Heading3"/>
      </w:pPr>
      <w:bookmarkStart w:id="21" w:name="_Toc192768234"/>
      <w:r>
        <w:t>4.4.2</w:t>
      </w:r>
      <w:r>
        <w:tab/>
      </w:r>
      <w:r w:rsidR="009E0C3D" w:rsidRPr="007E3FB7">
        <w:t>E</w:t>
      </w:r>
      <w:r>
        <w:t>.</w:t>
      </w:r>
      <w:r w:rsidR="009E0C3D" w:rsidRPr="007E3FB7">
        <w:t xml:space="preserve"> coli </w:t>
      </w:r>
      <w:r w:rsidR="00EE0238">
        <w:t>d</w:t>
      </w:r>
      <w:r w:rsidR="009E0C3D" w:rsidRPr="007E3FB7">
        <w:t xml:space="preserve">ie </w:t>
      </w:r>
      <w:r w:rsidR="00EE0238">
        <w:t>o</w:t>
      </w:r>
      <w:r w:rsidR="009E0C3D" w:rsidRPr="007E3FB7">
        <w:t xml:space="preserve">ff </w:t>
      </w:r>
      <w:r w:rsidR="00EE0238">
        <w:t>r</w:t>
      </w:r>
      <w:r w:rsidR="009E0C3D" w:rsidRPr="007E3FB7">
        <w:t>ates</w:t>
      </w:r>
      <w:bookmarkEnd w:id="21"/>
    </w:p>
    <w:p w14:paraId="080FD2A1" w14:textId="61E53E0C" w:rsidR="009E0C3D" w:rsidRDefault="00620242" w:rsidP="007B492C">
      <w:pPr>
        <w:pStyle w:val="BodyText1"/>
        <w:numPr>
          <w:ilvl w:val="0"/>
          <w:numId w:val="51"/>
        </w:numPr>
      </w:pPr>
      <w:r>
        <w:t>In c</w:t>
      </w:r>
      <w:r w:rsidR="009E0C3D">
        <w:t xml:space="preserve">oastal </w:t>
      </w:r>
      <w:r>
        <w:t>w</w:t>
      </w:r>
      <w:r w:rsidR="009E0C3D">
        <w:t>ater</w:t>
      </w:r>
      <w:r>
        <w:t>s,</w:t>
      </w:r>
      <w:r w:rsidR="009E0C3D">
        <w:t xml:space="preserve"> </w:t>
      </w:r>
      <w:r w:rsidR="00196AA4">
        <w:t xml:space="preserve">time taken for 90% of </w:t>
      </w:r>
      <w:r>
        <w:t>E. coli to die off (</w:t>
      </w:r>
      <w:r w:rsidR="009E0C3D">
        <w:t>T90</w:t>
      </w:r>
      <w:r>
        <w:t>)</w:t>
      </w:r>
      <w:r w:rsidR="009E0C3D">
        <w:t xml:space="preserve"> </w:t>
      </w:r>
      <w:r w:rsidR="00196AA4">
        <w:t>is</w:t>
      </w:r>
      <w:r w:rsidR="009E0C3D">
        <w:t xml:space="preserve"> 15 hrs</w:t>
      </w:r>
      <w:r>
        <w:t>.</w:t>
      </w:r>
    </w:p>
    <w:p w14:paraId="62100E61" w14:textId="6184F812" w:rsidR="009E0C3D" w:rsidRPr="006471A1" w:rsidRDefault="00620242" w:rsidP="007B492C">
      <w:pPr>
        <w:pStyle w:val="BodyText1"/>
        <w:numPr>
          <w:ilvl w:val="0"/>
          <w:numId w:val="51"/>
        </w:numPr>
      </w:pPr>
      <w:r>
        <w:t xml:space="preserve">In transitional waters time taken for 90% of E. coli to die off (T90) </w:t>
      </w:r>
      <w:r w:rsidR="00196AA4">
        <w:t>is</w:t>
      </w:r>
      <w:r w:rsidR="009E0C3D">
        <w:t xml:space="preserve"> 20 hrs</w:t>
      </w:r>
      <w:r>
        <w:t>.</w:t>
      </w:r>
    </w:p>
    <w:p w14:paraId="7D2AFC18" w14:textId="77777777" w:rsidR="009E0C3D" w:rsidRPr="009E0C3D" w:rsidRDefault="009E0C3D" w:rsidP="007B492C"/>
    <w:p w14:paraId="41B46123" w14:textId="02D468D6" w:rsidR="00D17971" w:rsidRDefault="00D17971" w:rsidP="00DA46D8">
      <w:pPr>
        <w:pStyle w:val="Heading1"/>
        <w:numPr>
          <w:ilvl w:val="0"/>
          <w:numId w:val="17"/>
        </w:numPr>
        <w:tabs>
          <w:tab w:val="num" w:pos="567"/>
        </w:tabs>
        <w:spacing w:after="120" w:line="360" w:lineRule="auto"/>
        <w:ind w:left="567" w:hanging="567"/>
        <w:rPr>
          <w:rFonts w:eastAsia="Times New Roman"/>
        </w:rPr>
      </w:pPr>
      <w:bookmarkStart w:id="22" w:name="_Toc192768235"/>
      <w:r>
        <w:rPr>
          <w:rFonts w:eastAsia="Times New Roman"/>
        </w:rPr>
        <w:lastRenderedPageBreak/>
        <w:t xml:space="preserve">Your </w:t>
      </w:r>
      <w:r w:rsidR="00EE0238">
        <w:rPr>
          <w:rFonts w:eastAsia="Times New Roman"/>
        </w:rPr>
        <w:t>p</w:t>
      </w:r>
      <w:r>
        <w:rPr>
          <w:rFonts w:eastAsia="Times New Roman"/>
        </w:rPr>
        <w:t>ermit</w:t>
      </w:r>
      <w:bookmarkEnd w:id="22"/>
    </w:p>
    <w:p w14:paraId="33DD37AD" w14:textId="48633F00" w:rsidR="00D17971" w:rsidRPr="00CC15F7" w:rsidRDefault="00D17971" w:rsidP="00CC15F7">
      <w:pPr>
        <w:pStyle w:val="BodyText1"/>
      </w:pPr>
      <w:r w:rsidRPr="00CC15F7">
        <w:t xml:space="preserve">We will include numerical standards for microbes on your permit where </w:t>
      </w:r>
      <w:r w:rsidRPr="007B492C">
        <w:t xml:space="preserve">treatment of effluent is required to reduce the </w:t>
      </w:r>
      <w:r w:rsidR="006D34F5" w:rsidRPr="007B492C">
        <w:t>number</w:t>
      </w:r>
      <w:r w:rsidRPr="007B492C">
        <w:t xml:space="preserve"> of microbes</w:t>
      </w:r>
      <w:r w:rsidR="006D4553">
        <w:t>.</w:t>
      </w:r>
      <w:r w:rsidRPr="007B492C">
        <w:t xml:space="preserve"> The standards will normally be for </w:t>
      </w:r>
      <w:r w:rsidRPr="00CC15F7">
        <w:t xml:space="preserve">intestinal enterococci or </w:t>
      </w:r>
      <w:r w:rsidRPr="007B492C">
        <w:t>E.</w:t>
      </w:r>
      <w:r w:rsidR="0049749A" w:rsidRPr="00CC15F7">
        <w:t xml:space="preserve"> </w:t>
      </w:r>
      <w:r w:rsidRPr="007B492C">
        <w:t>coli</w:t>
      </w:r>
      <w:r w:rsidR="00FC617E" w:rsidRPr="00CC15F7">
        <w:t xml:space="preserve"> </w:t>
      </w:r>
      <w:r w:rsidRPr="00CC15F7">
        <w:t xml:space="preserve">or both. </w:t>
      </w:r>
      <w:r w:rsidR="00015673">
        <w:t>We</w:t>
      </w:r>
      <w:r w:rsidRPr="00CC15F7">
        <w:t xml:space="preserve"> may also </w:t>
      </w:r>
      <w:r w:rsidR="00015673">
        <w:t>include a standard</w:t>
      </w:r>
      <w:r w:rsidRPr="00CC15F7">
        <w:t xml:space="preserve"> for any other indicator or pathogenic micro-organism which may be relevant to a specific situation. </w:t>
      </w:r>
      <w:r w:rsidRPr="007B492C">
        <w:t xml:space="preserve">The numerical standards </w:t>
      </w:r>
      <w:r w:rsidRPr="00CC15F7">
        <w:t>for continuous discharges will be two-tier:</w:t>
      </w:r>
    </w:p>
    <w:p w14:paraId="48ADA5F7" w14:textId="77777777" w:rsidR="00D17971" w:rsidRPr="00CC15F7" w:rsidRDefault="00D17971" w:rsidP="007B492C">
      <w:pPr>
        <w:pStyle w:val="BodyText1"/>
        <w:numPr>
          <w:ilvl w:val="0"/>
          <w:numId w:val="52"/>
        </w:numPr>
      </w:pPr>
      <w:r w:rsidRPr="00CC15F7">
        <w:t>A lower tier set for 95 percentile compliance. This will be set at the model discharge output needed to meet the required standards in the bathing or shellfish water.</w:t>
      </w:r>
    </w:p>
    <w:p w14:paraId="48C4BE76" w14:textId="7E135454" w:rsidR="00D17971" w:rsidRPr="00CC15F7" w:rsidRDefault="00D17971" w:rsidP="007B492C">
      <w:pPr>
        <w:pStyle w:val="BodyText1"/>
        <w:numPr>
          <w:ilvl w:val="0"/>
          <w:numId w:val="52"/>
        </w:numPr>
      </w:pPr>
      <w:r w:rsidRPr="00CC15F7">
        <w:t xml:space="preserve">An upper tier set as an absolute limit.  Given the nature of the discharge and likely variability in the effluent the upper tier </w:t>
      </w:r>
      <w:r w:rsidR="00562C98">
        <w:t xml:space="preserve">this </w:t>
      </w:r>
      <w:r w:rsidRPr="00CC15F7">
        <w:t xml:space="preserve">should then be set as 10 times the lower tier. </w:t>
      </w:r>
    </w:p>
    <w:p w14:paraId="03DAA7F1" w14:textId="133AC3CB" w:rsidR="00D17971" w:rsidRPr="007B492C" w:rsidRDefault="00D17971" w:rsidP="0097441F">
      <w:pPr>
        <w:pStyle w:val="BodyText1"/>
      </w:pPr>
      <w:r w:rsidRPr="00CC15F7">
        <w:t>We may also include a condition th</w:t>
      </w:r>
      <w:r w:rsidR="00655C74" w:rsidRPr="00CC15F7">
        <w:t>at</w:t>
      </w:r>
      <w:r w:rsidRPr="00CC15F7">
        <w:t xml:space="preserve"> telemetry must be installed where an automated process is used to treat your effluent</w:t>
      </w:r>
    </w:p>
    <w:p w14:paraId="3F913172" w14:textId="3B7990CA" w:rsidR="00DA46D8" w:rsidRPr="00263E70" w:rsidRDefault="00DA46D8" w:rsidP="00DA46D8">
      <w:pPr>
        <w:pStyle w:val="Heading1"/>
        <w:numPr>
          <w:ilvl w:val="0"/>
          <w:numId w:val="17"/>
        </w:numPr>
        <w:tabs>
          <w:tab w:val="num" w:pos="567"/>
        </w:tabs>
        <w:spacing w:after="120" w:line="360" w:lineRule="auto"/>
        <w:ind w:left="567" w:hanging="567"/>
        <w:rPr>
          <w:rFonts w:eastAsia="Times New Roman"/>
        </w:rPr>
      </w:pPr>
      <w:bookmarkStart w:id="23" w:name="_Toc192768236"/>
      <w:r w:rsidRPr="00263E70">
        <w:rPr>
          <w:rFonts w:eastAsia="Times New Roman"/>
        </w:rPr>
        <w:t xml:space="preserve">Sewer </w:t>
      </w:r>
      <w:r>
        <w:rPr>
          <w:rFonts w:eastAsia="Times New Roman"/>
        </w:rPr>
        <w:t>o</w:t>
      </w:r>
      <w:r w:rsidRPr="00263E70">
        <w:rPr>
          <w:rFonts w:eastAsia="Times New Roman"/>
        </w:rPr>
        <w:t>verflows</w:t>
      </w:r>
      <w:bookmarkEnd w:id="23"/>
    </w:p>
    <w:p w14:paraId="4022BB6E" w14:textId="33807F7B" w:rsidR="00DA46D8" w:rsidRPr="00784316" w:rsidRDefault="00DA46D8" w:rsidP="00DA46D8">
      <w:pPr>
        <w:spacing w:after="240"/>
        <w:rPr>
          <w:rFonts w:ascii="Arial" w:hAnsi="Arial" w:cs="Arial"/>
        </w:rPr>
      </w:pPr>
      <w:r>
        <w:rPr>
          <w:rFonts w:ascii="Arial" w:hAnsi="Arial" w:cs="Arial"/>
        </w:rPr>
        <w:t>We have</w:t>
      </w:r>
      <w:r w:rsidRPr="00784316">
        <w:rPr>
          <w:rFonts w:ascii="Arial" w:hAnsi="Arial" w:cs="Arial"/>
        </w:rPr>
        <w:t xml:space="preserve"> a presumption against </w:t>
      </w:r>
      <w:r w:rsidRPr="00154AA4">
        <w:rPr>
          <w:rFonts w:ascii="Arial" w:hAnsi="Arial" w:cs="Arial"/>
        </w:rPr>
        <w:t>combined sewer overflow and emergency overflow discharges to or near bathing and shellfish waters. You be required to demonstrate that alternative discharge location options (e.g. relocation of outfall out with the identified water) have been considered when applying for discharge to or near these waters.</w:t>
      </w:r>
      <w:r w:rsidRPr="00784316">
        <w:rPr>
          <w:rFonts w:ascii="Arial" w:hAnsi="Arial" w:cs="Arial"/>
        </w:rPr>
        <w:t xml:space="preserve"> </w:t>
      </w:r>
    </w:p>
    <w:p w14:paraId="0F7D3CB6" w14:textId="16333808" w:rsidR="00DA46D8" w:rsidRDefault="00DA46D8" w:rsidP="00DA46D8">
      <w:pPr>
        <w:spacing w:after="360"/>
        <w:rPr>
          <w:rFonts w:ascii="Arial" w:hAnsi="Arial" w:cs="Arial"/>
        </w:rPr>
      </w:pPr>
      <w:r>
        <w:rPr>
          <w:rFonts w:ascii="Arial" w:hAnsi="Arial" w:cs="Arial"/>
        </w:rPr>
        <w:t xml:space="preserve">You should read </w:t>
      </w:r>
      <w:r w:rsidR="00154AA4">
        <w:rPr>
          <w:rFonts w:ascii="Arial" w:hAnsi="Arial" w:cs="Arial"/>
        </w:rPr>
        <w:t>WAT-</w:t>
      </w:r>
      <w:r w:rsidR="001F1F68">
        <w:rPr>
          <w:rFonts w:ascii="Arial" w:hAnsi="Arial" w:cs="Arial"/>
        </w:rPr>
        <w:t>G</w:t>
      </w:r>
      <w:r w:rsidR="00154AA4">
        <w:rPr>
          <w:rFonts w:ascii="Arial" w:hAnsi="Arial" w:cs="Arial"/>
        </w:rPr>
        <w:t>-</w:t>
      </w:r>
      <w:r w:rsidR="001F1F68">
        <w:rPr>
          <w:rFonts w:ascii="Arial" w:hAnsi="Arial" w:cs="Arial"/>
        </w:rPr>
        <w:t xml:space="preserve">058, </w:t>
      </w:r>
      <w:r>
        <w:rPr>
          <w:rFonts w:ascii="Arial" w:hAnsi="Arial" w:cs="Arial"/>
        </w:rPr>
        <w:t xml:space="preserve">EASR Guidance: Permit Activity: </w:t>
      </w:r>
      <w:r w:rsidR="00024CFB">
        <w:rPr>
          <w:rFonts w:ascii="Arial" w:hAnsi="Arial" w:cs="Arial"/>
        </w:rPr>
        <w:t>S</w:t>
      </w:r>
      <w:r>
        <w:rPr>
          <w:rFonts w:ascii="Arial" w:hAnsi="Arial" w:cs="Arial"/>
        </w:rPr>
        <w:t xml:space="preserve">ewer </w:t>
      </w:r>
      <w:r w:rsidR="001F1F68">
        <w:rPr>
          <w:rFonts w:ascii="Arial" w:hAnsi="Arial" w:cs="Arial"/>
        </w:rPr>
        <w:t>O</w:t>
      </w:r>
      <w:r>
        <w:rPr>
          <w:rFonts w:ascii="Arial" w:hAnsi="Arial" w:cs="Arial"/>
        </w:rPr>
        <w:t>verflows</w:t>
      </w:r>
      <w:hyperlink r:id="rId16">
        <w:r w:rsidRPr="1E07969B">
          <w:rPr>
            <w:rFonts w:ascii="Arial" w:hAnsi="Arial" w:cs="Arial"/>
          </w:rPr>
          <w:t>.</w:t>
        </w:r>
      </w:hyperlink>
    </w:p>
    <w:p w14:paraId="1EFE55CD" w14:textId="260EC54C" w:rsidR="00DA46D8" w:rsidRDefault="00DA3EA6" w:rsidP="00DA46D8">
      <w:pPr>
        <w:pStyle w:val="Heading2"/>
      </w:pPr>
      <w:bookmarkStart w:id="24" w:name="_Toc192768237"/>
      <w:r>
        <w:t>6</w:t>
      </w:r>
      <w:r w:rsidR="00DA46D8">
        <w:t>.1</w:t>
      </w:r>
      <w:r w:rsidR="00DA46D8">
        <w:tab/>
        <w:t xml:space="preserve">Emergency </w:t>
      </w:r>
      <w:r w:rsidR="006D34F5">
        <w:t>o</w:t>
      </w:r>
      <w:r w:rsidR="00DA46D8">
        <w:t>verflows</w:t>
      </w:r>
      <w:bookmarkEnd w:id="24"/>
    </w:p>
    <w:p w14:paraId="02D1C525" w14:textId="121A24CE" w:rsidR="00DA46D8" w:rsidRDefault="00DA46D8" w:rsidP="00DA46D8">
      <w:pPr>
        <w:spacing w:after="240"/>
        <w:rPr>
          <w:rFonts w:ascii="Arial" w:hAnsi="Arial" w:cs="Arial"/>
        </w:rPr>
      </w:pPr>
      <w:r w:rsidRPr="00784316">
        <w:rPr>
          <w:rFonts w:ascii="Arial" w:hAnsi="Arial" w:cs="Arial"/>
        </w:rPr>
        <w:t xml:space="preserve">Where </w:t>
      </w:r>
      <w:r>
        <w:rPr>
          <w:rFonts w:ascii="Arial" w:hAnsi="Arial" w:cs="Arial"/>
        </w:rPr>
        <w:t>you have to discharge to or near a bathing or shellfish water</w:t>
      </w:r>
      <w:r w:rsidR="00855C60">
        <w:rPr>
          <w:rFonts w:ascii="Arial" w:hAnsi="Arial" w:cs="Arial"/>
        </w:rPr>
        <w:t>,</w:t>
      </w:r>
      <w:r w:rsidRPr="00784316">
        <w:rPr>
          <w:rFonts w:ascii="Arial" w:hAnsi="Arial" w:cs="Arial"/>
        </w:rPr>
        <w:t xml:space="preserve"> </w:t>
      </w:r>
      <w:r>
        <w:rPr>
          <w:rFonts w:ascii="Arial" w:hAnsi="Arial" w:cs="Arial"/>
        </w:rPr>
        <w:t>you need to</w:t>
      </w:r>
      <w:r w:rsidRPr="00784316">
        <w:rPr>
          <w:rFonts w:ascii="Arial" w:hAnsi="Arial" w:cs="Arial"/>
        </w:rPr>
        <w:t xml:space="preserve"> provide storage to minimise the risk of the discharge. </w:t>
      </w:r>
      <w:r>
        <w:rPr>
          <w:rFonts w:ascii="Arial" w:hAnsi="Arial" w:cs="Arial"/>
        </w:rPr>
        <w:t xml:space="preserve">We normally require </w:t>
      </w:r>
      <w:r w:rsidRPr="00784316">
        <w:rPr>
          <w:rFonts w:ascii="Arial" w:hAnsi="Arial" w:cs="Arial"/>
        </w:rPr>
        <w:t>a minimum storage capacity equivalent to 1-2 hours storage at 3DWF (3PG + I + 3E).</w:t>
      </w:r>
      <w:r>
        <w:rPr>
          <w:rFonts w:ascii="Arial" w:hAnsi="Arial" w:cs="Arial"/>
        </w:rPr>
        <w:t xml:space="preserve"> This comes from</w:t>
      </w:r>
      <w:r w:rsidRPr="00784316">
        <w:rPr>
          <w:rFonts w:ascii="Arial" w:hAnsi="Arial" w:cs="Arial"/>
        </w:rPr>
        <w:t xml:space="preserve"> UWWTR Guidance Note</w:t>
      </w:r>
      <w:hyperlink r:id="rId17">
        <w:r w:rsidRPr="00784316">
          <w:rPr>
            <w:rFonts w:ascii="Arial" w:hAnsi="Arial" w:cs="Arial"/>
          </w:rPr>
          <w:t>.</w:t>
        </w:r>
      </w:hyperlink>
    </w:p>
    <w:p w14:paraId="4484C1E8" w14:textId="77777777" w:rsidR="00DA46D8" w:rsidRDefault="00DA46D8" w:rsidP="00DA46D8">
      <w:pPr>
        <w:spacing w:after="360"/>
        <w:rPr>
          <w:rFonts w:ascii="Arial" w:hAnsi="Arial" w:cs="Arial"/>
        </w:rPr>
      </w:pPr>
      <w:r w:rsidRPr="00784316">
        <w:rPr>
          <w:rFonts w:ascii="Arial" w:hAnsi="Arial" w:cs="Arial"/>
        </w:rPr>
        <w:t xml:space="preserve">However, the storage capacity needed at a site will depend on remedial measures provided by the applicant (e.g. standby pump, stand-by power generator etc) and response times to </w:t>
      </w:r>
      <w:r w:rsidRPr="00784316">
        <w:rPr>
          <w:rFonts w:ascii="Arial" w:hAnsi="Arial" w:cs="Arial"/>
        </w:rPr>
        <w:lastRenderedPageBreak/>
        <w:t>emergencies.</w:t>
      </w:r>
      <w:r>
        <w:rPr>
          <w:rFonts w:ascii="Arial" w:hAnsi="Arial" w:cs="Arial"/>
        </w:rPr>
        <w:t xml:space="preserve"> You may need to provide</w:t>
      </w:r>
      <w:r w:rsidRPr="00784316">
        <w:rPr>
          <w:rFonts w:ascii="Arial" w:hAnsi="Arial" w:cs="Arial"/>
        </w:rPr>
        <w:t xml:space="preserve"> </w:t>
      </w:r>
      <w:r>
        <w:rPr>
          <w:rFonts w:ascii="Arial" w:hAnsi="Arial" w:cs="Arial"/>
        </w:rPr>
        <w:t>g</w:t>
      </w:r>
      <w:r w:rsidRPr="00784316">
        <w:rPr>
          <w:rFonts w:ascii="Arial" w:hAnsi="Arial" w:cs="Arial"/>
        </w:rPr>
        <w:t>reater storage times depending on these factors and the risk to the receiving water</w:t>
      </w:r>
      <w:r>
        <w:rPr>
          <w:rFonts w:ascii="Arial" w:hAnsi="Arial" w:cs="Arial"/>
        </w:rPr>
        <w:t>.</w:t>
      </w:r>
    </w:p>
    <w:p w14:paraId="340FB43B" w14:textId="2B2388BB" w:rsidR="00DA46D8" w:rsidRPr="00263E70" w:rsidRDefault="00DA3EA6" w:rsidP="00DA46D8">
      <w:pPr>
        <w:pStyle w:val="Heading2"/>
        <w:spacing w:after="120" w:line="360" w:lineRule="auto"/>
        <w:rPr>
          <w:rFonts w:eastAsia="Times New Roman"/>
        </w:rPr>
      </w:pPr>
      <w:bookmarkStart w:id="25" w:name="_Toc192768238"/>
      <w:r>
        <w:rPr>
          <w:rFonts w:eastAsia="Times New Roman"/>
        </w:rPr>
        <w:t>6</w:t>
      </w:r>
      <w:r w:rsidR="00DA46D8" w:rsidRPr="00263E70">
        <w:rPr>
          <w:rFonts w:eastAsia="Times New Roman"/>
        </w:rPr>
        <w:t xml:space="preserve">.2 </w:t>
      </w:r>
      <w:r w:rsidR="00DA46D8" w:rsidRPr="00263E70">
        <w:rPr>
          <w:rFonts w:eastAsia="Times New Roman"/>
        </w:rPr>
        <w:tab/>
        <w:t xml:space="preserve">Combined </w:t>
      </w:r>
      <w:r w:rsidR="00DA46D8">
        <w:rPr>
          <w:rFonts w:eastAsia="Times New Roman"/>
        </w:rPr>
        <w:t>s</w:t>
      </w:r>
      <w:r w:rsidR="00DA46D8" w:rsidRPr="00263E70">
        <w:rPr>
          <w:rFonts w:eastAsia="Times New Roman"/>
        </w:rPr>
        <w:t xml:space="preserve">ewer </w:t>
      </w:r>
      <w:r w:rsidR="00DA46D8">
        <w:rPr>
          <w:rFonts w:eastAsia="Times New Roman"/>
        </w:rPr>
        <w:t>o</w:t>
      </w:r>
      <w:r w:rsidR="00DA46D8" w:rsidRPr="00263E70">
        <w:rPr>
          <w:rFonts w:eastAsia="Times New Roman"/>
        </w:rPr>
        <w:t>verflows</w:t>
      </w:r>
      <w:bookmarkEnd w:id="25"/>
      <w:r w:rsidR="00DA46D8" w:rsidRPr="00263E70">
        <w:rPr>
          <w:rFonts w:eastAsia="Times New Roman"/>
        </w:rPr>
        <w:t xml:space="preserve"> </w:t>
      </w:r>
    </w:p>
    <w:p w14:paraId="564C75EA" w14:textId="48AD9991" w:rsidR="00DA46D8" w:rsidRDefault="00DA46D8" w:rsidP="00024CFB">
      <w:pPr>
        <w:pStyle w:val="BodyText1"/>
      </w:pPr>
      <w:r>
        <w:t xml:space="preserve">You should read </w:t>
      </w:r>
      <w:r w:rsidR="001F1F68">
        <w:t>WAT-G-0</w:t>
      </w:r>
      <w:r w:rsidR="0097441F">
        <w:t xml:space="preserve">58, </w:t>
      </w:r>
      <w:r>
        <w:t xml:space="preserve">EASR Guidance: Permit Activity: </w:t>
      </w:r>
      <w:r w:rsidR="00DE3C45">
        <w:t>S</w:t>
      </w:r>
      <w:r>
        <w:t xml:space="preserve">ewer </w:t>
      </w:r>
      <w:r w:rsidR="0097441F">
        <w:t>O</w:t>
      </w:r>
      <w:r>
        <w:t>verflows for further information.</w:t>
      </w:r>
    </w:p>
    <w:p w14:paraId="4E547117" w14:textId="77777777" w:rsidR="00DA46D8" w:rsidRDefault="00DA46D8" w:rsidP="00DA46D8">
      <w:pPr>
        <w:pStyle w:val="Heading1"/>
        <w:spacing w:line="360" w:lineRule="auto"/>
        <w:rPr>
          <w:rFonts w:eastAsia="Times New Roman"/>
        </w:rPr>
      </w:pPr>
      <w:bookmarkStart w:id="26" w:name="_Toc192768239"/>
      <w:r w:rsidRPr="00263E70">
        <w:rPr>
          <w:rFonts w:eastAsia="Times New Roman"/>
        </w:rPr>
        <w:t xml:space="preserve">Appendix 1: Legislative </w:t>
      </w:r>
      <w:r>
        <w:rPr>
          <w:rFonts w:eastAsia="Times New Roman"/>
        </w:rPr>
        <w:t>b</w:t>
      </w:r>
      <w:r w:rsidRPr="00263E70">
        <w:rPr>
          <w:rFonts w:eastAsia="Times New Roman"/>
        </w:rPr>
        <w:t>ackground</w:t>
      </w:r>
      <w:bookmarkEnd w:id="26"/>
    </w:p>
    <w:p w14:paraId="18836C74" w14:textId="77777777" w:rsidR="00DA46D8" w:rsidRPr="008E3556" w:rsidRDefault="00DA46D8" w:rsidP="00DA46D8">
      <w:pPr>
        <w:spacing w:after="240"/>
      </w:pPr>
      <w:r>
        <w:t xml:space="preserve">Both shellfish water protected areas and bathing waters are protected areas under The </w:t>
      </w:r>
      <w:r w:rsidRPr="008E3556">
        <w:t>Water Environment and Water Services (Scotland) Act 2003.</w:t>
      </w:r>
    </w:p>
    <w:p w14:paraId="04E4639A" w14:textId="77777777" w:rsidR="00DA46D8" w:rsidRPr="00722BF1" w:rsidRDefault="00DA46D8" w:rsidP="00DA46D8">
      <w:pPr>
        <w:pStyle w:val="Heading2"/>
        <w:spacing w:after="120" w:line="360" w:lineRule="auto"/>
        <w:rPr>
          <w:rFonts w:eastAsia="Times New Roman"/>
        </w:rPr>
      </w:pPr>
      <w:bookmarkStart w:id="27" w:name="_Toc192768240"/>
      <w:r w:rsidRPr="00722BF1">
        <w:rPr>
          <w:rFonts w:eastAsia="Times New Roman"/>
        </w:rPr>
        <w:t>A.1</w:t>
      </w:r>
      <w:r w:rsidRPr="00722BF1">
        <w:rPr>
          <w:rFonts w:eastAsia="Times New Roman"/>
        </w:rPr>
        <w:tab/>
        <w:t>Bathing Waters</w:t>
      </w:r>
      <w:bookmarkEnd w:id="27"/>
      <w:r w:rsidRPr="00722BF1">
        <w:rPr>
          <w:rFonts w:eastAsia="Times New Roman"/>
        </w:rPr>
        <w:t xml:space="preserve"> </w:t>
      </w:r>
    </w:p>
    <w:p w14:paraId="48CDCD08" w14:textId="77777777" w:rsidR="00DA46D8" w:rsidRPr="00784316" w:rsidRDefault="00DA46D8" w:rsidP="00DA46D8">
      <w:pPr>
        <w:spacing w:after="240"/>
        <w:rPr>
          <w:rFonts w:ascii="Arial" w:hAnsi="Arial" w:cs="Arial"/>
        </w:rPr>
      </w:pPr>
      <w:r w:rsidRPr="00784316">
        <w:rPr>
          <w:rFonts w:ascii="Arial" w:hAnsi="Arial" w:cs="Arial"/>
        </w:rPr>
        <w:t xml:space="preserve">The Bathing Waters (Scotland) Regulations 2008 require Scottish </w:t>
      </w:r>
      <w:r>
        <w:rPr>
          <w:rFonts w:ascii="Arial" w:hAnsi="Arial" w:cs="Arial"/>
        </w:rPr>
        <w:t>M</w:t>
      </w:r>
      <w:r w:rsidRPr="00784316">
        <w:rPr>
          <w:rFonts w:ascii="Arial" w:hAnsi="Arial" w:cs="Arial"/>
        </w:rPr>
        <w:t xml:space="preserve">inisters to designate bathing waters. These are areas where bathing is traditionally practised by a large number of bathers and where bathing is not prohibited. Scottish Ministers determine the length of the bathing season. It normally runs from June 1st to September 15th. These waters are monitored by SEPA. </w:t>
      </w:r>
    </w:p>
    <w:p w14:paraId="1A3F8DB1" w14:textId="6F3FE64B" w:rsidR="00DA46D8" w:rsidRPr="00784316" w:rsidRDefault="00DA46D8" w:rsidP="00DA46D8">
      <w:pPr>
        <w:spacing w:after="360"/>
        <w:rPr>
          <w:rFonts w:ascii="Arial" w:hAnsi="Arial" w:cs="Arial"/>
        </w:rPr>
      </w:pPr>
      <w:r w:rsidRPr="00784316">
        <w:rPr>
          <w:rFonts w:ascii="Arial" w:hAnsi="Arial" w:cs="Arial"/>
        </w:rPr>
        <w:t xml:space="preserve">The Bathing Waters (Scotland) Regulations 2008 requires SEPA to exercise its relevant functions to ensure that bathing waters are classified as sufficient as a minimum. The regulation set out the standards for excellent, good and sufficient bathing waters as measured </w:t>
      </w:r>
      <w:r>
        <w:rPr>
          <w:rFonts w:ascii="Arial" w:hAnsi="Arial" w:cs="Arial"/>
        </w:rPr>
        <w:t>b</w:t>
      </w:r>
      <w:r w:rsidRPr="00784316">
        <w:rPr>
          <w:rFonts w:ascii="Arial" w:hAnsi="Arial" w:cs="Arial"/>
        </w:rPr>
        <w:t xml:space="preserve">y </w:t>
      </w:r>
      <w:r w:rsidRPr="00E76543">
        <w:rPr>
          <w:rFonts w:ascii="Arial" w:hAnsi="Arial" w:cs="Arial"/>
          <w:i/>
          <w:iCs/>
        </w:rPr>
        <w:t>Escherichia coli</w:t>
      </w:r>
      <w:r w:rsidRPr="00784316">
        <w:rPr>
          <w:rFonts w:ascii="Arial" w:hAnsi="Arial" w:cs="Arial"/>
        </w:rPr>
        <w:t xml:space="preserve"> (</w:t>
      </w:r>
      <w:r w:rsidRPr="00E76543">
        <w:rPr>
          <w:rFonts w:ascii="Arial" w:hAnsi="Arial" w:cs="Arial"/>
          <w:i/>
          <w:iCs/>
        </w:rPr>
        <w:t>E.</w:t>
      </w:r>
      <w:r w:rsidR="00E021BC">
        <w:rPr>
          <w:rFonts w:ascii="Arial" w:hAnsi="Arial" w:cs="Arial"/>
          <w:i/>
          <w:iCs/>
        </w:rPr>
        <w:t xml:space="preserve"> </w:t>
      </w:r>
      <w:r w:rsidRPr="00E76543">
        <w:rPr>
          <w:rFonts w:ascii="Arial" w:hAnsi="Arial" w:cs="Arial"/>
          <w:i/>
          <w:iCs/>
        </w:rPr>
        <w:t>coli</w:t>
      </w:r>
      <w:r w:rsidRPr="00784316">
        <w:rPr>
          <w:rFonts w:ascii="Arial" w:hAnsi="Arial" w:cs="Arial"/>
        </w:rPr>
        <w:t>) and Intestinal enterococci (IE).</w:t>
      </w:r>
    </w:p>
    <w:p w14:paraId="132B745A" w14:textId="77777777" w:rsidR="00DA46D8" w:rsidRPr="00722BF1" w:rsidRDefault="00DA46D8" w:rsidP="00DA46D8">
      <w:pPr>
        <w:pStyle w:val="Heading2"/>
        <w:rPr>
          <w:rFonts w:eastAsia="Times New Roman"/>
        </w:rPr>
      </w:pPr>
      <w:bookmarkStart w:id="28" w:name="_Toc192768241"/>
      <w:bookmarkStart w:id="29" w:name="_Toc29669"/>
      <w:r w:rsidRPr="00722BF1">
        <w:rPr>
          <w:rFonts w:eastAsia="Times New Roman"/>
        </w:rPr>
        <w:t>A.2 Shellfish Waters</w:t>
      </w:r>
      <w:bookmarkEnd w:id="28"/>
      <w:r w:rsidRPr="00722BF1">
        <w:rPr>
          <w:rFonts w:eastAsia="Times New Roman"/>
        </w:rPr>
        <w:t xml:space="preserve"> </w:t>
      </w:r>
      <w:bookmarkEnd w:id="29"/>
    </w:p>
    <w:p w14:paraId="051B6B41" w14:textId="77777777" w:rsidR="00DA46D8" w:rsidRPr="00784316" w:rsidRDefault="00DA46D8" w:rsidP="00DA46D8">
      <w:pPr>
        <w:spacing w:after="240"/>
        <w:rPr>
          <w:rFonts w:ascii="Arial" w:hAnsi="Arial" w:cs="Arial"/>
        </w:rPr>
      </w:pPr>
      <w:r w:rsidRPr="00784316">
        <w:rPr>
          <w:rFonts w:ascii="Arial" w:hAnsi="Arial" w:cs="Arial"/>
        </w:rPr>
        <w:t xml:space="preserve">The Water Environment </w:t>
      </w:r>
      <w:r>
        <w:rPr>
          <w:rFonts w:ascii="Arial" w:hAnsi="Arial" w:cs="Arial"/>
        </w:rPr>
        <w:t xml:space="preserve">and </w:t>
      </w:r>
      <w:r w:rsidRPr="00784316">
        <w:rPr>
          <w:rFonts w:ascii="Arial" w:hAnsi="Arial" w:cs="Arial"/>
        </w:rPr>
        <w:t>Water Services (Scotland) Act 2003 requires the designation of shellfish water protected areas.</w:t>
      </w:r>
    </w:p>
    <w:p w14:paraId="07EE45D4" w14:textId="77777777" w:rsidR="00DA46D8" w:rsidRPr="00784316" w:rsidRDefault="00DA46D8" w:rsidP="00DA46D8">
      <w:pPr>
        <w:spacing w:after="240"/>
        <w:rPr>
          <w:rFonts w:ascii="Arial" w:hAnsi="Arial" w:cs="Arial"/>
        </w:rPr>
      </w:pPr>
      <w:r w:rsidRPr="00784316">
        <w:rPr>
          <w:rFonts w:ascii="Arial" w:hAnsi="Arial" w:cs="Arial"/>
        </w:rPr>
        <w:t xml:space="preserve">The </w:t>
      </w:r>
      <w:hyperlink r:id="rId18">
        <w:r w:rsidRPr="00784316">
          <w:rPr>
            <w:rFonts w:ascii="Arial" w:hAnsi="Arial" w:cs="Arial"/>
          </w:rPr>
          <w:t xml:space="preserve">Water Environment (Shellfish Water Protected Areas: Designation) </w:t>
        </w:r>
      </w:hyperlink>
      <w:hyperlink r:id="rId19">
        <w:r w:rsidRPr="00784316">
          <w:rPr>
            <w:rFonts w:ascii="Arial" w:hAnsi="Arial" w:cs="Arial"/>
          </w:rPr>
          <w:t>(Scotland) Order 2016</w:t>
        </w:r>
      </w:hyperlink>
      <w:hyperlink r:id="rId20">
        <w:r w:rsidRPr="00784316">
          <w:rPr>
            <w:rFonts w:ascii="Arial" w:hAnsi="Arial" w:cs="Arial"/>
          </w:rPr>
          <w:t xml:space="preserve"> </w:t>
        </w:r>
      </w:hyperlink>
      <w:r w:rsidRPr="00784316">
        <w:rPr>
          <w:rFonts w:ascii="Arial" w:hAnsi="Arial" w:cs="Arial"/>
        </w:rPr>
        <w:t xml:space="preserve">identifies Scotland’s Shellfish Water Protected Areas (SWPAs). </w:t>
      </w:r>
    </w:p>
    <w:p w14:paraId="5AF985BE" w14:textId="77777777" w:rsidR="00DA46D8" w:rsidRPr="00784316" w:rsidRDefault="00DA46D8" w:rsidP="00DA46D8">
      <w:pPr>
        <w:spacing w:after="240"/>
        <w:rPr>
          <w:rFonts w:ascii="Arial" w:hAnsi="Arial" w:cs="Arial"/>
        </w:rPr>
      </w:pPr>
      <w:r w:rsidRPr="00784316">
        <w:rPr>
          <w:rFonts w:ascii="Arial" w:hAnsi="Arial" w:cs="Arial"/>
        </w:rPr>
        <w:t xml:space="preserve">The Water Environment (Shellfish Water Protected Areas: Environmental Objectives etc.) (Scotland) Regulations 2013 sets out the objectives which should be met in relation to shellfish </w:t>
      </w:r>
      <w:r w:rsidRPr="00784316">
        <w:rPr>
          <w:rFonts w:ascii="Arial" w:hAnsi="Arial" w:cs="Arial"/>
        </w:rPr>
        <w:lastRenderedPageBreak/>
        <w:t xml:space="preserve">water protected areas. This is to prevent deterioration and protect and improve each Shellfish Water Protected Area with the aim of achieving good shellfish water quality. There is a similar requirement in regulation 5 of </w:t>
      </w:r>
      <w:hyperlink r:id="rId21" w:history="1">
        <w:r w:rsidRPr="00784316">
          <w:rPr>
            <w:rFonts w:ascii="Arial" w:hAnsi="Arial" w:cs="Arial"/>
          </w:rPr>
          <w:t>The Water Environment (Shellfish Water Protected Areas: Objectives and Classification etc.) (Solway Tweed) Directions 2021</w:t>
        </w:r>
      </w:hyperlink>
      <w:r w:rsidRPr="00784316">
        <w:rPr>
          <w:rFonts w:ascii="Arial" w:hAnsi="Arial" w:cs="Arial"/>
        </w:rPr>
        <w:t>.</w:t>
      </w:r>
    </w:p>
    <w:p w14:paraId="318CBEEA" w14:textId="54836E42" w:rsidR="00DA46D8" w:rsidRPr="00784316" w:rsidRDefault="00DA46D8" w:rsidP="00DA46D8">
      <w:pPr>
        <w:spacing w:after="240"/>
        <w:rPr>
          <w:rFonts w:ascii="Arial" w:hAnsi="Arial" w:cs="Arial"/>
        </w:rPr>
      </w:pPr>
      <w:r w:rsidRPr="00784316">
        <w:rPr>
          <w:rFonts w:ascii="Arial" w:hAnsi="Arial" w:cs="Arial"/>
        </w:rPr>
        <w:t>The Scotland River Basin District (Quality of Shellfish Water Protected Areas) (Scotland) Directions 2021 sets out microbiological standards for:</w:t>
      </w:r>
    </w:p>
    <w:p w14:paraId="7F84D844" w14:textId="35E277C5" w:rsidR="00DA46D8" w:rsidRPr="00784316" w:rsidRDefault="00DA46D8" w:rsidP="00DA46D8">
      <w:pPr>
        <w:pStyle w:val="ListParagraph"/>
        <w:numPr>
          <w:ilvl w:val="0"/>
          <w:numId w:val="27"/>
        </w:numPr>
        <w:spacing w:after="240" w:line="360" w:lineRule="auto"/>
        <w:rPr>
          <w:rFonts w:cs="Arial"/>
          <w:sz w:val="24"/>
          <w:szCs w:val="24"/>
        </w:rPr>
      </w:pPr>
      <w:r w:rsidRPr="00784316">
        <w:rPr>
          <w:rFonts w:cs="Arial"/>
          <w:sz w:val="24"/>
          <w:szCs w:val="24"/>
        </w:rPr>
        <w:t>Good:</w:t>
      </w:r>
      <w:r>
        <w:rPr>
          <w:rFonts w:cs="Arial"/>
          <w:sz w:val="24"/>
          <w:szCs w:val="24"/>
        </w:rPr>
        <w:t xml:space="preserve"> </w:t>
      </w:r>
      <w:r w:rsidRPr="00784316">
        <w:rPr>
          <w:rFonts w:cs="Arial"/>
          <w:sz w:val="24"/>
          <w:szCs w:val="24"/>
        </w:rPr>
        <w:t>≤4600 most probable number of E.</w:t>
      </w:r>
      <w:r w:rsidR="00E021BC">
        <w:rPr>
          <w:rFonts w:cs="Arial"/>
          <w:sz w:val="24"/>
          <w:szCs w:val="24"/>
        </w:rPr>
        <w:t xml:space="preserve"> </w:t>
      </w:r>
      <w:r w:rsidRPr="00784316">
        <w:rPr>
          <w:rFonts w:cs="Arial"/>
          <w:sz w:val="24"/>
          <w:szCs w:val="24"/>
        </w:rPr>
        <w:t xml:space="preserve">coli per 100g of shellfish flesh and intervalvular liquid as a 90-percentile; and </w:t>
      </w:r>
    </w:p>
    <w:p w14:paraId="2669B0ED" w14:textId="517B8162" w:rsidR="00DA46D8" w:rsidRPr="004F4A4D" w:rsidRDefault="00DA46D8" w:rsidP="00DA46D8">
      <w:pPr>
        <w:pStyle w:val="ListParagraph"/>
        <w:numPr>
          <w:ilvl w:val="0"/>
          <w:numId w:val="27"/>
        </w:numPr>
        <w:spacing w:after="240" w:line="360" w:lineRule="auto"/>
        <w:rPr>
          <w:rFonts w:cs="Arial"/>
          <w:sz w:val="24"/>
          <w:szCs w:val="24"/>
        </w:rPr>
      </w:pPr>
      <w:r w:rsidRPr="00784316">
        <w:rPr>
          <w:rFonts w:cs="Arial"/>
          <w:sz w:val="24"/>
          <w:szCs w:val="24"/>
        </w:rPr>
        <w:t>Excellent, ≤230 as most probable number of E.</w:t>
      </w:r>
      <w:r w:rsidR="00E021BC">
        <w:rPr>
          <w:rFonts w:cs="Arial"/>
          <w:sz w:val="24"/>
          <w:szCs w:val="24"/>
        </w:rPr>
        <w:t xml:space="preserve"> </w:t>
      </w:r>
      <w:r w:rsidRPr="00784316">
        <w:rPr>
          <w:rFonts w:cs="Arial"/>
          <w:sz w:val="24"/>
          <w:szCs w:val="24"/>
        </w:rPr>
        <w:t xml:space="preserve">coli per 100g of shellfish flesh and intervalvular liquid as a 90-percentile levels. </w:t>
      </w:r>
    </w:p>
    <w:p w14:paraId="3FB53044" w14:textId="5CDF88B6" w:rsidR="00DA46D8" w:rsidRPr="00784316" w:rsidRDefault="00DA46D8" w:rsidP="00DA46D8">
      <w:pPr>
        <w:spacing w:after="240"/>
        <w:rPr>
          <w:rFonts w:ascii="Arial" w:hAnsi="Arial" w:cs="Arial"/>
        </w:rPr>
      </w:pPr>
      <w:r w:rsidRPr="00784316">
        <w:rPr>
          <w:rFonts w:ascii="Arial" w:hAnsi="Arial" w:cs="Arial"/>
        </w:rPr>
        <w:t>Separately, classified shellfish harvesting area(s) are designated and classified by Food Standards Scotland (FSS). FSS are required to monitor E.</w:t>
      </w:r>
      <w:r w:rsidR="00E021BC">
        <w:rPr>
          <w:rFonts w:ascii="Arial" w:hAnsi="Arial" w:cs="Arial"/>
        </w:rPr>
        <w:t xml:space="preserve"> </w:t>
      </w:r>
      <w:r w:rsidRPr="00784316">
        <w:rPr>
          <w:rFonts w:ascii="Arial" w:hAnsi="Arial" w:cs="Arial"/>
        </w:rPr>
        <w:t>coli in shellfish to determine the level of treatment required prior to shellfish going for human consumption. Class A, equates, in part, to 80% of samples ≤230 E.</w:t>
      </w:r>
      <w:r w:rsidR="00E021BC">
        <w:rPr>
          <w:rFonts w:ascii="Arial" w:hAnsi="Arial" w:cs="Arial"/>
        </w:rPr>
        <w:t xml:space="preserve"> </w:t>
      </w:r>
      <w:r w:rsidRPr="00784316">
        <w:rPr>
          <w:rFonts w:ascii="Arial" w:hAnsi="Arial" w:cs="Arial"/>
        </w:rPr>
        <w:t xml:space="preserve">coli/100g of flesh and intervalvular liquid. SEPA needs to take account of the impact on these water users when authorising discharges. Many of these classified shellfish harvesting areas are much smaller than the shellfish water protected area and some of these classified shellfish harvesting areas are not within shellfish water protected areas. </w:t>
      </w:r>
    </w:p>
    <w:p w14:paraId="0392E16E" w14:textId="7BFE2B6D" w:rsidR="00DA46D8" w:rsidRPr="00DA46D8" w:rsidRDefault="00DA46D8" w:rsidP="00DA46D8">
      <w:pPr>
        <w:spacing w:after="240"/>
        <w:rPr>
          <w:rFonts w:ascii="Arial" w:hAnsi="Arial" w:cs="Arial"/>
        </w:rPr>
      </w:pPr>
      <w:r w:rsidRPr="00784316">
        <w:rPr>
          <w:rFonts w:ascii="Arial" w:hAnsi="Arial" w:cs="Arial"/>
        </w:rPr>
        <w:t>The River Basin Management Plan for Scotland, 2021 to 2027 states that SEPA’s aim is to target efforts within SWPAs, in consultation with the sector, to focus on prioritised Shellfish Production Areas that require improvements to help secure a consistent FSS ‘A’ class.</w:t>
      </w:r>
    </w:p>
    <w:p w14:paraId="4C9D024A" w14:textId="77777777" w:rsidR="0093236E" w:rsidRDefault="0093236E" w:rsidP="0093236E"/>
    <w:p w14:paraId="5C073517" w14:textId="77777777" w:rsidR="0093236E" w:rsidRDefault="0093236E" w:rsidP="0093236E"/>
    <w:p w14:paraId="7A596599" w14:textId="77777777" w:rsidR="0093236E" w:rsidRDefault="0093236E" w:rsidP="0093236E"/>
    <w:p w14:paraId="4DDED665" w14:textId="77777777" w:rsidR="0093236E" w:rsidRDefault="0093236E" w:rsidP="0093236E"/>
    <w:p w14:paraId="6ED2B7A0" w14:textId="77777777" w:rsidR="0093236E" w:rsidRDefault="0093236E" w:rsidP="0093236E"/>
    <w:p w14:paraId="4A0D63FE" w14:textId="7A6FBC32" w:rsidR="00DA46D8" w:rsidRPr="00722BF1" w:rsidRDefault="00DA46D8" w:rsidP="00DA46D8">
      <w:pPr>
        <w:pStyle w:val="Heading1"/>
        <w:spacing w:line="360" w:lineRule="auto"/>
        <w:rPr>
          <w:rFonts w:eastAsia="Times New Roman"/>
        </w:rPr>
      </w:pPr>
      <w:bookmarkStart w:id="30" w:name="_Toc192768242"/>
      <w:r w:rsidRPr="00722BF1">
        <w:rPr>
          <w:rFonts w:eastAsia="Times New Roman"/>
        </w:rPr>
        <w:lastRenderedPageBreak/>
        <w:t xml:space="preserve">Appendix 2: Bathing </w:t>
      </w:r>
      <w:r w:rsidR="00145FEB">
        <w:rPr>
          <w:rFonts w:eastAsia="Times New Roman"/>
        </w:rPr>
        <w:t>w</w:t>
      </w:r>
      <w:r w:rsidRPr="00722BF1">
        <w:rPr>
          <w:rFonts w:eastAsia="Times New Roman"/>
        </w:rPr>
        <w:t xml:space="preserve">ater </w:t>
      </w:r>
      <w:r>
        <w:rPr>
          <w:rFonts w:eastAsia="Times New Roman"/>
        </w:rPr>
        <w:t>s</w:t>
      </w:r>
      <w:r w:rsidRPr="00722BF1">
        <w:rPr>
          <w:rFonts w:eastAsia="Times New Roman"/>
        </w:rPr>
        <w:t>tandards</w:t>
      </w:r>
      <w:r>
        <w:rPr>
          <w:rStyle w:val="FootnoteReference"/>
          <w:rFonts w:eastAsia="Times New Roman"/>
        </w:rPr>
        <w:footnoteReference w:id="6"/>
      </w:r>
      <w:bookmarkEnd w:id="30"/>
      <w:r w:rsidRPr="00722BF1">
        <w:rPr>
          <w:rFonts w:eastAsia="Times New Roman"/>
        </w:rPr>
        <w:t xml:space="preserve"> </w:t>
      </w:r>
    </w:p>
    <w:p w14:paraId="7EC1DD23" w14:textId="77777777" w:rsidR="00DA46D8" w:rsidRDefault="00DA46D8" w:rsidP="00DA46D8">
      <w:pPr>
        <w:rPr>
          <w:b/>
          <w:bCs/>
        </w:rPr>
      </w:pPr>
      <w:r w:rsidRPr="00A160C3">
        <w:rPr>
          <w:b/>
          <w:bCs/>
        </w:rPr>
        <w:t xml:space="preserve">Table </w:t>
      </w:r>
      <w:r>
        <w:rPr>
          <w:b/>
          <w:bCs/>
          <w:iCs/>
        </w:rPr>
        <w:t>1</w:t>
      </w:r>
      <w:r w:rsidRPr="00A160C3">
        <w:rPr>
          <w:b/>
          <w:bCs/>
        </w:rPr>
        <w:t xml:space="preserve">: Microbiological </w:t>
      </w:r>
      <w:r>
        <w:rPr>
          <w:b/>
          <w:bCs/>
        </w:rPr>
        <w:t>s</w:t>
      </w:r>
      <w:r w:rsidRPr="00A160C3">
        <w:rPr>
          <w:b/>
          <w:bCs/>
        </w:rPr>
        <w:t xml:space="preserve">tandards for </w:t>
      </w:r>
      <w:r>
        <w:rPr>
          <w:b/>
          <w:bCs/>
        </w:rPr>
        <w:t>c</w:t>
      </w:r>
      <w:r w:rsidRPr="00A160C3">
        <w:rPr>
          <w:b/>
          <w:bCs/>
        </w:rPr>
        <w:t xml:space="preserve">lassification of </w:t>
      </w:r>
      <w:r>
        <w:rPr>
          <w:b/>
          <w:bCs/>
        </w:rPr>
        <w:t>i</w:t>
      </w:r>
      <w:r w:rsidRPr="00A160C3">
        <w:rPr>
          <w:b/>
          <w:bCs/>
        </w:rPr>
        <w:t xml:space="preserve">nland </w:t>
      </w:r>
      <w:r>
        <w:rPr>
          <w:b/>
          <w:bCs/>
        </w:rPr>
        <w:t>w</w:t>
      </w:r>
      <w:r w:rsidRPr="00A160C3">
        <w:rPr>
          <w:b/>
          <w:bCs/>
        </w:rPr>
        <w:t xml:space="preserve">aters </w:t>
      </w:r>
    </w:p>
    <w:tbl>
      <w:tblPr>
        <w:tblW w:w="5000" w:type="pct"/>
        <w:tblCellMar>
          <w:left w:w="0" w:type="dxa"/>
          <w:right w:w="0" w:type="dxa"/>
        </w:tblCellMar>
        <w:tblLook w:val="04A0" w:firstRow="1" w:lastRow="0" w:firstColumn="1" w:lastColumn="0" w:noHBand="0" w:noVBand="1"/>
        <w:tblCaption w:val="Table 1: Microbiological Standards for Classification of Inland Waters "/>
        <w:tblDescription w:val="Intestinal enterococci excellent standard is 200/100ml as a 95 percentile. Good standard is 400/100ml as a 95 percentile. Sufficient standard is 330/100ml as a 90 percentile.  Escherichia coli excellent standard is 500/100ml as a 95 percentile. Good standard is 1000/100ml as a 95 percentile. Sufficient standard is 900/100ml as a 90 percentile."/>
      </w:tblPr>
      <w:tblGrid>
        <w:gridCol w:w="2799"/>
        <w:gridCol w:w="2467"/>
        <w:gridCol w:w="2467"/>
        <w:gridCol w:w="2469"/>
      </w:tblGrid>
      <w:tr w:rsidR="00DA46D8" w:rsidRPr="00684F5A" w14:paraId="6B4788E7" w14:textId="77777777">
        <w:trPr>
          <w:cantSplit/>
          <w:trHeight w:val="610"/>
          <w:tblHeader/>
        </w:trPr>
        <w:tc>
          <w:tcPr>
            <w:tcW w:w="13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E4D8E0F" w14:textId="77777777" w:rsidR="00DA46D8" w:rsidRPr="00B01302" w:rsidRDefault="00DA46D8">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P</w:t>
            </w:r>
            <w:r>
              <w:rPr>
                <w:rFonts w:ascii="Arial" w:hAnsi="Arial" w:cs="Arial"/>
                <w:b/>
                <w:bCs/>
                <w:color w:val="FFFFFF" w:themeColor="background1"/>
              </w:rPr>
              <w:t>arameter</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4FC984" w14:textId="77777777" w:rsidR="00DA46D8" w:rsidRPr="00B01302" w:rsidRDefault="00DA46D8">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E</w:t>
            </w:r>
            <w:r>
              <w:rPr>
                <w:rFonts w:ascii="Arial" w:hAnsi="Arial" w:cs="Arial"/>
                <w:b/>
                <w:bCs/>
                <w:color w:val="FFFFFF" w:themeColor="background1"/>
              </w:rPr>
              <w:t>xcellent</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FF28E5D" w14:textId="77777777" w:rsidR="00DA46D8" w:rsidRPr="00B01302" w:rsidRDefault="00DA46D8">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G</w:t>
            </w:r>
            <w:r>
              <w:rPr>
                <w:rFonts w:ascii="Arial" w:hAnsi="Arial" w:cs="Arial"/>
                <w:b/>
                <w:bCs/>
                <w:color w:val="FFFFFF" w:themeColor="background1"/>
              </w:rPr>
              <w:t>ood</w:t>
            </w:r>
          </w:p>
        </w:tc>
        <w:tc>
          <w:tcPr>
            <w:tcW w:w="12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4C7595" w14:textId="77777777" w:rsidR="00DA46D8" w:rsidRPr="00B01302" w:rsidRDefault="00DA46D8">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S</w:t>
            </w:r>
            <w:r>
              <w:rPr>
                <w:rFonts w:ascii="Arial" w:hAnsi="Arial" w:cs="Arial"/>
                <w:b/>
                <w:bCs/>
                <w:color w:val="FFFFFF" w:themeColor="background1"/>
              </w:rPr>
              <w:t>ufficient</w:t>
            </w:r>
          </w:p>
        </w:tc>
      </w:tr>
      <w:tr w:rsidR="00DA46D8" w:rsidRPr="00684F5A" w14:paraId="5BCA8D67" w14:textId="77777777">
        <w:trPr>
          <w:cantSplit/>
          <w:trHeight w:val="315"/>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25BF377"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rPr>
              <w:t>Intestinal enterococci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C97E54A"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200/100ml as a </w:t>
            </w:r>
          </w:p>
          <w:p w14:paraId="3A43FF2E"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DA1637F"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400/100 ml as a </w:t>
            </w:r>
          </w:p>
          <w:p w14:paraId="1372EC89"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AE8FEBD"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330/100 ml as a </w:t>
            </w:r>
          </w:p>
          <w:p w14:paraId="178170A1"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r w:rsidR="00DA46D8" w:rsidRPr="00684F5A" w14:paraId="3926C7D0" w14:textId="77777777">
        <w:trPr>
          <w:cantSplit/>
          <w:trHeight w:val="300"/>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9F9C1C" w14:textId="77777777" w:rsidR="00DA46D8" w:rsidRPr="00E76543" w:rsidRDefault="00DA46D8">
            <w:pPr>
              <w:spacing w:before="60" w:after="120" w:line="240" w:lineRule="auto"/>
              <w:jc w:val="center"/>
              <w:rPr>
                <w:rFonts w:ascii="Arial" w:eastAsia="Times New Roman" w:hAnsi="Arial" w:cs="Arial"/>
                <w:lang w:eastAsia="en-GB"/>
              </w:rPr>
            </w:pPr>
            <w:r w:rsidRPr="00E76543">
              <w:rPr>
                <w:rFonts w:ascii="Arial" w:hAnsi="Arial" w:cs="Arial"/>
              </w:rPr>
              <w:t>Escherichia coli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A34A307"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500/100ml as a </w:t>
            </w:r>
          </w:p>
          <w:p w14:paraId="505F40F9"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14C6CFE"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1000/100 ml as a </w:t>
            </w:r>
          </w:p>
          <w:p w14:paraId="1BFE32A1"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1E902C3"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900/100 ml as a </w:t>
            </w:r>
          </w:p>
          <w:p w14:paraId="631BB620"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bl>
    <w:p w14:paraId="1FCC4D68" w14:textId="77777777" w:rsidR="00DA46D8" w:rsidRPr="00A160C3" w:rsidRDefault="00DA46D8" w:rsidP="00DA46D8">
      <w:pPr>
        <w:spacing w:after="240"/>
        <w:rPr>
          <w:b/>
          <w:bCs/>
          <w:iCs/>
        </w:rPr>
      </w:pPr>
    </w:p>
    <w:p w14:paraId="7BC25642" w14:textId="77777777" w:rsidR="00DA46D8" w:rsidRPr="00B01302" w:rsidRDefault="00DA46D8" w:rsidP="00DA46D8">
      <w:pPr>
        <w:rPr>
          <w:b/>
          <w:bCs/>
        </w:rPr>
      </w:pPr>
      <w:r w:rsidRPr="004D79AA">
        <w:rPr>
          <w:b/>
          <w:bCs/>
        </w:rPr>
        <w:t xml:space="preserve">Table </w:t>
      </w:r>
      <w:r>
        <w:rPr>
          <w:b/>
          <w:bCs/>
        </w:rPr>
        <w:t>2</w:t>
      </w:r>
      <w:r w:rsidRPr="004D79AA">
        <w:rPr>
          <w:b/>
          <w:bCs/>
        </w:rPr>
        <w:t xml:space="preserve">: Microbiological </w:t>
      </w:r>
      <w:r>
        <w:rPr>
          <w:b/>
          <w:bCs/>
        </w:rPr>
        <w:t>s</w:t>
      </w:r>
      <w:r w:rsidRPr="004D79AA">
        <w:rPr>
          <w:b/>
          <w:bCs/>
        </w:rPr>
        <w:t xml:space="preserve">tandards for </w:t>
      </w:r>
      <w:r>
        <w:rPr>
          <w:b/>
          <w:bCs/>
        </w:rPr>
        <w:t>c</w:t>
      </w:r>
      <w:r w:rsidRPr="004D79AA">
        <w:rPr>
          <w:b/>
          <w:bCs/>
        </w:rPr>
        <w:t xml:space="preserve">lassification of </w:t>
      </w:r>
      <w:r>
        <w:rPr>
          <w:b/>
          <w:bCs/>
        </w:rPr>
        <w:t>c</w:t>
      </w:r>
      <w:r w:rsidRPr="004D79AA">
        <w:rPr>
          <w:b/>
          <w:bCs/>
        </w:rPr>
        <w:t xml:space="preserve">oastal and </w:t>
      </w:r>
      <w:r>
        <w:rPr>
          <w:b/>
          <w:bCs/>
        </w:rPr>
        <w:t>t</w:t>
      </w:r>
      <w:r w:rsidRPr="004D79AA">
        <w:rPr>
          <w:b/>
          <w:bCs/>
        </w:rPr>
        <w:t xml:space="preserve">ransitional </w:t>
      </w:r>
      <w:r>
        <w:rPr>
          <w:b/>
          <w:bCs/>
        </w:rPr>
        <w:t>w</w:t>
      </w:r>
      <w:r w:rsidRPr="004D79AA">
        <w:rPr>
          <w:b/>
          <w:bCs/>
        </w:rPr>
        <w:t xml:space="preserve">aters </w:t>
      </w:r>
    </w:p>
    <w:tbl>
      <w:tblPr>
        <w:tblW w:w="5000" w:type="pct"/>
        <w:tblCellMar>
          <w:left w:w="0" w:type="dxa"/>
          <w:right w:w="0" w:type="dxa"/>
        </w:tblCellMar>
        <w:tblLook w:val="04A0" w:firstRow="1" w:lastRow="0" w:firstColumn="1" w:lastColumn="0" w:noHBand="0" w:noVBand="1"/>
        <w:tblCaption w:val="Table 2: Microbial standards for classification of coastal and transitional waters"/>
        <w:tblDescription w:val="Intestinal enterococci excellent standard is 100/100ml as a 95 percentile. Good standard is 200/100ml as a 95 percentile. Sufficient standard is 185/100ml as a 90 percentile.  Escherichia coli excellent standard is 250/100ml as a 95 percentile. Good standard is 500/100ml as a 95 percentile. Sufficient standard is 500/100ml as a 90 percentile."/>
      </w:tblPr>
      <w:tblGrid>
        <w:gridCol w:w="2799"/>
        <w:gridCol w:w="2467"/>
        <w:gridCol w:w="2467"/>
        <w:gridCol w:w="2469"/>
      </w:tblGrid>
      <w:tr w:rsidR="00DA46D8" w:rsidRPr="00684F5A" w14:paraId="69ABDC54" w14:textId="77777777">
        <w:trPr>
          <w:cantSplit/>
          <w:trHeight w:val="610"/>
          <w:tblHeader/>
        </w:trPr>
        <w:tc>
          <w:tcPr>
            <w:tcW w:w="13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742D1E" w14:textId="77777777" w:rsidR="00DA46D8" w:rsidRPr="0094133C" w:rsidRDefault="00DA46D8">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P</w:t>
            </w:r>
            <w:r>
              <w:rPr>
                <w:rFonts w:ascii="Arial" w:hAnsi="Arial" w:cs="Arial"/>
                <w:b/>
                <w:bCs/>
                <w:color w:val="FFFFFF" w:themeColor="background1"/>
              </w:rPr>
              <w:t>arameter</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8F3BD94" w14:textId="77777777" w:rsidR="00DA46D8" w:rsidRPr="0094133C" w:rsidRDefault="00DA46D8">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E</w:t>
            </w:r>
            <w:r>
              <w:rPr>
                <w:rFonts w:ascii="Arial" w:hAnsi="Arial" w:cs="Arial"/>
                <w:b/>
                <w:bCs/>
                <w:color w:val="FFFFFF" w:themeColor="background1"/>
              </w:rPr>
              <w:t>xcellent</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9BC9CE6" w14:textId="77777777" w:rsidR="00DA46D8" w:rsidRPr="0094133C" w:rsidRDefault="00DA46D8">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G</w:t>
            </w:r>
            <w:r>
              <w:rPr>
                <w:rFonts w:ascii="Arial" w:hAnsi="Arial" w:cs="Arial"/>
                <w:b/>
                <w:bCs/>
                <w:color w:val="FFFFFF" w:themeColor="background1"/>
              </w:rPr>
              <w:t>ood</w:t>
            </w:r>
          </w:p>
        </w:tc>
        <w:tc>
          <w:tcPr>
            <w:tcW w:w="12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DBFDFE" w14:textId="77777777" w:rsidR="00DA46D8" w:rsidRPr="0094133C" w:rsidRDefault="00DA46D8">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S</w:t>
            </w:r>
            <w:r>
              <w:rPr>
                <w:rFonts w:ascii="Arial" w:hAnsi="Arial" w:cs="Arial"/>
                <w:b/>
                <w:bCs/>
                <w:color w:val="FFFFFF" w:themeColor="background1"/>
              </w:rPr>
              <w:t>ufficient</w:t>
            </w:r>
          </w:p>
        </w:tc>
      </w:tr>
      <w:tr w:rsidR="00DA46D8" w:rsidRPr="00684F5A" w14:paraId="70132240" w14:textId="77777777">
        <w:trPr>
          <w:cantSplit/>
          <w:trHeight w:val="315"/>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130614E"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rPr>
              <w:t>Intestinal enterococci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8119832"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100/100ml as a </w:t>
            </w:r>
          </w:p>
          <w:p w14:paraId="16088C1C"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0F3DA39"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200/100 ml as a </w:t>
            </w:r>
          </w:p>
          <w:p w14:paraId="0607A490"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E40D258"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185/100 ml as a </w:t>
            </w:r>
          </w:p>
          <w:p w14:paraId="47D27659"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r w:rsidR="00DA46D8" w:rsidRPr="00684F5A" w14:paraId="36B1E060" w14:textId="77777777">
        <w:trPr>
          <w:cantSplit/>
          <w:trHeight w:val="300"/>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915DD00" w14:textId="77777777" w:rsidR="00DA46D8" w:rsidRPr="00E76543" w:rsidRDefault="00DA46D8">
            <w:pPr>
              <w:spacing w:before="60" w:after="120" w:line="240" w:lineRule="auto"/>
              <w:jc w:val="center"/>
              <w:rPr>
                <w:rFonts w:ascii="Arial" w:eastAsia="Times New Roman" w:hAnsi="Arial" w:cs="Arial"/>
                <w:lang w:eastAsia="en-GB"/>
              </w:rPr>
            </w:pPr>
            <w:r w:rsidRPr="00E76543">
              <w:rPr>
                <w:rFonts w:ascii="Arial" w:hAnsi="Arial" w:cs="Arial"/>
              </w:rPr>
              <w:t>Escherichia coli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6CC0445"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250/100ml as a </w:t>
            </w:r>
          </w:p>
          <w:p w14:paraId="1BCC988B"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304DF4C"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 ml as a </w:t>
            </w:r>
          </w:p>
          <w:p w14:paraId="3CF70F12"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D0A02AC" w14:textId="77777777" w:rsidR="00DA46D8" w:rsidRPr="002F47A5" w:rsidRDefault="00DA46D8">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 ml as a </w:t>
            </w:r>
          </w:p>
          <w:p w14:paraId="34157839" w14:textId="77777777" w:rsidR="00DA46D8" w:rsidRPr="00684F5A" w:rsidRDefault="00DA46D8">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bl>
    <w:p w14:paraId="60F98928" w14:textId="77777777" w:rsidR="00DA46D8" w:rsidRPr="00784316" w:rsidRDefault="00DA46D8" w:rsidP="00DA46D8">
      <w:pPr>
        <w:spacing w:after="240"/>
        <w:rPr>
          <w:rFonts w:ascii="Arial" w:hAnsi="Arial" w:cs="Arial"/>
        </w:rPr>
      </w:pPr>
    </w:p>
    <w:p w14:paraId="600FABE8" w14:textId="59787ABA" w:rsidR="00DA46D8" w:rsidRPr="00722BF1" w:rsidRDefault="00DA46D8" w:rsidP="00DA46D8">
      <w:pPr>
        <w:pStyle w:val="Heading2"/>
        <w:rPr>
          <w:rFonts w:eastAsia="Times New Roman"/>
        </w:rPr>
      </w:pPr>
      <w:bookmarkStart w:id="31" w:name="_Toc192768243"/>
      <w:r>
        <w:rPr>
          <w:rFonts w:eastAsia="Times New Roman"/>
        </w:rPr>
        <w:t xml:space="preserve">A2.1 </w:t>
      </w:r>
      <w:r w:rsidRPr="00722BF1">
        <w:rPr>
          <w:rFonts w:eastAsia="Times New Roman"/>
        </w:rPr>
        <w:t xml:space="preserve">Modelling </w:t>
      </w:r>
      <w:r>
        <w:rPr>
          <w:rFonts w:eastAsia="Times New Roman"/>
        </w:rPr>
        <w:t>s</w:t>
      </w:r>
      <w:r w:rsidRPr="00722BF1">
        <w:rPr>
          <w:rFonts w:eastAsia="Times New Roman"/>
        </w:rPr>
        <w:t xml:space="preserve">tandards for </w:t>
      </w:r>
      <w:r w:rsidR="00145FEB">
        <w:rPr>
          <w:rFonts w:eastAsia="Times New Roman"/>
        </w:rPr>
        <w:t>b</w:t>
      </w:r>
      <w:r w:rsidRPr="00722BF1">
        <w:rPr>
          <w:rFonts w:eastAsia="Times New Roman"/>
        </w:rPr>
        <w:t xml:space="preserve">athing </w:t>
      </w:r>
      <w:r w:rsidR="00145FEB">
        <w:rPr>
          <w:rFonts w:eastAsia="Times New Roman"/>
        </w:rPr>
        <w:t>w</w:t>
      </w:r>
      <w:r w:rsidRPr="00722BF1">
        <w:rPr>
          <w:rFonts w:eastAsia="Times New Roman"/>
        </w:rPr>
        <w:t>aters</w:t>
      </w:r>
      <w:bookmarkEnd w:id="31"/>
      <w:r w:rsidRPr="00722BF1">
        <w:rPr>
          <w:rFonts w:eastAsia="Times New Roman"/>
        </w:rPr>
        <w:t xml:space="preserve"> </w:t>
      </w:r>
    </w:p>
    <w:p w14:paraId="685AAF4E" w14:textId="54B9535A" w:rsidR="00EC5CAB" w:rsidRDefault="00DA46D8" w:rsidP="00DA46D8">
      <w:pPr>
        <w:spacing w:after="240"/>
        <w:rPr>
          <w:rFonts w:ascii="Arial" w:hAnsi="Arial" w:cs="Arial"/>
        </w:rPr>
      </w:pPr>
      <w:r w:rsidRPr="00784316">
        <w:rPr>
          <w:rFonts w:ascii="Arial" w:hAnsi="Arial" w:cs="Arial"/>
        </w:rPr>
        <w:t xml:space="preserve">For those standards assessed for classification at a 90%ile they should be modelled for achievement at the 94%ile and likewise for those standards requiring 95%ile compliance these should be modelled to achieve the standard at a 97.5%ile to ensure the required level of confidence. </w:t>
      </w:r>
    </w:p>
    <w:p w14:paraId="3B6ABD6E" w14:textId="77777777" w:rsidR="00A4614E" w:rsidRPr="00831EA5" w:rsidRDefault="00A4614E" w:rsidP="00A4614E">
      <w:pPr>
        <w:pStyle w:val="Heading1"/>
      </w:pPr>
      <w:bookmarkStart w:id="32" w:name="_Toc187427128"/>
      <w:bookmarkStart w:id="33" w:name="_Toc192768244"/>
      <w:r>
        <w:t>Disclaimer</w:t>
      </w:r>
      <w:bookmarkEnd w:id="32"/>
      <w:bookmarkEnd w:id="33"/>
      <w:r>
        <w:t xml:space="preserve"> </w:t>
      </w:r>
    </w:p>
    <w:p w14:paraId="08F1EE05" w14:textId="77777777" w:rsidR="00A4614E" w:rsidRPr="004F5A37" w:rsidRDefault="00A4614E" w:rsidP="00A4614E">
      <w:pPr>
        <w:pStyle w:val="BodyText1"/>
      </w:pPr>
      <w:r w:rsidRPr="004F5A37">
        <w:t xml:space="preserve">Whilst every effort has been made to ensure the accuracy of this guidance, SEPA gives no warranty, covenant or undertaking (express or implied) regarding the fitness for purpose of, or </w:t>
      </w:r>
      <w:r w:rsidRPr="004F5A37">
        <w:lastRenderedPageBreak/>
        <w:t xml:space="preserve">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444ED1D" w14:textId="77777777" w:rsidR="00A4614E" w:rsidRPr="004F5A37" w:rsidRDefault="00A4614E" w:rsidP="00A4614E">
      <w:pPr>
        <w:pStyle w:val="BodyText1"/>
        <w:numPr>
          <w:ilvl w:val="0"/>
          <w:numId w:val="44"/>
        </w:numPr>
      </w:pPr>
      <w:r w:rsidRPr="004F5A37">
        <w:t>any direct, indirect and consequential losses</w:t>
      </w:r>
    </w:p>
    <w:p w14:paraId="23494D53" w14:textId="77777777" w:rsidR="00A4614E" w:rsidRPr="004F5A37" w:rsidRDefault="00A4614E" w:rsidP="00A4614E">
      <w:pPr>
        <w:pStyle w:val="BodyText1"/>
        <w:numPr>
          <w:ilvl w:val="0"/>
          <w:numId w:val="44"/>
        </w:numPr>
      </w:pPr>
      <w:r w:rsidRPr="004F5A37">
        <w:t>any loss or damage caused by civil wrongs, breach of contract or otherwise</w:t>
      </w:r>
    </w:p>
    <w:p w14:paraId="4E28302F" w14:textId="77777777" w:rsidR="00A4614E" w:rsidRPr="004F5A37" w:rsidRDefault="00A4614E" w:rsidP="00A4614E">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1F837E41" w14:textId="77777777" w:rsidR="00DA46D8" w:rsidRDefault="00DA46D8" w:rsidP="00DA46D8">
      <w:pPr>
        <w:pStyle w:val="BodyText1"/>
        <w:rPr>
          <w:color w:val="6E7571" w:themeColor="text2"/>
          <w:u w:val="single"/>
        </w:rPr>
      </w:pPr>
    </w:p>
    <w:p w14:paraId="122014D5" w14:textId="3C8259F9" w:rsidR="006243FF" w:rsidRPr="00DA46D8" w:rsidRDefault="006243FF" w:rsidP="00DA46D8">
      <w:pPr>
        <w:spacing w:after="240"/>
        <w:rPr>
          <w:rFonts w:ascii="Arial" w:hAnsi="Arial" w:cs="Arial"/>
        </w:rPr>
      </w:pPr>
    </w:p>
    <w:sectPr w:rsidR="006243FF" w:rsidRPr="00DA46D8"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76AA" w14:textId="77777777" w:rsidR="004143AD" w:rsidRDefault="004143AD" w:rsidP="00660C79">
      <w:pPr>
        <w:spacing w:line="240" w:lineRule="auto"/>
      </w:pPr>
      <w:r>
        <w:separator/>
      </w:r>
    </w:p>
  </w:endnote>
  <w:endnote w:type="continuationSeparator" w:id="0">
    <w:p w14:paraId="3D6BA736" w14:textId="77777777" w:rsidR="004143AD" w:rsidRDefault="004143AD" w:rsidP="00660C79">
      <w:pPr>
        <w:spacing w:line="240" w:lineRule="auto"/>
      </w:pPr>
      <w:r>
        <w:continuationSeparator/>
      </w:r>
    </w:p>
  </w:endnote>
  <w:endnote w:type="continuationNotice" w:id="1">
    <w:p w14:paraId="5928F37F" w14:textId="77777777" w:rsidR="004143AD" w:rsidRDefault="00414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7A5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3509E96" wp14:editId="56E0B94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A99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p w14:paraId="6C8D0877" w14:textId="5708A5BC"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09E96"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8AA99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p w14:paraId="6C8D0877" w14:textId="5708A5BC"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D88B69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0D2C9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7AC8E3" w14:textId="77777777" w:rsidR="00917BB1" w:rsidRDefault="00917BB1" w:rsidP="00917BB1">
    <w:pPr>
      <w:pStyle w:val="Footer"/>
      <w:ind w:right="360"/>
    </w:pPr>
  </w:p>
  <w:p w14:paraId="52A4B64E" w14:textId="77777777" w:rsidR="00161F7D" w:rsidRDefault="00161F7D"/>
  <w:p w14:paraId="06B419B2" w14:textId="77777777" w:rsidR="00161F7D" w:rsidRDefault="00161F7D"/>
  <w:p w14:paraId="6DD64C33" w14:textId="77777777" w:rsidR="00161F7D" w:rsidRDefault="00161F7D"/>
  <w:p w14:paraId="731D7032" w14:textId="77777777" w:rsidR="00161F7D" w:rsidRDefault="00161F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2EEC" w14:textId="03DCC525" w:rsidR="00EC6A73" w:rsidRDefault="00EC6A73" w:rsidP="00917BB1">
    <w:pPr>
      <w:pStyle w:val="Footer"/>
      <w:ind w:right="360"/>
    </w:pPr>
  </w:p>
  <w:p w14:paraId="51DBBA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C05E46B" wp14:editId="0918D9E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02C2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84EAA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ADC91" w14:textId="3A08CBAC" w:rsidR="00161F7D" w:rsidRDefault="00917BB1" w:rsidP="00AD6368">
    <w:pPr>
      <w:pStyle w:val="Footer"/>
      <w:ind w:right="360"/>
    </w:pPr>
    <w:r>
      <w:rPr>
        <w:noProof/>
      </w:rPr>
      <w:drawing>
        <wp:inline distT="0" distB="0" distL="0" distR="0" wp14:anchorId="196D3915" wp14:editId="0E33A84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81E0" w14:textId="77777777" w:rsidR="00751749" w:rsidRDefault="00751749">
    <w:pPr>
      <w:pStyle w:val="Footer"/>
    </w:pPr>
    <w:r>
      <w:rPr>
        <w:noProof/>
      </w:rPr>
      <mc:AlternateContent>
        <mc:Choice Requires="wps">
          <w:drawing>
            <wp:anchor distT="0" distB="0" distL="0" distR="0" simplePos="0" relativeHeight="251658243" behindDoc="0" locked="0" layoutInCell="1" allowOverlap="1" wp14:anchorId="477E710B" wp14:editId="58C38B56">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0FF4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E710B" id="_x0000_t202" coordsize="21600,21600" o:spt="202" path="m,l,21600r21600,l21600,xe">
              <v:stroke joinstyle="miter"/>
              <v:path gradientshapeok="t" o:connecttype="rect"/>
            </v:shapetype>
            <v:shape id="Text Box 9" o:spid="_x0000_s102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30FF4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CD40" w14:textId="77777777" w:rsidR="004143AD" w:rsidRDefault="004143AD" w:rsidP="00660C79">
      <w:pPr>
        <w:spacing w:line="240" w:lineRule="auto"/>
      </w:pPr>
      <w:r>
        <w:separator/>
      </w:r>
    </w:p>
  </w:footnote>
  <w:footnote w:type="continuationSeparator" w:id="0">
    <w:p w14:paraId="4BE640CC" w14:textId="77777777" w:rsidR="004143AD" w:rsidRDefault="004143AD" w:rsidP="00660C79">
      <w:pPr>
        <w:spacing w:line="240" w:lineRule="auto"/>
      </w:pPr>
      <w:r>
        <w:continuationSeparator/>
      </w:r>
    </w:p>
  </w:footnote>
  <w:footnote w:type="continuationNotice" w:id="1">
    <w:p w14:paraId="422BEC14" w14:textId="77777777" w:rsidR="004143AD" w:rsidRDefault="004143AD">
      <w:pPr>
        <w:spacing w:line="240" w:lineRule="auto"/>
      </w:pPr>
    </w:p>
  </w:footnote>
  <w:footnote w:id="2">
    <w:p w14:paraId="2B6B2186" w14:textId="667164D2" w:rsidR="00232D37" w:rsidRPr="00EF4EDC" w:rsidRDefault="00232D37" w:rsidP="00EF4EDC">
      <w:pPr>
        <w:pStyle w:val="BodyText1"/>
        <w:rPr>
          <w:rFonts w:ascii="Arial" w:hAnsi="Arial" w:cs="Arial"/>
        </w:rPr>
      </w:pPr>
      <w:r>
        <w:rPr>
          <w:rStyle w:val="FootnoteReference"/>
        </w:rPr>
        <w:footnoteRef/>
      </w:r>
      <w:r>
        <w:t xml:space="preserve"> </w:t>
      </w:r>
      <w:r w:rsidRPr="00551530">
        <w:t xml:space="preserve">For existing discharges to or near shellfish waters, the microbial standards referred to </w:t>
      </w:r>
      <w:r w:rsidR="00350A69">
        <w:t xml:space="preserve">only </w:t>
      </w:r>
      <w:r w:rsidRPr="00551530">
        <w:t>applies to the protection of shellfish harvesting areas within shellfish water protected areas</w:t>
      </w:r>
      <w:r w:rsidRPr="00551530">
        <w:rPr>
          <w:rFonts w:ascii="Arial" w:hAnsi="Arial" w:cs="Arial"/>
        </w:rPr>
        <w:t xml:space="preserve"> to help secure a consistent FSS ‘A’ class.</w:t>
      </w:r>
      <w:r>
        <w:rPr>
          <w:rFonts w:ascii="Arial" w:hAnsi="Arial" w:cs="Arial"/>
        </w:rPr>
        <w:t xml:space="preserve"> </w:t>
      </w:r>
    </w:p>
  </w:footnote>
  <w:footnote w:id="3">
    <w:p w14:paraId="06684891" w14:textId="77777777" w:rsidR="00285CE5" w:rsidRDefault="00285CE5" w:rsidP="00285CE5">
      <w:pPr>
        <w:pStyle w:val="BodyText1"/>
      </w:pPr>
      <w:r>
        <w:rPr>
          <w:rStyle w:val="FootnoteReference"/>
        </w:rPr>
        <w:footnoteRef/>
      </w:r>
      <w:r>
        <w:t xml:space="preserve"> O</w:t>
      </w:r>
      <w:r w:rsidRPr="006569C2">
        <w:t>nce a small amount of dilution is taken into account</w:t>
      </w:r>
      <w:r>
        <w:t>, this</w:t>
      </w:r>
      <w:r w:rsidRPr="00D93836">
        <w:t xml:space="preserve"> treatment </w:t>
      </w:r>
      <w:r>
        <w:t>should</w:t>
      </w:r>
      <w:r w:rsidRPr="00D93836">
        <w:t xml:space="preserve"> meet</w:t>
      </w:r>
      <w:r>
        <w:t>:</w:t>
      </w:r>
    </w:p>
    <w:p w14:paraId="69B484EA" w14:textId="77777777" w:rsidR="00285CE5" w:rsidRPr="000102E0" w:rsidRDefault="00285CE5" w:rsidP="00285CE5">
      <w:pPr>
        <w:pStyle w:val="BodyText1"/>
        <w:numPr>
          <w:ilvl w:val="0"/>
          <w:numId w:val="39"/>
        </w:numPr>
      </w:pPr>
      <w:r>
        <w:t>B</w:t>
      </w:r>
      <w:r w:rsidRPr="00B01302">
        <w:t>athing water standards</w:t>
      </w:r>
      <w:r>
        <w:t>;</w:t>
      </w:r>
      <w:r w:rsidRPr="00B01302">
        <w:t xml:space="preserve"> </w:t>
      </w:r>
    </w:p>
    <w:p w14:paraId="4D5C0596" w14:textId="77777777" w:rsidR="00285CE5" w:rsidRPr="000102E0" w:rsidRDefault="00285CE5" w:rsidP="00285CE5">
      <w:pPr>
        <w:pStyle w:val="BodyText1"/>
        <w:numPr>
          <w:ilvl w:val="0"/>
          <w:numId w:val="39"/>
        </w:numPr>
      </w:pPr>
      <w:r>
        <w:t>S</w:t>
      </w:r>
      <w:r w:rsidRPr="00B01302">
        <w:t xml:space="preserve">tandards for good and excellent shellfish water protected area classification; and </w:t>
      </w:r>
    </w:p>
    <w:p w14:paraId="3A1D338E" w14:textId="5ADE7369" w:rsidR="00285CE5" w:rsidRDefault="00285CE5" w:rsidP="007B492C">
      <w:pPr>
        <w:pStyle w:val="BodyText1"/>
        <w:numPr>
          <w:ilvl w:val="0"/>
          <w:numId w:val="39"/>
        </w:numPr>
      </w:pPr>
      <w:r w:rsidRPr="00B01302">
        <w:t>Food Standards Scotland Class A</w:t>
      </w:r>
      <w:r>
        <w:t>.</w:t>
      </w:r>
      <w:r w:rsidRPr="00B01302">
        <w:t xml:space="preserve"> </w:t>
      </w:r>
    </w:p>
  </w:footnote>
  <w:footnote w:id="4">
    <w:p w14:paraId="169F363E" w14:textId="4717CC37" w:rsidR="008B306B" w:rsidRDefault="008B306B" w:rsidP="007B492C">
      <w:pPr>
        <w:pStyle w:val="BodyText1"/>
      </w:pPr>
      <w:r>
        <w:rPr>
          <w:rStyle w:val="FootnoteReference"/>
        </w:rPr>
        <w:footnoteRef/>
      </w:r>
      <w:r>
        <w:t xml:space="preserve"> </w:t>
      </w:r>
      <w:r w:rsidRPr="008B306B">
        <w:t>As small sewage discharges are likely to have a localised impact, it is the intensity of shellfish production which determines the likely economic impact. Where the harvesting is dispersed over a large area, the risk to classified shellfish harvesting areas from small discharges (≤100 p.e) is small.</w:t>
      </w:r>
    </w:p>
  </w:footnote>
  <w:footnote w:id="5">
    <w:p w14:paraId="002AE03E" w14:textId="11C85071" w:rsidR="00D87350" w:rsidRDefault="00D87350" w:rsidP="00D87350">
      <w:pPr>
        <w:pStyle w:val="BodyText1"/>
      </w:pPr>
      <w:r>
        <w:rPr>
          <w:rStyle w:val="FootnoteReference"/>
        </w:rPr>
        <w:footnoteRef/>
      </w:r>
      <w:r>
        <w:t xml:space="preserve"> </w:t>
      </w:r>
      <w:r w:rsidRPr="00D87350">
        <w:t xml:space="preserve">This is our operational standard to protect shellfish to class A standard. </w:t>
      </w:r>
      <w:r w:rsidR="00705CDE">
        <w:t xml:space="preserve">This is from </w:t>
      </w:r>
      <w:hyperlink r:id="rId1" w:history="1">
        <w:r w:rsidR="00705CDE" w:rsidRPr="00705CDE">
          <w:rPr>
            <w:rStyle w:val="Hyperlink"/>
          </w:rPr>
          <w:t>Faecal contamination challenges for the water environment.</w:t>
        </w:r>
      </w:hyperlink>
    </w:p>
  </w:footnote>
  <w:footnote w:id="6">
    <w:p w14:paraId="791A4808" w14:textId="77777777" w:rsidR="00DA46D8" w:rsidRPr="009E74B6" w:rsidRDefault="00DA46D8" w:rsidP="007B492C">
      <w:pPr>
        <w:pStyle w:val="BodyText1"/>
      </w:pPr>
      <w:r w:rsidRPr="007B492C">
        <w:rPr>
          <w:rStyle w:val="FootnoteReference"/>
        </w:rPr>
        <w:footnoteRef/>
      </w:r>
      <w:r w:rsidRPr="009E74B6">
        <w:t xml:space="preserve"> From </w:t>
      </w:r>
      <w:r w:rsidRPr="007B492C">
        <w:rPr>
          <w:rStyle w:val="cf01"/>
          <w:rFonts w:asciiTheme="minorHAnsi" w:hAnsiTheme="minorHAnsi" w:cstheme="minorBidi"/>
          <w:color w:val="auto"/>
          <w:sz w:val="24"/>
          <w:szCs w:val="24"/>
          <w:shd w:val="clear" w:color="auto" w:fill="auto"/>
        </w:rPr>
        <w:t>The Bathing Waters (Scotland) Regulations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266C" w14:textId="77777777" w:rsidR="00161F7D" w:rsidRDefault="00161F7D"/>
  <w:p w14:paraId="723601E8" w14:textId="164FE144" w:rsidR="00751749" w:rsidRDefault="00751749">
    <w:pPr>
      <w:pStyle w:val="Header"/>
    </w:pPr>
  </w:p>
  <w:p w14:paraId="66F36A9B" w14:textId="77777777" w:rsidR="00161F7D" w:rsidRDefault="00161F7D"/>
  <w:p w14:paraId="6369E36F" w14:textId="77777777" w:rsidR="00161F7D" w:rsidRDefault="00161F7D"/>
  <w:p w14:paraId="7A1EB1EB" w14:textId="77777777" w:rsidR="00161F7D" w:rsidRDefault="00161F7D"/>
  <w:p w14:paraId="1AB3E1CD" w14:textId="77777777" w:rsidR="00161F7D" w:rsidRDefault="00161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B945" w14:textId="094CB486" w:rsidR="00805B42" w:rsidRDefault="00CD308B" w:rsidP="00805B42">
    <w:pPr>
      <w:pStyle w:val="BodyText1"/>
      <w:spacing w:line="240" w:lineRule="auto"/>
      <w:jc w:val="right"/>
      <w:rPr>
        <w:color w:val="6E7571" w:themeColor="text2"/>
      </w:rPr>
    </w:pPr>
    <w:r>
      <w:rPr>
        <w:color w:val="6E7571" w:themeColor="text2"/>
      </w:rPr>
      <w:t xml:space="preserve">EASR Guidance: </w:t>
    </w:r>
    <w:r w:rsidR="00701F40">
      <w:rPr>
        <w:color w:val="6E7571" w:themeColor="text2"/>
      </w:rPr>
      <w:t>Discharges to and near bathing and shellfish waters</w:t>
    </w:r>
  </w:p>
  <w:p w14:paraId="766D8F7D" w14:textId="556EA076" w:rsidR="00161F7D" w:rsidRPr="00805B42" w:rsidRDefault="007D441B" w:rsidP="00805B42">
    <w:pPr>
      <w:pStyle w:val="BodyText1"/>
      <w:spacing w:line="240" w:lineRule="auto"/>
      <w:jc w:val="right"/>
      <w:rPr>
        <w:color w:val="6E7571" w:themeColor="text2"/>
      </w:rPr>
    </w:pPr>
    <w:r>
      <w:rPr>
        <w:noProof/>
      </w:rPr>
      <mc:AlternateContent>
        <mc:Choice Requires="wps">
          <w:drawing>
            <wp:anchor distT="0" distB="0" distL="114300" distR="114300" simplePos="0" relativeHeight="251658240" behindDoc="0" locked="0" layoutInCell="1" allowOverlap="1" wp14:anchorId="65491125" wp14:editId="3F23967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BECA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20F2"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ECAA658" wp14:editId="6F5C6AE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9C866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p w14:paraId="6DF030BB" w14:textId="0006468A"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AA658"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F9C866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p w14:paraId="6DF030BB" w14:textId="0006468A"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5756"/>
    <w:multiLevelType w:val="hybridMultilevel"/>
    <w:tmpl w:val="AC2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B3A23"/>
    <w:multiLevelType w:val="hybridMultilevel"/>
    <w:tmpl w:val="03DE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A4B82"/>
    <w:multiLevelType w:val="hybridMultilevel"/>
    <w:tmpl w:val="DC72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57045"/>
    <w:multiLevelType w:val="hybridMultilevel"/>
    <w:tmpl w:val="8AD800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8B80710"/>
    <w:multiLevelType w:val="hybridMultilevel"/>
    <w:tmpl w:val="44E2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BC08D6"/>
    <w:multiLevelType w:val="hybridMultilevel"/>
    <w:tmpl w:val="18782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9D523B8"/>
    <w:multiLevelType w:val="hybridMultilevel"/>
    <w:tmpl w:val="E144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10219"/>
    <w:multiLevelType w:val="hybridMultilevel"/>
    <w:tmpl w:val="5A3E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E39C3"/>
    <w:multiLevelType w:val="hybridMultilevel"/>
    <w:tmpl w:val="7834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7913A9"/>
    <w:multiLevelType w:val="hybridMultilevel"/>
    <w:tmpl w:val="F900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F22726"/>
    <w:multiLevelType w:val="hybridMultilevel"/>
    <w:tmpl w:val="2A62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B054F7"/>
    <w:multiLevelType w:val="hybridMultilevel"/>
    <w:tmpl w:val="81C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EF60F5"/>
    <w:multiLevelType w:val="hybridMultilevel"/>
    <w:tmpl w:val="E6D4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B256C"/>
    <w:multiLevelType w:val="hybridMultilevel"/>
    <w:tmpl w:val="9AAE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10A9F"/>
    <w:multiLevelType w:val="hybridMultilevel"/>
    <w:tmpl w:val="34645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4951F6"/>
    <w:multiLevelType w:val="hybridMultilevel"/>
    <w:tmpl w:val="465C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86661"/>
    <w:multiLevelType w:val="hybridMultilevel"/>
    <w:tmpl w:val="CDF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A01DA"/>
    <w:multiLevelType w:val="hybridMultilevel"/>
    <w:tmpl w:val="7458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C46E6"/>
    <w:multiLevelType w:val="hybridMultilevel"/>
    <w:tmpl w:val="583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746BDC"/>
    <w:multiLevelType w:val="hybridMultilevel"/>
    <w:tmpl w:val="4DA8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B5D3F"/>
    <w:multiLevelType w:val="hybridMultilevel"/>
    <w:tmpl w:val="2862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B5CDF"/>
    <w:multiLevelType w:val="hybridMultilevel"/>
    <w:tmpl w:val="DB48F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95366D"/>
    <w:multiLevelType w:val="hybridMultilevel"/>
    <w:tmpl w:val="6232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C25D1A"/>
    <w:multiLevelType w:val="hybridMultilevel"/>
    <w:tmpl w:val="E8D8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51A70"/>
    <w:multiLevelType w:val="hybridMultilevel"/>
    <w:tmpl w:val="6248F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D253E"/>
    <w:multiLevelType w:val="hybridMultilevel"/>
    <w:tmpl w:val="FB20B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5A37CE8"/>
    <w:multiLevelType w:val="hybridMultilevel"/>
    <w:tmpl w:val="40DC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E3C5B"/>
    <w:multiLevelType w:val="hybridMultilevel"/>
    <w:tmpl w:val="3A4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239F8"/>
    <w:multiLevelType w:val="hybridMultilevel"/>
    <w:tmpl w:val="4ED0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606107"/>
    <w:multiLevelType w:val="hybridMultilevel"/>
    <w:tmpl w:val="0894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D58CD"/>
    <w:multiLevelType w:val="hybridMultilevel"/>
    <w:tmpl w:val="F326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0E32DD"/>
    <w:multiLevelType w:val="hybridMultilevel"/>
    <w:tmpl w:val="E826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041A6"/>
    <w:multiLevelType w:val="hybridMultilevel"/>
    <w:tmpl w:val="7F98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E64FEF"/>
    <w:multiLevelType w:val="hybridMultilevel"/>
    <w:tmpl w:val="7044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FB5E2F"/>
    <w:multiLevelType w:val="hybridMultilevel"/>
    <w:tmpl w:val="D482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1D37D4"/>
    <w:multiLevelType w:val="hybridMultilevel"/>
    <w:tmpl w:val="126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9"/>
  </w:num>
  <w:num w:numId="12" w16cid:durableId="791052000">
    <w:abstractNumId w:val="19"/>
  </w:num>
  <w:num w:numId="13" w16cid:durableId="593785568">
    <w:abstractNumId w:val="49"/>
  </w:num>
  <w:num w:numId="14" w16cid:durableId="720440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33299">
    <w:abstractNumId w:val="37"/>
  </w:num>
  <w:num w:numId="16" w16cid:durableId="1638337398">
    <w:abstractNumId w:val="26"/>
  </w:num>
  <w:num w:numId="17" w16cid:durableId="1371566620">
    <w:abstractNumId w:val="15"/>
  </w:num>
  <w:num w:numId="18" w16cid:durableId="1697348119">
    <w:abstractNumId w:val="12"/>
  </w:num>
  <w:num w:numId="19" w16cid:durableId="1027173590">
    <w:abstractNumId w:val="22"/>
  </w:num>
  <w:num w:numId="20" w16cid:durableId="224536380">
    <w:abstractNumId w:val="40"/>
  </w:num>
  <w:num w:numId="21" w16cid:durableId="2144882887">
    <w:abstractNumId w:val="16"/>
  </w:num>
  <w:num w:numId="22" w16cid:durableId="1814758589">
    <w:abstractNumId w:val="44"/>
  </w:num>
  <w:num w:numId="23" w16cid:durableId="1694309697">
    <w:abstractNumId w:val="41"/>
  </w:num>
  <w:num w:numId="24" w16cid:durableId="1546942966">
    <w:abstractNumId w:val="21"/>
  </w:num>
  <w:num w:numId="25" w16cid:durableId="480003616">
    <w:abstractNumId w:val="36"/>
  </w:num>
  <w:num w:numId="26" w16cid:durableId="1900556713">
    <w:abstractNumId w:val="29"/>
  </w:num>
  <w:num w:numId="27" w16cid:durableId="570310976">
    <w:abstractNumId w:val="48"/>
  </w:num>
  <w:num w:numId="28" w16cid:durableId="1949193165">
    <w:abstractNumId w:val="33"/>
  </w:num>
  <w:num w:numId="29" w16cid:durableId="284164331">
    <w:abstractNumId w:val="47"/>
  </w:num>
  <w:num w:numId="30" w16cid:durableId="1704820503">
    <w:abstractNumId w:val="43"/>
  </w:num>
  <w:num w:numId="31" w16cid:durableId="557129477">
    <w:abstractNumId w:val="27"/>
  </w:num>
  <w:num w:numId="32" w16cid:durableId="2046901173">
    <w:abstractNumId w:val="35"/>
  </w:num>
  <w:num w:numId="33" w16cid:durableId="759834312">
    <w:abstractNumId w:val="42"/>
  </w:num>
  <w:num w:numId="34" w16cid:durableId="760880421">
    <w:abstractNumId w:val="34"/>
  </w:num>
  <w:num w:numId="35" w16cid:durableId="24411584">
    <w:abstractNumId w:val="10"/>
  </w:num>
  <w:num w:numId="36" w16cid:durableId="2065910489">
    <w:abstractNumId w:val="18"/>
  </w:num>
  <w:num w:numId="37" w16cid:durableId="551622480">
    <w:abstractNumId w:val="14"/>
  </w:num>
  <w:num w:numId="38" w16cid:durableId="1509440229">
    <w:abstractNumId w:val="20"/>
  </w:num>
  <w:num w:numId="39" w16cid:durableId="1214465427">
    <w:abstractNumId w:val="13"/>
  </w:num>
  <w:num w:numId="40" w16cid:durableId="2060591887">
    <w:abstractNumId w:val="13"/>
  </w:num>
  <w:num w:numId="41" w16cid:durableId="1615600861">
    <w:abstractNumId w:val="11"/>
  </w:num>
  <w:num w:numId="42" w16cid:durableId="423918532">
    <w:abstractNumId w:val="38"/>
  </w:num>
  <w:num w:numId="43" w16cid:durableId="1517187148">
    <w:abstractNumId w:val="46"/>
  </w:num>
  <w:num w:numId="44" w16cid:durableId="2080787999">
    <w:abstractNumId w:val="24"/>
  </w:num>
  <w:num w:numId="45" w16cid:durableId="2107532282">
    <w:abstractNumId w:val="31"/>
  </w:num>
  <w:num w:numId="46" w16cid:durableId="299847940">
    <w:abstractNumId w:val="28"/>
  </w:num>
  <w:num w:numId="47" w16cid:durableId="897742347">
    <w:abstractNumId w:val="32"/>
  </w:num>
  <w:num w:numId="48" w16cid:durableId="1605989373">
    <w:abstractNumId w:val="45"/>
  </w:num>
  <w:num w:numId="49" w16cid:durableId="2123958687">
    <w:abstractNumId w:val="25"/>
  </w:num>
  <w:num w:numId="50" w16cid:durableId="727995815">
    <w:abstractNumId w:val="23"/>
  </w:num>
  <w:num w:numId="51" w16cid:durableId="1442146728">
    <w:abstractNumId w:val="17"/>
  </w:num>
  <w:num w:numId="52" w16cid:durableId="201052093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C8"/>
    <w:rsid w:val="00004EEC"/>
    <w:rsid w:val="00005D1C"/>
    <w:rsid w:val="00015673"/>
    <w:rsid w:val="00024CFB"/>
    <w:rsid w:val="00026CF2"/>
    <w:rsid w:val="00027EE6"/>
    <w:rsid w:val="0003257F"/>
    <w:rsid w:val="00032829"/>
    <w:rsid w:val="000379E3"/>
    <w:rsid w:val="00040247"/>
    <w:rsid w:val="00040561"/>
    <w:rsid w:val="000417B3"/>
    <w:rsid w:val="00043320"/>
    <w:rsid w:val="00045C83"/>
    <w:rsid w:val="00052FCA"/>
    <w:rsid w:val="00064EF2"/>
    <w:rsid w:val="00065DA8"/>
    <w:rsid w:val="00070937"/>
    <w:rsid w:val="00072111"/>
    <w:rsid w:val="0008304D"/>
    <w:rsid w:val="00087C21"/>
    <w:rsid w:val="000902FE"/>
    <w:rsid w:val="00091AB0"/>
    <w:rsid w:val="00092D7A"/>
    <w:rsid w:val="000A1BDA"/>
    <w:rsid w:val="000A1C6A"/>
    <w:rsid w:val="000B2821"/>
    <w:rsid w:val="000B7559"/>
    <w:rsid w:val="000B7B07"/>
    <w:rsid w:val="000C1B83"/>
    <w:rsid w:val="000E0D15"/>
    <w:rsid w:val="000F56FD"/>
    <w:rsid w:val="000F6D57"/>
    <w:rsid w:val="00102482"/>
    <w:rsid w:val="00102C90"/>
    <w:rsid w:val="0010376F"/>
    <w:rsid w:val="00105F31"/>
    <w:rsid w:val="00111D2A"/>
    <w:rsid w:val="00112928"/>
    <w:rsid w:val="00112E2D"/>
    <w:rsid w:val="001133F9"/>
    <w:rsid w:val="00115AC0"/>
    <w:rsid w:val="00120028"/>
    <w:rsid w:val="001226C8"/>
    <w:rsid w:val="00143081"/>
    <w:rsid w:val="0014392A"/>
    <w:rsid w:val="00145FEB"/>
    <w:rsid w:val="00154AA4"/>
    <w:rsid w:val="001575FD"/>
    <w:rsid w:val="00161F7D"/>
    <w:rsid w:val="0016270B"/>
    <w:rsid w:val="00162A50"/>
    <w:rsid w:val="001644C9"/>
    <w:rsid w:val="00170A59"/>
    <w:rsid w:val="00176DB5"/>
    <w:rsid w:val="001808DE"/>
    <w:rsid w:val="00196AA4"/>
    <w:rsid w:val="001977ED"/>
    <w:rsid w:val="00197D98"/>
    <w:rsid w:val="001A0CC5"/>
    <w:rsid w:val="001B2220"/>
    <w:rsid w:val="001C3A9C"/>
    <w:rsid w:val="001D3182"/>
    <w:rsid w:val="001E4E9F"/>
    <w:rsid w:val="001E5DC3"/>
    <w:rsid w:val="001F1151"/>
    <w:rsid w:val="001F1F68"/>
    <w:rsid w:val="001F7B97"/>
    <w:rsid w:val="002043BF"/>
    <w:rsid w:val="00206DE8"/>
    <w:rsid w:val="002107F1"/>
    <w:rsid w:val="0021397E"/>
    <w:rsid w:val="00214E9A"/>
    <w:rsid w:val="0022386B"/>
    <w:rsid w:val="00232D37"/>
    <w:rsid w:val="00236552"/>
    <w:rsid w:val="00241DD2"/>
    <w:rsid w:val="00253555"/>
    <w:rsid w:val="00257897"/>
    <w:rsid w:val="002660CE"/>
    <w:rsid w:val="002718F7"/>
    <w:rsid w:val="0027765F"/>
    <w:rsid w:val="00280FC6"/>
    <w:rsid w:val="00281429"/>
    <w:rsid w:val="00281BB1"/>
    <w:rsid w:val="00285927"/>
    <w:rsid w:val="00285CE5"/>
    <w:rsid w:val="00290B1F"/>
    <w:rsid w:val="00290B75"/>
    <w:rsid w:val="002A1A1F"/>
    <w:rsid w:val="002B70C7"/>
    <w:rsid w:val="002C55B6"/>
    <w:rsid w:val="002C7CC5"/>
    <w:rsid w:val="002D6BFC"/>
    <w:rsid w:val="002E779A"/>
    <w:rsid w:val="002F77B4"/>
    <w:rsid w:val="0030096D"/>
    <w:rsid w:val="00306CC4"/>
    <w:rsid w:val="00317618"/>
    <w:rsid w:val="003416B5"/>
    <w:rsid w:val="003430CA"/>
    <w:rsid w:val="00344A61"/>
    <w:rsid w:val="00350A69"/>
    <w:rsid w:val="003561A8"/>
    <w:rsid w:val="00365C29"/>
    <w:rsid w:val="00372141"/>
    <w:rsid w:val="00373CA9"/>
    <w:rsid w:val="0037405F"/>
    <w:rsid w:val="003749EB"/>
    <w:rsid w:val="00383554"/>
    <w:rsid w:val="00394726"/>
    <w:rsid w:val="003A69EB"/>
    <w:rsid w:val="003B10F3"/>
    <w:rsid w:val="003C22A1"/>
    <w:rsid w:val="003E3665"/>
    <w:rsid w:val="003F3B06"/>
    <w:rsid w:val="003F5384"/>
    <w:rsid w:val="0040441E"/>
    <w:rsid w:val="004066A7"/>
    <w:rsid w:val="00406F7F"/>
    <w:rsid w:val="004073BC"/>
    <w:rsid w:val="004133B7"/>
    <w:rsid w:val="004143AD"/>
    <w:rsid w:val="00420EDA"/>
    <w:rsid w:val="00423382"/>
    <w:rsid w:val="00426573"/>
    <w:rsid w:val="004315BE"/>
    <w:rsid w:val="00436A29"/>
    <w:rsid w:val="00441BF0"/>
    <w:rsid w:val="00444AA1"/>
    <w:rsid w:val="00454187"/>
    <w:rsid w:val="00461118"/>
    <w:rsid w:val="00464699"/>
    <w:rsid w:val="00465987"/>
    <w:rsid w:val="004742EB"/>
    <w:rsid w:val="00477793"/>
    <w:rsid w:val="0049749A"/>
    <w:rsid w:val="004A26D1"/>
    <w:rsid w:val="004A36A8"/>
    <w:rsid w:val="004A4EC1"/>
    <w:rsid w:val="004A5F9D"/>
    <w:rsid w:val="004B79BB"/>
    <w:rsid w:val="004C42DD"/>
    <w:rsid w:val="004D059E"/>
    <w:rsid w:val="004D0BEB"/>
    <w:rsid w:val="004D2F46"/>
    <w:rsid w:val="004D44F1"/>
    <w:rsid w:val="004E1575"/>
    <w:rsid w:val="004F54CF"/>
    <w:rsid w:val="00521660"/>
    <w:rsid w:val="00523F2D"/>
    <w:rsid w:val="00525EB4"/>
    <w:rsid w:val="00530697"/>
    <w:rsid w:val="00531EDC"/>
    <w:rsid w:val="00535F5E"/>
    <w:rsid w:val="00536DE1"/>
    <w:rsid w:val="005372CB"/>
    <w:rsid w:val="005463CB"/>
    <w:rsid w:val="00551989"/>
    <w:rsid w:val="00552DAD"/>
    <w:rsid w:val="00554B50"/>
    <w:rsid w:val="00562B14"/>
    <w:rsid w:val="00562C98"/>
    <w:rsid w:val="00583B50"/>
    <w:rsid w:val="00584182"/>
    <w:rsid w:val="00587EA6"/>
    <w:rsid w:val="00593D9E"/>
    <w:rsid w:val="005A21CA"/>
    <w:rsid w:val="005A355E"/>
    <w:rsid w:val="005B6C97"/>
    <w:rsid w:val="005D01E3"/>
    <w:rsid w:val="005D1213"/>
    <w:rsid w:val="005D6018"/>
    <w:rsid w:val="005D6247"/>
    <w:rsid w:val="005D6A5F"/>
    <w:rsid w:val="005E5760"/>
    <w:rsid w:val="005E7B7A"/>
    <w:rsid w:val="005F1F6C"/>
    <w:rsid w:val="005F332A"/>
    <w:rsid w:val="005F3E26"/>
    <w:rsid w:val="005F4F63"/>
    <w:rsid w:val="005F5587"/>
    <w:rsid w:val="00604A5A"/>
    <w:rsid w:val="0060736E"/>
    <w:rsid w:val="00620242"/>
    <w:rsid w:val="00623A60"/>
    <w:rsid w:val="006243FF"/>
    <w:rsid w:val="00633AB0"/>
    <w:rsid w:val="00643D72"/>
    <w:rsid w:val="00644D60"/>
    <w:rsid w:val="00645467"/>
    <w:rsid w:val="00655C74"/>
    <w:rsid w:val="006601DA"/>
    <w:rsid w:val="00660C79"/>
    <w:rsid w:val="0068023F"/>
    <w:rsid w:val="00681AF7"/>
    <w:rsid w:val="00684F5A"/>
    <w:rsid w:val="00695512"/>
    <w:rsid w:val="006A2981"/>
    <w:rsid w:val="006A565B"/>
    <w:rsid w:val="006A6137"/>
    <w:rsid w:val="006B4141"/>
    <w:rsid w:val="006C1918"/>
    <w:rsid w:val="006D16CE"/>
    <w:rsid w:val="006D1CE6"/>
    <w:rsid w:val="006D34F5"/>
    <w:rsid w:val="006D4553"/>
    <w:rsid w:val="006E5DAA"/>
    <w:rsid w:val="006E7C26"/>
    <w:rsid w:val="006F0D5D"/>
    <w:rsid w:val="006F2F86"/>
    <w:rsid w:val="006F48B8"/>
    <w:rsid w:val="006F60F4"/>
    <w:rsid w:val="006F7199"/>
    <w:rsid w:val="00701732"/>
    <w:rsid w:val="00701F40"/>
    <w:rsid w:val="00705CDE"/>
    <w:rsid w:val="00707029"/>
    <w:rsid w:val="00711042"/>
    <w:rsid w:val="00713C54"/>
    <w:rsid w:val="00720A67"/>
    <w:rsid w:val="00725053"/>
    <w:rsid w:val="007331C1"/>
    <w:rsid w:val="007336A6"/>
    <w:rsid w:val="00733B0C"/>
    <w:rsid w:val="00737830"/>
    <w:rsid w:val="007404EA"/>
    <w:rsid w:val="007413CF"/>
    <w:rsid w:val="00751121"/>
    <w:rsid w:val="00751749"/>
    <w:rsid w:val="00751CC8"/>
    <w:rsid w:val="0075567F"/>
    <w:rsid w:val="00757BB3"/>
    <w:rsid w:val="007604F2"/>
    <w:rsid w:val="007642E8"/>
    <w:rsid w:val="007707FA"/>
    <w:rsid w:val="00776453"/>
    <w:rsid w:val="007777DA"/>
    <w:rsid w:val="00782EBB"/>
    <w:rsid w:val="00792DEC"/>
    <w:rsid w:val="007A3D4C"/>
    <w:rsid w:val="007B492C"/>
    <w:rsid w:val="007C3F12"/>
    <w:rsid w:val="007C58C9"/>
    <w:rsid w:val="007D441B"/>
    <w:rsid w:val="007D7096"/>
    <w:rsid w:val="007E1E3F"/>
    <w:rsid w:val="007E38BF"/>
    <w:rsid w:val="007E4B6C"/>
    <w:rsid w:val="007F0644"/>
    <w:rsid w:val="007F50C5"/>
    <w:rsid w:val="007F581C"/>
    <w:rsid w:val="00801105"/>
    <w:rsid w:val="00805B42"/>
    <w:rsid w:val="00807B76"/>
    <w:rsid w:val="00820D66"/>
    <w:rsid w:val="00823D2C"/>
    <w:rsid w:val="00824A2D"/>
    <w:rsid w:val="00836F90"/>
    <w:rsid w:val="00841FD2"/>
    <w:rsid w:val="00852F0C"/>
    <w:rsid w:val="00855C60"/>
    <w:rsid w:val="008575AB"/>
    <w:rsid w:val="0086046B"/>
    <w:rsid w:val="008609F8"/>
    <w:rsid w:val="00861246"/>
    <w:rsid w:val="00861B46"/>
    <w:rsid w:val="00861C1A"/>
    <w:rsid w:val="00864B09"/>
    <w:rsid w:val="00895D6A"/>
    <w:rsid w:val="008A4EA9"/>
    <w:rsid w:val="008A642D"/>
    <w:rsid w:val="008B306B"/>
    <w:rsid w:val="008C1A73"/>
    <w:rsid w:val="008D113C"/>
    <w:rsid w:val="008D376F"/>
    <w:rsid w:val="008E5C9B"/>
    <w:rsid w:val="008E60C2"/>
    <w:rsid w:val="008F0E5B"/>
    <w:rsid w:val="008F41A4"/>
    <w:rsid w:val="0090158A"/>
    <w:rsid w:val="009103FF"/>
    <w:rsid w:val="009119E7"/>
    <w:rsid w:val="00911B06"/>
    <w:rsid w:val="00917BB1"/>
    <w:rsid w:val="00920BE1"/>
    <w:rsid w:val="00922FAB"/>
    <w:rsid w:val="00923309"/>
    <w:rsid w:val="00930FC3"/>
    <w:rsid w:val="0093236E"/>
    <w:rsid w:val="0096332C"/>
    <w:rsid w:val="00971C7E"/>
    <w:rsid w:val="0097441F"/>
    <w:rsid w:val="00974DF8"/>
    <w:rsid w:val="00975D21"/>
    <w:rsid w:val="00980531"/>
    <w:rsid w:val="00982D9B"/>
    <w:rsid w:val="00993FEB"/>
    <w:rsid w:val="0099486A"/>
    <w:rsid w:val="00994C4A"/>
    <w:rsid w:val="009A1226"/>
    <w:rsid w:val="009A240D"/>
    <w:rsid w:val="009A4D53"/>
    <w:rsid w:val="009A6B16"/>
    <w:rsid w:val="009C5F29"/>
    <w:rsid w:val="009D138F"/>
    <w:rsid w:val="009D2271"/>
    <w:rsid w:val="009D7AB5"/>
    <w:rsid w:val="009E0C3D"/>
    <w:rsid w:val="009E3BB1"/>
    <w:rsid w:val="009E7011"/>
    <w:rsid w:val="009E74B6"/>
    <w:rsid w:val="009E7FE2"/>
    <w:rsid w:val="009F2AF9"/>
    <w:rsid w:val="009F5C67"/>
    <w:rsid w:val="00A216FC"/>
    <w:rsid w:val="00A31F08"/>
    <w:rsid w:val="00A32708"/>
    <w:rsid w:val="00A409BC"/>
    <w:rsid w:val="00A41DE6"/>
    <w:rsid w:val="00A436D8"/>
    <w:rsid w:val="00A45333"/>
    <w:rsid w:val="00A4574B"/>
    <w:rsid w:val="00A4614E"/>
    <w:rsid w:val="00A54F78"/>
    <w:rsid w:val="00A56DE0"/>
    <w:rsid w:val="00A60B0B"/>
    <w:rsid w:val="00A64CCF"/>
    <w:rsid w:val="00A812E0"/>
    <w:rsid w:val="00A81FCB"/>
    <w:rsid w:val="00A83E40"/>
    <w:rsid w:val="00A8465C"/>
    <w:rsid w:val="00A9349C"/>
    <w:rsid w:val="00A94A01"/>
    <w:rsid w:val="00A94A5C"/>
    <w:rsid w:val="00AB0018"/>
    <w:rsid w:val="00AB3B8E"/>
    <w:rsid w:val="00AC5EA6"/>
    <w:rsid w:val="00AD6368"/>
    <w:rsid w:val="00AD7585"/>
    <w:rsid w:val="00AE068C"/>
    <w:rsid w:val="00AE43E6"/>
    <w:rsid w:val="00AE7E85"/>
    <w:rsid w:val="00AF5F77"/>
    <w:rsid w:val="00B0020B"/>
    <w:rsid w:val="00B00697"/>
    <w:rsid w:val="00B006DA"/>
    <w:rsid w:val="00B02BF4"/>
    <w:rsid w:val="00B12D46"/>
    <w:rsid w:val="00B158FC"/>
    <w:rsid w:val="00B21696"/>
    <w:rsid w:val="00B238C9"/>
    <w:rsid w:val="00B238E9"/>
    <w:rsid w:val="00B27D14"/>
    <w:rsid w:val="00B33C68"/>
    <w:rsid w:val="00B46198"/>
    <w:rsid w:val="00B46E48"/>
    <w:rsid w:val="00B53401"/>
    <w:rsid w:val="00B53A61"/>
    <w:rsid w:val="00B54CF4"/>
    <w:rsid w:val="00B66238"/>
    <w:rsid w:val="00B7072B"/>
    <w:rsid w:val="00B736A5"/>
    <w:rsid w:val="00B91321"/>
    <w:rsid w:val="00B9281D"/>
    <w:rsid w:val="00BA587D"/>
    <w:rsid w:val="00BA7B00"/>
    <w:rsid w:val="00BC28C7"/>
    <w:rsid w:val="00BE11A8"/>
    <w:rsid w:val="00BE2613"/>
    <w:rsid w:val="00BE362F"/>
    <w:rsid w:val="00BE618E"/>
    <w:rsid w:val="00C0591B"/>
    <w:rsid w:val="00C078FC"/>
    <w:rsid w:val="00C30F61"/>
    <w:rsid w:val="00C52A2B"/>
    <w:rsid w:val="00C569B9"/>
    <w:rsid w:val="00C60A66"/>
    <w:rsid w:val="00C6786B"/>
    <w:rsid w:val="00C72AA7"/>
    <w:rsid w:val="00C72D0A"/>
    <w:rsid w:val="00C76F04"/>
    <w:rsid w:val="00C8194F"/>
    <w:rsid w:val="00C84AB7"/>
    <w:rsid w:val="00C96503"/>
    <w:rsid w:val="00CA67FF"/>
    <w:rsid w:val="00CA6FD8"/>
    <w:rsid w:val="00CB0232"/>
    <w:rsid w:val="00CB5253"/>
    <w:rsid w:val="00CC00FE"/>
    <w:rsid w:val="00CC0446"/>
    <w:rsid w:val="00CC11F3"/>
    <w:rsid w:val="00CC15F7"/>
    <w:rsid w:val="00CD308B"/>
    <w:rsid w:val="00CD3EB7"/>
    <w:rsid w:val="00CD3F86"/>
    <w:rsid w:val="00CD6A54"/>
    <w:rsid w:val="00CD6AC0"/>
    <w:rsid w:val="00CE2708"/>
    <w:rsid w:val="00CE5267"/>
    <w:rsid w:val="00CF7EFB"/>
    <w:rsid w:val="00D0042D"/>
    <w:rsid w:val="00D049EB"/>
    <w:rsid w:val="00D07F70"/>
    <w:rsid w:val="00D17971"/>
    <w:rsid w:val="00D22A73"/>
    <w:rsid w:val="00D2609D"/>
    <w:rsid w:val="00D30573"/>
    <w:rsid w:val="00D35448"/>
    <w:rsid w:val="00D4639F"/>
    <w:rsid w:val="00D56457"/>
    <w:rsid w:val="00D71DD8"/>
    <w:rsid w:val="00D771E5"/>
    <w:rsid w:val="00D80DBE"/>
    <w:rsid w:val="00D80FF8"/>
    <w:rsid w:val="00D846DB"/>
    <w:rsid w:val="00D87350"/>
    <w:rsid w:val="00D87A89"/>
    <w:rsid w:val="00DA1B78"/>
    <w:rsid w:val="00DA1C9D"/>
    <w:rsid w:val="00DA3EA6"/>
    <w:rsid w:val="00DA46D8"/>
    <w:rsid w:val="00DB315B"/>
    <w:rsid w:val="00DB3945"/>
    <w:rsid w:val="00DD6680"/>
    <w:rsid w:val="00DE1B39"/>
    <w:rsid w:val="00DE3C45"/>
    <w:rsid w:val="00DF0877"/>
    <w:rsid w:val="00DF412A"/>
    <w:rsid w:val="00E021BC"/>
    <w:rsid w:val="00E05A59"/>
    <w:rsid w:val="00E11A56"/>
    <w:rsid w:val="00E24A32"/>
    <w:rsid w:val="00E267FF"/>
    <w:rsid w:val="00E326A4"/>
    <w:rsid w:val="00E45CBE"/>
    <w:rsid w:val="00E5168E"/>
    <w:rsid w:val="00E526F0"/>
    <w:rsid w:val="00E54090"/>
    <w:rsid w:val="00E57F24"/>
    <w:rsid w:val="00E61BD8"/>
    <w:rsid w:val="00E64F95"/>
    <w:rsid w:val="00E65368"/>
    <w:rsid w:val="00E67442"/>
    <w:rsid w:val="00E67C75"/>
    <w:rsid w:val="00E74B45"/>
    <w:rsid w:val="00E771B2"/>
    <w:rsid w:val="00E8249F"/>
    <w:rsid w:val="00E84652"/>
    <w:rsid w:val="00EA7C0E"/>
    <w:rsid w:val="00EB0DAA"/>
    <w:rsid w:val="00EB2BE5"/>
    <w:rsid w:val="00EB392D"/>
    <w:rsid w:val="00EB4166"/>
    <w:rsid w:val="00EB5691"/>
    <w:rsid w:val="00EB78AD"/>
    <w:rsid w:val="00EC1F6F"/>
    <w:rsid w:val="00EC2EE5"/>
    <w:rsid w:val="00EC5CAB"/>
    <w:rsid w:val="00EC6A73"/>
    <w:rsid w:val="00EE0238"/>
    <w:rsid w:val="00EE10BC"/>
    <w:rsid w:val="00EE53AA"/>
    <w:rsid w:val="00EF4EDC"/>
    <w:rsid w:val="00EF54F9"/>
    <w:rsid w:val="00F07048"/>
    <w:rsid w:val="00F10C00"/>
    <w:rsid w:val="00F10E67"/>
    <w:rsid w:val="00F126DF"/>
    <w:rsid w:val="00F1370F"/>
    <w:rsid w:val="00F175F2"/>
    <w:rsid w:val="00F27A1A"/>
    <w:rsid w:val="00F51B66"/>
    <w:rsid w:val="00F5328C"/>
    <w:rsid w:val="00F56398"/>
    <w:rsid w:val="00F72274"/>
    <w:rsid w:val="00F745C3"/>
    <w:rsid w:val="00F7634B"/>
    <w:rsid w:val="00F81D06"/>
    <w:rsid w:val="00F84E3A"/>
    <w:rsid w:val="00F97E25"/>
    <w:rsid w:val="00FA1BB3"/>
    <w:rsid w:val="00FA6441"/>
    <w:rsid w:val="00FB15A3"/>
    <w:rsid w:val="00FB4BFB"/>
    <w:rsid w:val="00FC19CB"/>
    <w:rsid w:val="00FC3408"/>
    <w:rsid w:val="00FC5DA3"/>
    <w:rsid w:val="00FC605A"/>
    <w:rsid w:val="00FC617E"/>
    <w:rsid w:val="00FD08DF"/>
    <w:rsid w:val="00FD3D53"/>
    <w:rsid w:val="00FE1324"/>
    <w:rsid w:val="00FF1814"/>
    <w:rsid w:val="00FF44A6"/>
    <w:rsid w:val="00FF583C"/>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30F9"/>
  <w15:chartTrackingRefBased/>
  <w15:docId w15:val="{322A3668-BA83-4857-8D3F-24A4E1B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rsid w:val="001226C8"/>
    <w:pPr>
      <w:spacing w:line="240" w:lineRule="auto"/>
    </w:pPr>
    <w:rPr>
      <w:sz w:val="20"/>
      <w:szCs w:val="20"/>
    </w:rPr>
  </w:style>
  <w:style w:type="character" w:customStyle="1" w:styleId="CommentTextChar">
    <w:name w:val="Comment Text Char"/>
    <w:basedOn w:val="DefaultParagraphFont"/>
    <w:link w:val="CommentText"/>
    <w:uiPriority w:val="99"/>
    <w:rsid w:val="001226C8"/>
    <w:rPr>
      <w:rFonts w:eastAsiaTheme="minorEastAsia"/>
      <w:sz w:val="20"/>
      <w:szCs w:val="20"/>
    </w:rPr>
  </w:style>
  <w:style w:type="character" w:styleId="CommentReference">
    <w:name w:val="annotation reference"/>
    <w:basedOn w:val="DefaultParagraphFont"/>
    <w:uiPriority w:val="99"/>
    <w:semiHidden/>
    <w:unhideWhenUsed/>
    <w:rsid w:val="001226C8"/>
    <w:rPr>
      <w:sz w:val="16"/>
      <w:szCs w:val="16"/>
    </w:rPr>
  </w:style>
  <w:style w:type="paragraph" w:styleId="ListParagraph">
    <w:name w:val="List Paragraph"/>
    <w:basedOn w:val="Normal"/>
    <w:uiPriority w:val="34"/>
    <w:qFormat/>
    <w:rsid w:val="00232D37"/>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paragraph" w:styleId="FootnoteText">
    <w:name w:val="footnote text"/>
    <w:basedOn w:val="Normal"/>
    <w:link w:val="FootnoteTextChar"/>
    <w:semiHidden/>
    <w:unhideWhenUsed/>
    <w:rsid w:val="00232D37"/>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32D37"/>
    <w:rPr>
      <w:rFonts w:ascii="Arial" w:eastAsia="Times New Roman" w:hAnsi="Arial" w:cs="Times New Roman"/>
      <w:sz w:val="20"/>
      <w:szCs w:val="20"/>
    </w:rPr>
  </w:style>
  <w:style w:type="character" w:styleId="FootnoteReference">
    <w:name w:val="footnote reference"/>
    <w:basedOn w:val="DefaultParagraphFont"/>
    <w:semiHidden/>
    <w:unhideWhenUsed/>
    <w:rsid w:val="00232D37"/>
    <w:rPr>
      <w:vertAlign w:val="superscript"/>
    </w:rPr>
  </w:style>
  <w:style w:type="paragraph" w:styleId="BodyText">
    <w:name w:val="Body Text"/>
    <w:basedOn w:val="Normal"/>
    <w:link w:val="BodyTextChar"/>
    <w:uiPriority w:val="99"/>
    <w:unhideWhenUsed/>
    <w:rsid w:val="00720A67"/>
    <w:pPr>
      <w:overflowPunct w:val="0"/>
      <w:autoSpaceDE w:val="0"/>
      <w:autoSpaceDN w:val="0"/>
      <w:adjustRightInd w:val="0"/>
      <w:spacing w:after="120" w:line="240" w:lineRule="auto"/>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uiPriority w:val="99"/>
    <w:rsid w:val="00720A67"/>
    <w:rPr>
      <w:rFonts w:ascii="Arial" w:eastAsia="Times New Roman" w:hAnsi="Arial" w:cs="Times New Roman"/>
      <w:sz w:val="22"/>
      <w:szCs w:val="20"/>
    </w:rPr>
  </w:style>
  <w:style w:type="character" w:customStyle="1" w:styleId="cf01">
    <w:name w:val="cf01"/>
    <w:basedOn w:val="DefaultParagraphFont"/>
    <w:rsid w:val="00720A67"/>
    <w:rPr>
      <w:rFonts w:ascii="Segoe UI" w:hAnsi="Segoe UI" w:cs="Segoe UI" w:hint="default"/>
      <w:color w:val="333333"/>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720A67"/>
    <w:rPr>
      <w:b/>
      <w:bCs/>
    </w:rPr>
  </w:style>
  <w:style w:type="character" w:customStyle="1" w:styleId="CommentSubjectChar">
    <w:name w:val="Comment Subject Char"/>
    <w:basedOn w:val="CommentTextChar"/>
    <w:link w:val="CommentSubject"/>
    <w:uiPriority w:val="99"/>
    <w:semiHidden/>
    <w:rsid w:val="00720A67"/>
    <w:rPr>
      <w:rFonts w:eastAsiaTheme="minorEastAsia"/>
      <w:b/>
      <w:bCs/>
      <w:sz w:val="20"/>
      <w:szCs w:val="20"/>
    </w:rPr>
  </w:style>
  <w:style w:type="paragraph" w:styleId="TOCHeading">
    <w:name w:val="TOC Heading"/>
    <w:basedOn w:val="Heading1"/>
    <w:next w:val="Normal"/>
    <w:uiPriority w:val="39"/>
    <w:unhideWhenUsed/>
    <w:qFormat/>
    <w:rsid w:val="00EA7C0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EA7C0E"/>
    <w:pPr>
      <w:spacing w:after="100"/>
    </w:pPr>
  </w:style>
  <w:style w:type="paragraph" w:styleId="TOC2">
    <w:name w:val="toc 2"/>
    <w:basedOn w:val="Normal"/>
    <w:next w:val="Normal"/>
    <w:autoRedefine/>
    <w:uiPriority w:val="39"/>
    <w:unhideWhenUsed/>
    <w:rsid w:val="00EA7C0E"/>
    <w:pPr>
      <w:spacing w:after="100"/>
      <w:ind w:left="240"/>
    </w:pPr>
  </w:style>
  <w:style w:type="paragraph" w:styleId="TOC3">
    <w:name w:val="toc 3"/>
    <w:basedOn w:val="Normal"/>
    <w:next w:val="Normal"/>
    <w:autoRedefine/>
    <w:uiPriority w:val="39"/>
    <w:unhideWhenUsed/>
    <w:rsid w:val="00EA7C0E"/>
    <w:pPr>
      <w:spacing w:after="100"/>
      <w:ind w:left="480"/>
    </w:pPr>
  </w:style>
  <w:style w:type="character" w:styleId="FollowedHyperlink">
    <w:name w:val="FollowedHyperlink"/>
    <w:basedOn w:val="DefaultParagraphFont"/>
    <w:uiPriority w:val="99"/>
    <w:semiHidden/>
    <w:unhideWhenUsed/>
    <w:rsid w:val="00102C90"/>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636">
      <w:bodyDiv w:val="1"/>
      <w:marLeft w:val="0"/>
      <w:marRight w:val="0"/>
      <w:marTop w:val="0"/>
      <w:marBottom w:val="0"/>
      <w:divBdr>
        <w:top w:val="none" w:sz="0" w:space="0" w:color="auto"/>
        <w:left w:val="none" w:sz="0" w:space="0" w:color="auto"/>
        <w:bottom w:val="none" w:sz="0" w:space="0" w:color="auto"/>
        <w:right w:val="none" w:sz="0" w:space="0" w:color="auto"/>
      </w:divBdr>
    </w:div>
    <w:div w:id="156463924">
      <w:bodyDiv w:val="1"/>
      <w:marLeft w:val="0"/>
      <w:marRight w:val="0"/>
      <w:marTop w:val="0"/>
      <w:marBottom w:val="0"/>
      <w:divBdr>
        <w:top w:val="none" w:sz="0" w:space="0" w:color="auto"/>
        <w:left w:val="none" w:sz="0" w:space="0" w:color="auto"/>
        <w:bottom w:val="none" w:sz="0" w:space="0" w:color="auto"/>
        <w:right w:val="none" w:sz="0" w:space="0" w:color="auto"/>
      </w:divBdr>
    </w:div>
    <w:div w:id="164247480">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2282194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4645551">
      <w:bodyDiv w:val="1"/>
      <w:marLeft w:val="0"/>
      <w:marRight w:val="0"/>
      <w:marTop w:val="0"/>
      <w:marBottom w:val="0"/>
      <w:divBdr>
        <w:top w:val="none" w:sz="0" w:space="0" w:color="auto"/>
        <w:left w:val="none" w:sz="0" w:space="0" w:color="auto"/>
        <w:bottom w:val="none" w:sz="0" w:space="0" w:color="auto"/>
        <w:right w:val="none" w:sz="0" w:space="0" w:color="auto"/>
      </w:divBdr>
    </w:div>
    <w:div w:id="1120566244">
      <w:bodyDiv w:val="1"/>
      <w:marLeft w:val="0"/>
      <w:marRight w:val="0"/>
      <w:marTop w:val="0"/>
      <w:marBottom w:val="0"/>
      <w:divBdr>
        <w:top w:val="none" w:sz="0" w:space="0" w:color="auto"/>
        <w:left w:val="none" w:sz="0" w:space="0" w:color="auto"/>
        <w:bottom w:val="none" w:sz="0" w:space="0" w:color="auto"/>
        <w:right w:val="none" w:sz="0" w:space="0" w:color="auto"/>
      </w:divBdr>
    </w:div>
    <w:div w:id="1179388210">
      <w:bodyDiv w:val="1"/>
      <w:marLeft w:val="0"/>
      <w:marRight w:val="0"/>
      <w:marTop w:val="0"/>
      <w:marBottom w:val="0"/>
      <w:divBdr>
        <w:top w:val="none" w:sz="0" w:space="0" w:color="auto"/>
        <w:left w:val="none" w:sz="0" w:space="0" w:color="auto"/>
        <w:bottom w:val="none" w:sz="0" w:space="0" w:color="auto"/>
        <w:right w:val="none" w:sz="0" w:space="0" w:color="auto"/>
      </w:divBdr>
    </w:div>
    <w:div w:id="1226843788">
      <w:bodyDiv w:val="1"/>
      <w:marLeft w:val="0"/>
      <w:marRight w:val="0"/>
      <w:marTop w:val="0"/>
      <w:marBottom w:val="0"/>
      <w:divBdr>
        <w:top w:val="none" w:sz="0" w:space="0" w:color="auto"/>
        <w:left w:val="none" w:sz="0" w:space="0" w:color="auto"/>
        <w:bottom w:val="none" w:sz="0" w:space="0" w:color="auto"/>
        <w:right w:val="none" w:sz="0" w:space="0" w:color="auto"/>
      </w:divBdr>
    </w:div>
    <w:div w:id="1237399927">
      <w:bodyDiv w:val="1"/>
      <w:marLeft w:val="0"/>
      <w:marRight w:val="0"/>
      <w:marTop w:val="0"/>
      <w:marBottom w:val="0"/>
      <w:divBdr>
        <w:top w:val="none" w:sz="0" w:space="0" w:color="auto"/>
        <w:left w:val="none" w:sz="0" w:space="0" w:color="auto"/>
        <w:bottom w:val="none" w:sz="0" w:space="0" w:color="auto"/>
        <w:right w:val="none" w:sz="0" w:space="0" w:color="auto"/>
      </w:divBdr>
    </w:div>
    <w:div w:id="1270120391">
      <w:bodyDiv w:val="1"/>
      <w:marLeft w:val="0"/>
      <w:marRight w:val="0"/>
      <w:marTop w:val="0"/>
      <w:marBottom w:val="0"/>
      <w:divBdr>
        <w:top w:val="none" w:sz="0" w:space="0" w:color="auto"/>
        <w:left w:val="none" w:sz="0" w:space="0" w:color="auto"/>
        <w:bottom w:val="none" w:sz="0" w:space="0" w:color="auto"/>
        <w:right w:val="none" w:sz="0" w:space="0" w:color="auto"/>
      </w:divBdr>
    </w:div>
    <w:div w:id="1350764773">
      <w:bodyDiv w:val="1"/>
      <w:marLeft w:val="0"/>
      <w:marRight w:val="0"/>
      <w:marTop w:val="0"/>
      <w:marBottom w:val="0"/>
      <w:divBdr>
        <w:top w:val="none" w:sz="0" w:space="0" w:color="auto"/>
        <w:left w:val="none" w:sz="0" w:space="0" w:color="auto"/>
        <w:bottom w:val="none" w:sz="0" w:space="0" w:color="auto"/>
        <w:right w:val="none" w:sz="0" w:space="0" w:color="auto"/>
      </w:divBdr>
    </w:div>
    <w:div w:id="1442259118">
      <w:bodyDiv w:val="1"/>
      <w:marLeft w:val="0"/>
      <w:marRight w:val="0"/>
      <w:marTop w:val="0"/>
      <w:marBottom w:val="0"/>
      <w:divBdr>
        <w:top w:val="none" w:sz="0" w:space="0" w:color="auto"/>
        <w:left w:val="none" w:sz="0" w:space="0" w:color="auto"/>
        <w:bottom w:val="none" w:sz="0" w:space="0" w:color="auto"/>
        <w:right w:val="none" w:sz="0" w:space="0" w:color="auto"/>
      </w:divBdr>
    </w:div>
    <w:div w:id="1756635204">
      <w:bodyDiv w:val="1"/>
      <w:marLeft w:val="0"/>
      <w:marRight w:val="0"/>
      <w:marTop w:val="0"/>
      <w:marBottom w:val="0"/>
      <w:divBdr>
        <w:top w:val="none" w:sz="0" w:space="0" w:color="auto"/>
        <w:left w:val="none" w:sz="0" w:space="0" w:color="auto"/>
        <w:bottom w:val="none" w:sz="0" w:space="0" w:color="auto"/>
        <w:right w:val="none" w:sz="0" w:space="0" w:color="auto"/>
      </w:divBdr>
    </w:div>
    <w:div w:id="18461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gov.scot/Topics/Environment/Water/15561/ShellfishWater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scot/publications/the-water-environment-shellfish-water-protected-areas-objectives-and-classification-etc--solway-tweed-directions-202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ir-app-qpl01/QPulseDocumentService/Documents.svc/documents/active/attachment?number=WAT-RM-0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ir-app-qpl01/QPulseDocumentService/Documents.svc/documents/active/attachment?number=WAT-RM-07" TargetMode="External"/><Relationship Id="rId20" Type="http://schemas.openxmlformats.org/officeDocument/2006/relationships/hyperlink" Target="http://www.gov.scot/Topics/Environment/Water/15561/ShellfishWat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ottishepa.sharepoint.com/sites/IntegratedAuthorisationFramework/Shared%20Documents/WS06_Water_Activities/Guidance%20docs/Point%20Source/Discharge%20of%20effluents%20to%20surface%20water/waterpermitting@sepa.org.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scot/Topics/Environment/Water/15561/ShellfishWa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ttishepa.sharepoint.com/sites/IntegratedAuthorisationFramework/Shared%20Documents/WS06_Water_Activities/Guidance%20docs/Point%20Source/Discharge%20of%20effluents%20to%20surface%20water/waterpermitting@sepa.org.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aecal-contamination-challenges-for-the-water-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7dd4d6b0-2bd1-40f7-94aa-8d4785e79023"/>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ce5b52f7-9556-48ad-bf4f-1238de82834a"/>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A0D245-AE8D-447D-90D5-14A71C45F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15</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Links>
    <vt:vector size="192" baseType="variant">
      <vt:variant>
        <vt:i4>5177349</vt:i4>
      </vt:variant>
      <vt:variant>
        <vt:i4>159</vt:i4>
      </vt:variant>
      <vt:variant>
        <vt:i4>0</vt:i4>
      </vt:variant>
      <vt:variant>
        <vt:i4>5</vt:i4>
      </vt:variant>
      <vt:variant>
        <vt:lpwstr>https://www.gov.scot/publications/the-water-environment-shellfish-water-protected-areas-objectives-and-classification-etc--solway-tweed-directions-2021/</vt:lpwstr>
      </vt:variant>
      <vt:variant>
        <vt:lpwstr/>
      </vt:variant>
      <vt:variant>
        <vt:i4>2752621</vt:i4>
      </vt:variant>
      <vt:variant>
        <vt:i4>156</vt:i4>
      </vt:variant>
      <vt:variant>
        <vt:i4>0</vt:i4>
      </vt:variant>
      <vt:variant>
        <vt:i4>5</vt:i4>
      </vt:variant>
      <vt:variant>
        <vt:lpwstr>http://www.gov.scot/Topics/Environment/Water/15561/ShellfishWaters</vt:lpwstr>
      </vt:variant>
      <vt:variant>
        <vt:lpwstr/>
      </vt:variant>
      <vt:variant>
        <vt:i4>2752621</vt:i4>
      </vt:variant>
      <vt:variant>
        <vt:i4>153</vt:i4>
      </vt:variant>
      <vt:variant>
        <vt:i4>0</vt:i4>
      </vt:variant>
      <vt:variant>
        <vt:i4>5</vt:i4>
      </vt:variant>
      <vt:variant>
        <vt:lpwstr>http://www.gov.scot/Topics/Environment/Water/15561/ShellfishWaters</vt:lpwstr>
      </vt:variant>
      <vt:variant>
        <vt:lpwstr/>
      </vt:variant>
      <vt:variant>
        <vt:i4>2752621</vt:i4>
      </vt:variant>
      <vt:variant>
        <vt:i4>150</vt:i4>
      </vt:variant>
      <vt:variant>
        <vt:i4>0</vt:i4>
      </vt:variant>
      <vt:variant>
        <vt:i4>5</vt:i4>
      </vt:variant>
      <vt:variant>
        <vt:lpwstr>http://www.gov.scot/Topics/Environment/Water/15561/ShellfishWaters</vt:lpwstr>
      </vt:variant>
      <vt:variant>
        <vt:lpwstr/>
      </vt:variant>
      <vt:variant>
        <vt:i4>7340086</vt:i4>
      </vt:variant>
      <vt:variant>
        <vt:i4>147</vt:i4>
      </vt:variant>
      <vt:variant>
        <vt:i4>0</vt:i4>
      </vt:variant>
      <vt:variant>
        <vt:i4>5</vt:i4>
      </vt:variant>
      <vt:variant>
        <vt:lpwstr>http://stir-app-qpl01/QPulseDocumentService/Documents.svc/documents/active/attachment?number=WAT-RM-07</vt:lpwstr>
      </vt:variant>
      <vt:variant>
        <vt:lpwstr/>
      </vt:variant>
      <vt:variant>
        <vt:i4>7340086</vt:i4>
      </vt:variant>
      <vt:variant>
        <vt:i4>144</vt:i4>
      </vt:variant>
      <vt:variant>
        <vt:i4>0</vt:i4>
      </vt:variant>
      <vt:variant>
        <vt:i4>5</vt:i4>
      </vt:variant>
      <vt:variant>
        <vt:lpwstr>http://stir-app-qpl01/QPulseDocumentService/Documents.svc/documents/active/attachment?number=WAT-RM-07</vt:lpwstr>
      </vt:variant>
      <vt:variant>
        <vt:lpwstr/>
      </vt:variant>
      <vt:variant>
        <vt:i4>7602230</vt:i4>
      </vt:variant>
      <vt:variant>
        <vt:i4>141</vt:i4>
      </vt:variant>
      <vt:variant>
        <vt:i4>0</vt:i4>
      </vt:variant>
      <vt:variant>
        <vt:i4>5</vt:i4>
      </vt:variant>
      <vt:variant>
        <vt:lpwstr>https://www.sepa.org.uk/regulations/water/pollution-control/pollution-control-guidance/</vt:lpwstr>
      </vt:variant>
      <vt:variant>
        <vt:lpwstr/>
      </vt:variant>
      <vt:variant>
        <vt:i4>3473480</vt:i4>
      </vt:variant>
      <vt:variant>
        <vt:i4>135</vt:i4>
      </vt:variant>
      <vt:variant>
        <vt:i4>0</vt:i4>
      </vt:variant>
      <vt:variant>
        <vt:i4>5</vt:i4>
      </vt:variant>
      <vt:variant>
        <vt:lpwstr/>
      </vt:variant>
      <vt:variant>
        <vt:lpwstr>_3.2_Permit_level</vt:lpwstr>
      </vt:variant>
      <vt:variant>
        <vt:i4>7798870</vt:i4>
      </vt:variant>
      <vt:variant>
        <vt:i4>132</vt:i4>
      </vt:variant>
      <vt:variant>
        <vt:i4>0</vt:i4>
      </vt:variant>
      <vt:variant>
        <vt:i4>5</vt:i4>
      </vt:variant>
      <vt:variant>
        <vt:lpwstr/>
      </vt:variant>
      <vt:variant>
        <vt:lpwstr>_3.2.12_What_are</vt:lpwstr>
      </vt:variant>
      <vt:variant>
        <vt:i4>3539032</vt:i4>
      </vt:variant>
      <vt:variant>
        <vt:i4>129</vt:i4>
      </vt:variant>
      <vt:variant>
        <vt:i4>0</vt:i4>
      </vt:variant>
      <vt:variant>
        <vt:i4>5</vt:i4>
      </vt:variant>
      <vt:variant>
        <vt:lpwstr>mailto:equalities@sepa.org.uk</vt:lpwstr>
      </vt:variant>
      <vt:variant>
        <vt:lpwstr/>
      </vt:variant>
      <vt:variant>
        <vt:i4>1441842</vt:i4>
      </vt:variant>
      <vt:variant>
        <vt:i4>122</vt:i4>
      </vt:variant>
      <vt:variant>
        <vt:i4>0</vt:i4>
      </vt:variant>
      <vt:variant>
        <vt:i4>5</vt:i4>
      </vt:variant>
      <vt:variant>
        <vt:lpwstr/>
      </vt:variant>
      <vt:variant>
        <vt:lpwstr>_Toc187927674</vt:lpwstr>
      </vt:variant>
      <vt:variant>
        <vt:i4>1441842</vt:i4>
      </vt:variant>
      <vt:variant>
        <vt:i4>116</vt:i4>
      </vt:variant>
      <vt:variant>
        <vt:i4>0</vt:i4>
      </vt:variant>
      <vt:variant>
        <vt:i4>5</vt:i4>
      </vt:variant>
      <vt:variant>
        <vt:lpwstr/>
      </vt:variant>
      <vt:variant>
        <vt:lpwstr>_Toc187927673</vt:lpwstr>
      </vt:variant>
      <vt:variant>
        <vt:i4>1441842</vt:i4>
      </vt:variant>
      <vt:variant>
        <vt:i4>110</vt:i4>
      </vt:variant>
      <vt:variant>
        <vt:i4>0</vt:i4>
      </vt:variant>
      <vt:variant>
        <vt:i4>5</vt:i4>
      </vt:variant>
      <vt:variant>
        <vt:lpwstr/>
      </vt:variant>
      <vt:variant>
        <vt:lpwstr>_Toc187927672</vt:lpwstr>
      </vt:variant>
      <vt:variant>
        <vt:i4>1441842</vt:i4>
      </vt:variant>
      <vt:variant>
        <vt:i4>104</vt:i4>
      </vt:variant>
      <vt:variant>
        <vt:i4>0</vt:i4>
      </vt:variant>
      <vt:variant>
        <vt:i4>5</vt:i4>
      </vt:variant>
      <vt:variant>
        <vt:lpwstr/>
      </vt:variant>
      <vt:variant>
        <vt:lpwstr>_Toc187927671</vt:lpwstr>
      </vt:variant>
      <vt:variant>
        <vt:i4>1441842</vt:i4>
      </vt:variant>
      <vt:variant>
        <vt:i4>98</vt:i4>
      </vt:variant>
      <vt:variant>
        <vt:i4>0</vt:i4>
      </vt:variant>
      <vt:variant>
        <vt:i4>5</vt:i4>
      </vt:variant>
      <vt:variant>
        <vt:lpwstr/>
      </vt:variant>
      <vt:variant>
        <vt:lpwstr>_Toc187927670</vt:lpwstr>
      </vt:variant>
      <vt:variant>
        <vt:i4>1507378</vt:i4>
      </vt:variant>
      <vt:variant>
        <vt:i4>92</vt:i4>
      </vt:variant>
      <vt:variant>
        <vt:i4>0</vt:i4>
      </vt:variant>
      <vt:variant>
        <vt:i4>5</vt:i4>
      </vt:variant>
      <vt:variant>
        <vt:lpwstr/>
      </vt:variant>
      <vt:variant>
        <vt:lpwstr>_Toc187927669</vt:lpwstr>
      </vt:variant>
      <vt:variant>
        <vt:i4>1507378</vt:i4>
      </vt:variant>
      <vt:variant>
        <vt:i4>86</vt:i4>
      </vt:variant>
      <vt:variant>
        <vt:i4>0</vt:i4>
      </vt:variant>
      <vt:variant>
        <vt:i4>5</vt:i4>
      </vt:variant>
      <vt:variant>
        <vt:lpwstr/>
      </vt:variant>
      <vt:variant>
        <vt:lpwstr>_Toc187927668</vt:lpwstr>
      </vt:variant>
      <vt:variant>
        <vt:i4>1507378</vt:i4>
      </vt:variant>
      <vt:variant>
        <vt:i4>80</vt:i4>
      </vt:variant>
      <vt:variant>
        <vt:i4>0</vt:i4>
      </vt:variant>
      <vt:variant>
        <vt:i4>5</vt:i4>
      </vt:variant>
      <vt:variant>
        <vt:lpwstr/>
      </vt:variant>
      <vt:variant>
        <vt:lpwstr>_Toc187927667</vt:lpwstr>
      </vt:variant>
      <vt:variant>
        <vt:i4>1507378</vt:i4>
      </vt:variant>
      <vt:variant>
        <vt:i4>74</vt:i4>
      </vt:variant>
      <vt:variant>
        <vt:i4>0</vt:i4>
      </vt:variant>
      <vt:variant>
        <vt:i4>5</vt:i4>
      </vt:variant>
      <vt:variant>
        <vt:lpwstr/>
      </vt:variant>
      <vt:variant>
        <vt:lpwstr>_Toc187927666</vt:lpwstr>
      </vt:variant>
      <vt:variant>
        <vt:i4>1507378</vt:i4>
      </vt:variant>
      <vt:variant>
        <vt:i4>68</vt:i4>
      </vt:variant>
      <vt:variant>
        <vt:i4>0</vt:i4>
      </vt:variant>
      <vt:variant>
        <vt:i4>5</vt:i4>
      </vt:variant>
      <vt:variant>
        <vt:lpwstr/>
      </vt:variant>
      <vt:variant>
        <vt:lpwstr>_Toc187927665</vt:lpwstr>
      </vt:variant>
      <vt:variant>
        <vt:i4>1507378</vt:i4>
      </vt:variant>
      <vt:variant>
        <vt:i4>62</vt:i4>
      </vt:variant>
      <vt:variant>
        <vt:i4>0</vt:i4>
      </vt:variant>
      <vt:variant>
        <vt:i4>5</vt:i4>
      </vt:variant>
      <vt:variant>
        <vt:lpwstr/>
      </vt:variant>
      <vt:variant>
        <vt:lpwstr>_Toc187927664</vt:lpwstr>
      </vt:variant>
      <vt:variant>
        <vt:i4>1507378</vt:i4>
      </vt:variant>
      <vt:variant>
        <vt:i4>56</vt:i4>
      </vt:variant>
      <vt:variant>
        <vt:i4>0</vt:i4>
      </vt:variant>
      <vt:variant>
        <vt:i4>5</vt:i4>
      </vt:variant>
      <vt:variant>
        <vt:lpwstr/>
      </vt:variant>
      <vt:variant>
        <vt:lpwstr>_Toc187927663</vt:lpwstr>
      </vt:variant>
      <vt:variant>
        <vt:i4>1507378</vt:i4>
      </vt:variant>
      <vt:variant>
        <vt:i4>50</vt:i4>
      </vt:variant>
      <vt:variant>
        <vt:i4>0</vt:i4>
      </vt:variant>
      <vt:variant>
        <vt:i4>5</vt:i4>
      </vt:variant>
      <vt:variant>
        <vt:lpwstr/>
      </vt:variant>
      <vt:variant>
        <vt:lpwstr>_Toc187927662</vt:lpwstr>
      </vt:variant>
      <vt:variant>
        <vt:i4>1507378</vt:i4>
      </vt:variant>
      <vt:variant>
        <vt:i4>44</vt:i4>
      </vt:variant>
      <vt:variant>
        <vt:i4>0</vt:i4>
      </vt:variant>
      <vt:variant>
        <vt:i4>5</vt:i4>
      </vt:variant>
      <vt:variant>
        <vt:lpwstr/>
      </vt:variant>
      <vt:variant>
        <vt:lpwstr>_Toc187927661</vt:lpwstr>
      </vt:variant>
      <vt:variant>
        <vt:i4>1507378</vt:i4>
      </vt:variant>
      <vt:variant>
        <vt:i4>38</vt:i4>
      </vt:variant>
      <vt:variant>
        <vt:i4>0</vt:i4>
      </vt:variant>
      <vt:variant>
        <vt:i4>5</vt:i4>
      </vt:variant>
      <vt:variant>
        <vt:lpwstr/>
      </vt:variant>
      <vt:variant>
        <vt:lpwstr>_Toc187927660</vt:lpwstr>
      </vt:variant>
      <vt:variant>
        <vt:i4>1310770</vt:i4>
      </vt:variant>
      <vt:variant>
        <vt:i4>32</vt:i4>
      </vt:variant>
      <vt:variant>
        <vt:i4>0</vt:i4>
      </vt:variant>
      <vt:variant>
        <vt:i4>5</vt:i4>
      </vt:variant>
      <vt:variant>
        <vt:lpwstr/>
      </vt:variant>
      <vt:variant>
        <vt:lpwstr>_Toc187927659</vt:lpwstr>
      </vt:variant>
      <vt:variant>
        <vt:i4>1310770</vt:i4>
      </vt:variant>
      <vt:variant>
        <vt:i4>26</vt:i4>
      </vt:variant>
      <vt:variant>
        <vt:i4>0</vt:i4>
      </vt:variant>
      <vt:variant>
        <vt:i4>5</vt:i4>
      </vt:variant>
      <vt:variant>
        <vt:lpwstr/>
      </vt:variant>
      <vt:variant>
        <vt:lpwstr>_Toc187927658</vt:lpwstr>
      </vt:variant>
      <vt:variant>
        <vt:i4>1310770</vt:i4>
      </vt:variant>
      <vt:variant>
        <vt:i4>20</vt:i4>
      </vt:variant>
      <vt:variant>
        <vt:i4>0</vt:i4>
      </vt:variant>
      <vt:variant>
        <vt:i4>5</vt:i4>
      </vt:variant>
      <vt:variant>
        <vt:lpwstr/>
      </vt:variant>
      <vt:variant>
        <vt:lpwstr>_Toc187927657</vt:lpwstr>
      </vt:variant>
      <vt:variant>
        <vt:i4>1310770</vt:i4>
      </vt:variant>
      <vt:variant>
        <vt:i4>14</vt:i4>
      </vt:variant>
      <vt:variant>
        <vt:i4>0</vt:i4>
      </vt:variant>
      <vt:variant>
        <vt:i4>5</vt:i4>
      </vt:variant>
      <vt:variant>
        <vt:lpwstr/>
      </vt:variant>
      <vt:variant>
        <vt:lpwstr>_Toc187927656</vt:lpwstr>
      </vt:variant>
      <vt:variant>
        <vt:i4>1310770</vt:i4>
      </vt:variant>
      <vt:variant>
        <vt:i4>8</vt:i4>
      </vt:variant>
      <vt:variant>
        <vt:i4>0</vt:i4>
      </vt:variant>
      <vt:variant>
        <vt:i4>5</vt:i4>
      </vt:variant>
      <vt:variant>
        <vt:lpwstr/>
      </vt:variant>
      <vt:variant>
        <vt:lpwstr>_Toc187927655</vt:lpwstr>
      </vt:variant>
      <vt:variant>
        <vt:i4>1310770</vt:i4>
      </vt:variant>
      <vt:variant>
        <vt:i4>2</vt:i4>
      </vt:variant>
      <vt:variant>
        <vt:i4>0</vt:i4>
      </vt:variant>
      <vt:variant>
        <vt:i4>5</vt:i4>
      </vt:variant>
      <vt:variant>
        <vt:lpwstr/>
      </vt:variant>
      <vt:variant>
        <vt:lpwstr>_Toc187927654</vt:lpwstr>
      </vt:variant>
      <vt:variant>
        <vt:i4>1704042</vt:i4>
      </vt:variant>
      <vt:variant>
        <vt:i4>0</vt:i4>
      </vt:variant>
      <vt:variant>
        <vt:i4>0</vt:i4>
      </vt:variant>
      <vt:variant>
        <vt:i4>5</vt:i4>
      </vt:variant>
      <vt:variant>
        <vt:lpwstr>https://view.officeapps.live.com/op/view.aspx?src=https%3A%2F%2Fassets.publishing.service.gov.uk%2Fgovernment%2Fuploads%2Fsystem%2Fuploads%2Fattachment_data%2Ffile%2F1027483%2FFaecal-contamination-challenges-for-the-water-environment.odt&amp;wdOrigin=BROWSELINK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2025-06-05T12:52:00Z</dcterms:created>
  <dcterms:modified xsi:type="dcterms:W3CDTF">2025-06-05T12:52:00Z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