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2AF65E12" w14:textId="77777777" w:rsidR="004073BC" w:rsidRDefault="00F72274" w:rsidP="00F72274">
          <w:r>
            <w:rPr>
              <w:noProof/>
            </w:rPr>
            <w:drawing>
              <wp:anchor distT="0" distB="0" distL="114300" distR="114300" simplePos="0" relativeHeight="251666432" behindDoc="1" locked="0" layoutInCell="1" allowOverlap="1" wp14:anchorId="7D5AB219" wp14:editId="5F02A9E7">
                <wp:simplePos x="0" y="0"/>
                <wp:positionH relativeFrom="column">
                  <wp:posOffset>-542290</wp:posOffset>
                </wp:positionH>
                <wp:positionV relativeFrom="paragraph">
                  <wp:posOffset>-723900</wp:posOffset>
                </wp:positionV>
                <wp:extent cx="7559645" cy="10881995"/>
                <wp:effectExtent l="0" t="0" r="381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8199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CD91F40" wp14:editId="5090A148">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883AF3B" w14:textId="77777777" w:rsidR="004073BC" w:rsidRDefault="004073BC" w:rsidP="008C1A73"/>
        <w:p w14:paraId="2A660848" w14:textId="77777777" w:rsidR="005F72CB" w:rsidRDefault="005F72CB" w:rsidP="00801105">
          <w:pPr>
            <w:rPr>
              <w:rStyle w:val="TitleChar"/>
            </w:rPr>
          </w:pPr>
        </w:p>
        <w:p w14:paraId="502F204C" w14:textId="20384970" w:rsidR="005F72CB" w:rsidRPr="0054240C" w:rsidRDefault="00281BB1" w:rsidP="00801105">
          <w:pPr>
            <w:rPr>
              <w:rStyle w:val="TitleChar"/>
              <w:sz w:val="96"/>
              <w:szCs w:val="72"/>
            </w:rPr>
          </w:pPr>
          <w:r w:rsidRPr="0054240C">
            <w:rPr>
              <w:noProof/>
              <w:sz w:val="28"/>
              <w:szCs w:val="28"/>
            </w:rPr>
            <mc:AlternateContent>
              <mc:Choice Requires="wps">
                <w:drawing>
                  <wp:anchor distT="0" distB="0" distL="114300" distR="114300" simplePos="0" relativeHeight="251665408" behindDoc="0" locked="1" layoutInCell="1" allowOverlap="1" wp14:anchorId="5788287D" wp14:editId="6B35EE26">
                    <wp:simplePos x="0" y="0"/>
                    <wp:positionH relativeFrom="margin">
                      <wp:align>left</wp:align>
                    </wp:positionH>
                    <wp:positionV relativeFrom="paragraph">
                      <wp:posOffset>6895465</wp:posOffset>
                    </wp:positionV>
                    <wp:extent cx="4308475" cy="495300"/>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495300"/>
                            </a:xfrm>
                            <a:prstGeom prst="rect">
                              <a:avLst/>
                            </a:prstGeom>
                            <a:noFill/>
                            <a:ln w="6350">
                              <a:noFill/>
                            </a:ln>
                          </wps:spPr>
                          <wps:txbx>
                            <w:txbxContent>
                              <w:p w14:paraId="48D452FD" w14:textId="37BF38B6" w:rsidR="00281BB1" w:rsidRDefault="009B00E8" w:rsidP="00507E2D">
                                <w:pPr>
                                  <w:rPr>
                                    <w:color w:val="FFFFFF" w:themeColor="background1"/>
                                  </w:rPr>
                                </w:pPr>
                                <w:r>
                                  <w:rPr>
                                    <w:color w:val="FFFFFF" w:themeColor="background1"/>
                                  </w:rPr>
                                  <w:t xml:space="preserve">Version </w:t>
                                </w:r>
                                <w:r w:rsidR="00E824C7">
                                  <w:rPr>
                                    <w:color w:val="FFFFFF" w:themeColor="background1"/>
                                  </w:rPr>
                                  <w:t>2</w:t>
                                </w:r>
                                <w:r>
                                  <w:rPr>
                                    <w:color w:val="FFFFFF" w:themeColor="background1"/>
                                  </w:rPr>
                                  <w:t xml:space="preserve">.0: </w:t>
                                </w:r>
                                <w:r w:rsidR="005F72CB">
                                  <w:rPr>
                                    <w:color w:val="FFFFFF" w:themeColor="background1"/>
                                  </w:rPr>
                                  <w:t>August</w:t>
                                </w:r>
                                <w:r w:rsidR="00B90DE0">
                                  <w:rPr>
                                    <w:color w:val="FFFFFF" w:themeColor="background1"/>
                                  </w:rPr>
                                  <w:t xml:space="preserve"> 2025</w:t>
                                </w:r>
                              </w:p>
                              <w:p w14:paraId="738ABF57" w14:textId="27B2E5AF" w:rsidR="0054240C" w:rsidRPr="00507E2D" w:rsidRDefault="0054240C" w:rsidP="00507E2D">
                                <w:pPr>
                                  <w:rPr>
                                    <w:color w:val="FFFFFF" w:themeColor="background1"/>
                                  </w:rPr>
                                </w:pPr>
                                <w:r>
                                  <w:rPr>
                                    <w:color w:val="FFFFFF" w:themeColor="background1"/>
                                  </w:rPr>
                                  <w:t>IND-LF-G-003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8287D" id="_x0000_t202" coordsize="21600,21600" o:spt="202" path="m,l,21600r21600,l21600,xe">
                    <v:stroke joinstyle="miter"/>
                    <v:path gradientshapeok="t" o:connecttype="rect"/>
                  </v:shapetype>
                  <v:shape id="Text Box 3" o:spid="_x0000_s1026" type="#_x0000_t202" alt="&quot;&quot;" style="position:absolute;margin-left:0;margin-top:542.95pt;width:339.25pt;height:39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" filled="f" stroked="f" strokeweight=".5pt">
                    <v:textbox inset="0,0,0,0">
                      <w:txbxContent>
                        <w:p w14:paraId="48D452FD" w14:textId="37BF38B6" w:rsidR="00281BB1" w:rsidRDefault="009B00E8" w:rsidP="00507E2D">
                          <w:pPr>
                            <w:rPr>
                              <w:color w:val="FFFFFF" w:themeColor="background1"/>
                            </w:rPr>
                          </w:pPr>
                          <w:r>
                            <w:rPr>
                              <w:color w:val="FFFFFF" w:themeColor="background1"/>
                            </w:rPr>
                            <w:t xml:space="preserve">Version </w:t>
                          </w:r>
                          <w:r w:rsidR="00E824C7">
                            <w:rPr>
                              <w:color w:val="FFFFFF" w:themeColor="background1"/>
                            </w:rPr>
                            <w:t>2</w:t>
                          </w:r>
                          <w:r>
                            <w:rPr>
                              <w:color w:val="FFFFFF" w:themeColor="background1"/>
                            </w:rPr>
                            <w:t xml:space="preserve">.0: </w:t>
                          </w:r>
                          <w:r w:rsidR="005F72CB">
                            <w:rPr>
                              <w:color w:val="FFFFFF" w:themeColor="background1"/>
                            </w:rPr>
                            <w:t>August</w:t>
                          </w:r>
                          <w:r w:rsidR="00B90DE0">
                            <w:rPr>
                              <w:color w:val="FFFFFF" w:themeColor="background1"/>
                            </w:rPr>
                            <w:t xml:space="preserve"> 2025</w:t>
                          </w:r>
                        </w:p>
                        <w:p w14:paraId="738ABF57" w14:textId="27B2E5AF" w:rsidR="0054240C" w:rsidRPr="00507E2D" w:rsidRDefault="0054240C" w:rsidP="00507E2D">
                          <w:pPr>
                            <w:rPr>
                              <w:color w:val="FFFFFF" w:themeColor="background1"/>
                            </w:rPr>
                          </w:pPr>
                          <w:r>
                            <w:rPr>
                              <w:color w:val="FFFFFF" w:themeColor="background1"/>
                            </w:rPr>
                            <w:t>IND-LF-G-003</w:t>
                          </w:r>
                        </w:p>
                      </w:txbxContent>
                    </v:textbox>
                    <w10:wrap anchorx="margin"/>
                    <w10:anchorlock/>
                  </v:shape>
                </w:pict>
              </mc:Fallback>
            </mc:AlternateContent>
          </w:r>
          <w:r w:rsidR="005F72CB" w:rsidRPr="0054240C">
            <w:rPr>
              <w:rStyle w:val="TitleChar"/>
              <w:sz w:val="96"/>
              <w:szCs w:val="72"/>
            </w:rPr>
            <w:t>SEPA g</w:t>
          </w:r>
          <w:r w:rsidR="00F045FC" w:rsidRPr="0054240C">
            <w:rPr>
              <w:rStyle w:val="TitleChar"/>
              <w:sz w:val="96"/>
              <w:szCs w:val="72"/>
            </w:rPr>
            <w:t>uidance</w:t>
          </w:r>
          <w:r w:rsidR="005F72CB" w:rsidRPr="0054240C">
            <w:rPr>
              <w:rStyle w:val="TitleChar"/>
              <w:sz w:val="96"/>
              <w:szCs w:val="72"/>
            </w:rPr>
            <w:t>:</w:t>
          </w:r>
        </w:p>
        <w:p w14:paraId="0F737A56" w14:textId="53EC02E7" w:rsidR="00AC7D5F" w:rsidRPr="0054240C" w:rsidRDefault="00AC7D5F" w:rsidP="00801105">
          <w:pPr>
            <w:rPr>
              <w:rFonts w:asciiTheme="majorHAnsi" w:eastAsiaTheme="majorEastAsia" w:hAnsiTheme="majorHAnsi" w:cstheme="majorBidi"/>
              <w:b/>
              <w:color w:val="FFFFFF" w:themeColor="background1"/>
              <w:spacing w:val="-10"/>
              <w:kern w:val="28"/>
              <w:sz w:val="96"/>
              <w:szCs w:val="72"/>
            </w:rPr>
          </w:pPr>
          <w:r w:rsidRPr="0054240C">
            <w:rPr>
              <w:b/>
              <w:bCs/>
              <w:color w:val="FFFFFF" w:themeColor="background1"/>
              <w:sz w:val="96"/>
              <w:szCs w:val="96"/>
            </w:rPr>
            <w:t xml:space="preserve">Prior </w:t>
          </w:r>
          <w:r w:rsidR="005F72CB" w:rsidRPr="0054240C">
            <w:rPr>
              <w:b/>
              <w:bCs/>
              <w:color w:val="FFFFFF" w:themeColor="background1"/>
              <w:sz w:val="96"/>
              <w:szCs w:val="96"/>
            </w:rPr>
            <w:t>t</w:t>
          </w:r>
          <w:r w:rsidRPr="0054240C">
            <w:rPr>
              <w:b/>
              <w:bCs/>
              <w:color w:val="FFFFFF" w:themeColor="background1"/>
              <w:sz w:val="96"/>
              <w:szCs w:val="96"/>
            </w:rPr>
            <w:t xml:space="preserve">reatment of </w:t>
          </w:r>
          <w:r w:rsidR="005F72CB" w:rsidRPr="0054240C">
            <w:rPr>
              <w:b/>
              <w:bCs/>
              <w:color w:val="FFFFFF" w:themeColor="background1"/>
              <w:sz w:val="96"/>
              <w:szCs w:val="96"/>
            </w:rPr>
            <w:t>w</w:t>
          </w:r>
          <w:r w:rsidRPr="0054240C">
            <w:rPr>
              <w:b/>
              <w:bCs/>
              <w:color w:val="FFFFFF" w:themeColor="background1"/>
              <w:sz w:val="96"/>
              <w:szCs w:val="96"/>
            </w:rPr>
            <w:t xml:space="preserve">aste for </w:t>
          </w:r>
          <w:r w:rsidR="005F72CB" w:rsidRPr="0054240C">
            <w:rPr>
              <w:b/>
              <w:bCs/>
              <w:color w:val="FFFFFF" w:themeColor="background1"/>
              <w:sz w:val="96"/>
              <w:szCs w:val="96"/>
            </w:rPr>
            <w:t>l</w:t>
          </w:r>
          <w:r w:rsidRPr="0054240C">
            <w:rPr>
              <w:b/>
              <w:bCs/>
              <w:color w:val="FFFFFF" w:themeColor="background1"/>
              <w:sz w:val="96"/>
              <w:szCs w:val="96"/>
            </w:rPr>
            <w:t>andfill</w:t>
          </w:r>
        </w:p>
        <w:p w14:paraId="605836F6" w14:textId="77777777" w:rsidR="008C1A73" w:rsidRDefault="008C1A73" w:rsidP="00CF7EFB">
          <w:r>
            <w:br w:type="page"/>
          </w:r>
        </w:p>
      </w:sdtContent>
    </w:sdt>
    <w:sdt>
      <w:sdtPr>
        <w:id w:val="-1983225308"/>
        <w:docPartObj>
          <w:docPartGallery w:val="Table of Contents"/>
          <w:docPartUnique/>
        </w:docPartObj>
      </w:sdtPr>
      <w:sdtEndPr>
        <w:rPr>
          <w:b/>
          <w:bCs/>
          <w:noProof/>
        </w:rPr>
      </w:sdtEndPr>
      <w:sdtContent>
        <w:p w14:paraId="3C93FAB5" w14:textId="77777777" w:rsidR="001F4497" w:rsidRPr="00AF2E0F" w:rsidRDefault="001F4497" w:rsidP="00AF2E0F">
          <w:pPr>
            <w:spacing w:after="240"/>
            <w:rPr>
              <w:rFonts w:ascii="Arial" w:hAnsi="Arial" w:cs="Arial"/>
              <w:sz w:val="20"/>
              <w:szCs w:val="20"/>
            </w:rPr>
          </w:pPr>
          <w:r w:rsidRPr="00AF2E0F">
            <w:rPr>
              <w:rFonts w:ascii="Arial" w:hAnsi="Arial" w:cs="Arial"/>
              <w:b/>
              <w:bCs/>
            </w:rPr>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6995ABA8" w14:textId="77777777" w:rsidR="001F4497" w:rsidRPr="001F4497" w:rsidRDefault="001F4497" w:rsidP="001F4497"/>
        <w:p w14:paraId="10FCD3B8" w14:textId="00102477" w:rsidR="001F4497" w:rsidRPr="001F4497" w:rsidRDefault="001F4497" w:rsidP="00251D04">
          <w:pPr>
            <w:pStyle w:val="Heading1"/>
            <w:spacing w:after="120"/>
            <w:rPr>
              <w:noProof/>
            </w:rPr>
          </w:pPr>
          <w:bookmarkStart w:id="0" w:name="_Toc195080864"/>
          <w:r>
            <w:t>Contents</w:t>
          </w:r>
          <w:bookmarkEnd w:id="0"/>
          <w:r w:rsidRPr="00085D68">
            <w:rPr>
              <w:rFonts w:ascii="Arial" w:eastAsia="Arial" w:hAnsi="Arial" w:cs="Arial"/>
              <w:b w:val="0"/>
              <w:color w:val="000000"/>
              <w:kern w:val="2"/>
              <w:sz w:val="24"/>
              <w:szCs w:val="24"/>
              <w:lang w:eastAsia="en-GB"/>
              <w14:ligatures w14:val="standardContextual"/>
            </w:rPr>
            <w:fldChar w:fldCharType="begin"/>
          </w:r>
          <w:r w:rsidRPr="00085D68">
            <w:rPr>
              <w:sz w:val="24"/>
              <w:szCs w:val="24"/>
            </w:rPr>
            <w:instrText xml:space="preserve"> TOC \o "1-3" \h \z \u </w:instrText>
          </w:r>
          <w:r w:rsidRPr="00085D68">
            <w:rPr>
              <w:rFonts w:ascii="Arial" w:eastAsia="Arial" w:hAnsi="Arial" w:cs="Arial"/>
              <w:b w:val="0"/>
              <w:color w:val="000000"/>
              <w:kern w:val="2"/>
              <w:sz w:val="24"/>
              <w:szCs w:val="24"/>
              <w:lang w:eastAsia="en-GB"/>
              <w14:ligatures w14:val="standardContextual"/>
            </w:rPr>
            <w:fldChar w:fldCharType="separate"/>
          </w:r>
        </w:p>
        <w:p w14:paraId="4E52E620" w14:textId="04FAE6E5" w:rsidR="001F4497" w:rsidRPr="001F4497" w:rsidRDefault="001F4497" w:rsidP="00251D04">
          <w:pPr>
            <w:pStyle w:val="TOC1"/>
            <w:tabs>
              <w:tab w:val="left" w:pos="720"/>
              <w:tab w:val="right" w:leader="dot" w:pos="10212"/>
            </w:tabs>
            <w:spacing w:after="240" w:line="360" w:lineRule="auto"/>
            <w:rPr>
              <w:rFonts w:asciiTheme="minorHAnsi" w:eastAsiaTheme="minorEastAsia" w:hAnsiTheme="minorHAnsi" w:cstheme="minorBidi"/>
              <w:noProof/>
              <w:color w:val="auto"/>
              <w:sz w:val="24"/>
            </w:rPr>
          </w:pPr>
          <w:hyperlink w:anchor="_Toc195080865" w:history="1">
            <w:r w:rsidRPr="001F4497">
              <w:rPr>
                <w:rStyle w:val="Hyperlink"/>
                <w:noProof/>
                <w:sz w:val="24"/>
              </w:rPr>
              <w:t>Introduction</w:t>
            </w:r>
            <w:r w:rsidRPr="001F4497">
              <w:rPr>
                <w:noProof/>
                <w:webHidden/>
                <w:sz w:val="24"/>
              </w:rPr>
              <w:tab/>
            </w:r>
            <w:r w:rsidRPr="001F4497">
              <w:rPr>
                <w:noProof/>
                <w:webHidden/>
                <w:sz w:val="24"/>
              </w:rPr>
              <w:fldChar w:fldCharType="begin"/>
            </w:r>
            <w:r w:rsidRPr="001F4497">
              <w:rPr>
                <w:noProof/>
                <w:webHidden/>
                <w:sz w:val="24"/>
              </w:rPr>
              <w:instrText xml:space="preserve"> PAGEREF _Toc195080865 \h </w:instrText>
            </w:r>
            <w:r w:rsidRPr="001F4497">
              <w:rPr>
                <w:noProof/>
                <w:webHidden/>
                <w:sz w:val="24"/>
              </w:rPr>
            </w:r>
            <w:r w:rsidRPr="001F4497">
              <w:rPr>
                <w:noProof/>
                <w:webHidden/>
                <w:sz w:val="24"/>
              </w:rPr>
              <w:fldChar w:fldCharType="separate"/>
            </w:r>
            <w:r w:rsidR="00852444">
              <w:rPr>
                <w:noProof/>
                <w:webHidden/>
                <w:sz w:val="24"/>
              </w:rPr>
              <w:t>2</w:t>
            </w:r>
            <w:r w:rsidRPr="001F4497">
              <w:rPr>
                <w:noProof/>
                <w:webHidden/>
                <w:sz w:val="24"/>
              </w:rPr>
              <w:fldChar w:fldCharType="end"/>
            </w:r>
          </w:hyperlink>
        </w:p>
        <w:p w14:paraId="5D5340E0" w14:textId="3288D3D9" w:rsidR="001F4497" w:rsidRPr="001F4497" w:rsidRDefault="001F4497" w:rsidP="00251D04">
          <w:pPr>
            <w:pStyle w:val="TOC2"/>
            <w:tabs>
              <w:tab w:val="right" w:leader="dot" w:pos="10212"/>
            </w:tabs>
            <w:spacing w:after="240"/>
            <w:ind w:left="0"/>
            <w:rPr>
              <w:noProof/>
            </w:rPr>
          </w:pPr>
          <w:hyperlink w:anchor="_Toc195080866" w:history="1">
            <w:r w:rsidRPr="001F4497">
              <w:rPr>
                <w:rStyle w:val="Hyperlink"/>
                <w:noProof/>
              </w:rPr>
              <w:t>Purpose of this Guidance Regulatory Context</w:t>
            </w:r>
            <w:r w:rsidRPr="001F4497">
              <w:rPr>
                <w:noProof/>
                <w:webHidden/>
              </w:rPr>
              <w:tab/>
            </w:r>
            <w:r w:rsidRPr="001F4497">
              <w:rPr>
                <w:noProof/>
                <w:webHidden/>
              </w:rPr>
              <w:fldChar w:fldCharType="begin"/>
            </w:r>
            <w:r w:rsidRPr="001F4497">
              <w:rPr>
                <w:noProof/>
                <w:webHidden/>
              </w:rPr>
              <w:instrText xml:space="preserve"> PAGEREF _Toc195080866 \h </w:instrText>
            </w:r>
            <w:r w:rsidRPr="001F4497">
              <w:rPr>
                <w:noProof/>
                <w:webHidden/>
              </w:rPr>
            </w:r>
            <w:r w:rsidRPr="001F4497">
              <w:rPr>
                <w:noProof/>
                <w:webHidden/>
              </w:rPr>
              <w:fldChar w:fldCharType="separate"/>
            </w:r>
            <w:r w:rsidR="00852444">
              <w:rPr>
                <w:noProof/>
                <w:webHidden/>
              </w:rPr>
              <w:t>2</w:t>
            </w:r>
            <w:r w:rsidRPr="001F4497">
              <w:rPr>
                <w:noProof/>
                <w:webHidden/>
              </w:rPr>
              <w:fldChar w:fldCharType="end"/>
            </w:r>
          </w:hyperlink>
        </w:p>
        <w:p w14:paraId="5DECB6C0" w14:textId="549C6B39" w:rsidR="001F4497" w:rsidRPr="001F4497" w:rsidRDefault="001F4497" w:rsidP="00251D04">
          <w:pPr>
            <w:pStyle w:val="TOC1"/>
            <w:tabs>
              <w:tab w:val="left" w:pos="720"/>
              <w:tab w:val="right" w:leader="dot" w:pos="10212"/>
            </w:tabs>
            <w:spacing w:after="240" w:line="360" w:lineRule="auto"/>
            <w:rPr>
              <w:rFonts w:asciiTheme="minorHAnsi" w:eastAsiaTheme="minorEastAsia" w:hAnsiTheme="minorHAnsi" w:cstheme="minorBidi"/>
              <w:noProof/>
              <w:color w:val="auto"/>
              <w:sz w:val="24"/>
            </w:rPr>
          </w:pPr>
          <w:hyperlink w:anchor="_Toc195080867" w:history="1">
            <w:r w:rsidRPr="001F4497">
              <w:rPr>
                <w:rStyle w:val="Hyperlink"/>
                <w:noProof/>
                <w:sz w:val="24"/>
              </w:rPr>
              <w:t>Assessment of Prior Treatment</w:t>
            </w:r>
            <w:r w:rsidRPr="001F4497">
              <w:rPr>
                <w:noProof/>
                <w:webHidden/>
                <w:sz w:val="24"/>
              </w:rPr>
              <w:tab/>
            </w:r>
            <w:r w:rsidRPr="001F4497">
              <w:rPr>
                <w:noProof/>
                <w:webHidden/>
                <w:sz w:val="24"/>
              </w:rPr>
              <w:fldChar w:fldCharType="begin"/>
            </w:r>
            <w:r w:rsidRPr="001F4497">
              <w:rPr>
                <w:noProof/>
                <w:webHidden/>
                <w:sz w:val="24"/>
              </w:rPr>
              <w:instrText xml:space="preserve"> PAGEREF _Toc195080867 \h </w:instrText>
            </w:r>
            <w:r w:rsidRPr="001F4497">
              <w:rPr>
                <w:noProof/>
                <w:webHidden/>
                <w:sz w:val="24"/>
              </w:rPr>
            </w:r>
            <w:r w:rsidRPr="001F4497">
              <w:rPr>
                <w:noProof/>
                <w:webHidden/>
                <w:sz w:val="24"/>
              </w:rPr>
              <w:fldChar w:fldCharType="separate"/>
            </w:r>
            <w:r w:rsidR="00852444">
              <w:rPr>
                <w:noProof/>
                <w:webHidden/>
                <w:sz w:val="24"/>
              </w:rPr>
              <w:t>4</w:t>
            </w:r>
            <w:r w:rsidRPr="001F4497">
              <w:rPr>
                <w:noProof/>
                <w:webHidden/>
                <w:sz w:val="24"/>
              </w:rPr>
              <w:fldChar w:fldCharType="end"/>
            </w:r>
          </w:hyperlink>
        </w:p>
        <w:p w14:paraId="0FBDA545" w14:textId="77777777" w:rsidR="001F4497" w:rsidRDefault="001F4497" w:rsidP="001F4497">
          <w:pPr>
            <w:rPr>
              <w:b/>
              <w:bCs/>
              <w:noProof/>
            </w:rPr>
          </w:pPr>
          <w:r w:rsidRPr="00085D68">
            <w:rPr>
              <w:b/>
              <w:bCs/>
              <w:noProof/>
            </w:rPr>
            <w:fldChar w:fldCharType="end"/>
          </w:r>
        </w:p>
      </w:sdtContent>
    </w:sdt>
    <w:p w14:paraId="1CCEF232" w14:textId="77777777" w:rsidR="001F4497" w:rsidRDefault="001F4497" w:rsidP="001F4497">
      <w:pPr>
        <w:pStyle w:val="BodyText1"/>
        <w:rPr>
          <w:rFonts w:eastAsia="Times New Roman"/>
          <w:sz w:val="32"/>
          <w:szCs w:val="32"/>
        </w:rPr>
      </w:pPr>
    </w:p>
    <w:p w14:paraId="01AB25C9" w14:textId="77777777" w:rsidR="001B65F4" w:rsidRDefault="001B65F4" w:rsidP="001F4497">
      <w:pPr>
        <w:pStyle w:val="BodyText1"/>
        <w:rPr>
          <w:rFonts w:eastAsia="Times New Roman"/>
          <w:sz w:val="32"/>
          <w:szCs w:val="32"/>
        </w:rPr>
      </w:pPr>
    </w:p>
    <w:p w14:paraId="744AF9C9" w14:textId="154C6363" w:rsidR="001F4497" w:rsidRPr="00850058" w:rsidRDefault="001F4497" w:rsidP="00251D04">
      <w:pPr>
        <w:pStyle w:val="BodyText1"/>
        <w:rPr>
          <w:rFonts w:eastAsia="Times New Roman"/>
          <w:sz w:val="32"/>
          <w:szCs w:val="32"/>
        </w:rPr>
      </w:pPr>
      <w:r w:rsidRPr="00850058">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850058">
          <w:rPr>
            <w:rFonts w:eastAsia="Times New Roman"/>
            <w:color w:val="016574" w:themeColor="hyperlink"/>
            <w:sz w:val="32"/>
            <w:szCs w:val="32"/>
            <w:u w:val="single"/>
          </w:rPr>
          <w:t>equalities@sepa.org.uk</w:t>
        </w:r>
      </w:hyperlink>
      <w:r w:rsidR="005E21C7">
        <w:rPr>
          <w:rFonts w:eastAsia="Times New Roman"/>
          <w:sz w:val="32"/>
          <w:szCs w:val="32"/>
        </w:rPr>
        <w:t xml:space="preserve">  </w:t>
      </w:r>
    </w:p>
    <w:p w14:paraId="2E32CD0C" w14:textId="77777777" w:rsidR="005F72CB" w:rsidRPr="00CF7EFB" w:rsidRDefault="005F72CB" w:rsidP="00CF7EFB">
      <w:pPr>
        <w:rPr>
          <w:b/>
          <w:bCs/>
          <w:color w:val="FFFFFF" w:themeColor="background1"/>
          <w:sz w:val="84"/>
          <w:szCs w:val="84"/>
        </w:rPr>
      </w:pPr>
    </w:p>
    <w:p w14:paraId="58E52915" w14:textId="540E983D" w:rsidR="00157149" w:rsidRDefault="00157149" w:rsidP="00251D04">
      <w:pPr>
        <w:pStyle w:val="Heading1"/>
        <w:numPr>
          <w:ilvl w:val="0"/>
          <w:numId w:val="14"/>
        </w:numPr>
        <w:spacing w:after="120"/>
      </w:pPr>
      <w:bookmarkStart w:id="1" w:name="_Toc195080865"/>
      <w:r>
        <w:t>Introduction</w:t>
      </w:r>
      <w:bookmarkEnd w:id="1"/>
    </w:p>
    <w:p w14:paraId="2C951358" w14:textId="7B31D996" w:rsidR="00157149" w:rsidRDefault="00157149" w:rsidP="00251D04">
      <w:pPr>
        <w:pStyle w:val="Heading2"/>
        <w:spacing w:after="120"/>
      </w:pPr>
      <w:bookmarkStart w:id="2" w:name="_Toc195080866"/>
      <w:r>
        <w:t>Purpose of this Guidance Regulatory Context</w:t>
      </w:r>
      <w:bookmarkEnd w:id="2"/>
    </w:p>
    <w:p w14:paraId="448E0438" w14:textId="52CC04C2" w:rsidR="005258C4" w:rsidRPr="00157149" w:rsidRDefault="00E142AB" w:rsidP="001B65F4">
      <w:pPr>
        <w:spacing w:after="240"/>
      </w:pPr>
      <w:r w:rsidRPr="00E142AB">
        <w:t>This document provides guidance for SEPA Officers on the requirements of Regulation 12 (1) of the Landfill (Scotland) Regulations 2003 ‘the Landfill Regulations. This specific regulation will apply to a</w:t>
      </w:r>
      <w:r w:rsidR="005F72CB">
        <w:t>ll</w:t>
      </w:r>
      <w:r w:rsidRPr="00E142AB">
        <w:t xml:space="preserve"> landfill sites on issue of an</w:t>
      </w:r>
      <w:r>
        <w:t xml:space="preserve"> Environmental Authorisation (Scotland) Regulations 2018 (“EASR”) permit.</w:t>
      </w:r>
    </w:p>
    <w:p w14:paraId="0453E0CE" w14:textId="77777777" w:rsidR="005F72CB" w:rsidRDefault="005258C4" w:rsidP="00251D04">
      <w:pPr>
        <w:pStyle w:val="Heading2"/>
        <w:spacing w:after="120"/>
      </w:pPr>
      <w:r w:rsidRPr="005F72CB">
        <w:lastRenderedPageBreak/>
        <w:t>Regulatory Context</w:t>
      </w:r>
    </w:p>
    <w:p w14:paraId="56EE2C02" w14:textId="78093218" w:rsidR="005F72CB" w:rsidRPr="001F4497" w:rsidRDefault="0004786E" w:rsidP="00251D04">
      <w:pPr>
        <w:spacing w:after="240"/>
        <w:rPr>
          <w:rFonts w:asciiTheme="majorHAnsi" w:eastAsiaTheme="majorEastAsia" w:hAnsiTheme="majorHAnsi" w:cstheme="majorBidi"/>
          <w:b/>
          <w:color w:val="016574" w:themeColor="accent2"/>
          <w:sz w:val="32"/>
          <w:szCs w:val="26"/>
        </w:rPr>
      </w:pPr>
      <w:r w:rsidRPr="0004786E">
        <w:rPr>
          <w:rFonts w:eastAsiaTheme="majorEastAsia"/>
        </w:rPr>
        <w:t>Regulation 12 (1) of the Landfill Regulations requires that</w:t>
      </w:r>
      <w:r>
        <w:rPr>
          <w:rFonts w:eastAsiaTheme="majorEastAsia"/>
        </w:rPr>
        <w:t>:</w:t>
      </w:r>
    </w:p>
    <w:p w14:paraId="6174DBC0" w14:textId="0548E371" w:rsidR="00B93BC1" w:rsidRDefault="00B93BC1" w:rsidP="00251D04">
      <w:pPr>
        <w:spacing w:after="240"/>
        <w:ind w:left="1701" w:right="601" w:hanging="1134"/>
      </w:pPr>
      <w:proofErr w:type="gramStart"/>
      <w:r>
        <w:rPr>
          <w:b/>
        </w:rPr>
        <w:t xml:space="preserve">“ </w:t>
      </w:r>
      <w:r>
        <w:t>12</w:t>
      </w:r>
      <w:proofErr w:type="gramEnd"/>
      <w:r>
        <w:rPr>
          <w:b/>
        </w:rPr>
        <w:t>.</w:t>
      </w:r>
      <w:r>
        <w:t xml:space="preserve"> (1)</w:t>
      </w:r>
      <w:r w:rsidR="005E21C7">
        <w:t xml:space="preserve">  </w:t>
      </w:r>
      <w:r>
        <w:t xml:space="preserve">The operator of a landfill shall ensure that the landfill is only used for landfilling waste which is subject to prior treatment unless- </w:t>
      </w:r>
    </w:p>
    <w:p w14:paraId="0DE25B93" w14:textId="77777777" w:rsidR="00B93BC1" w:rsidRDefault="00B93BC1" w:rsidP="00251D04">
      <w:pPr>
        <w:numPr>
          <w:ilvl w:val="0"/>
          <w:numId w:val="15"/>
        </w:numPr>
        <w:spacing w:after="240"/>
        <w:ind w:left="1701" w:right="336" w:hanging="360"/>
      </w:pPr>
      <w:r>
        <w:t>it is inert waste for which treatment is not technically feasible; or</w:t>
      </w:r>
    </w:p>
    <w:p w14:paraId="79B0944A" w14:textId="404A84E6" w:rsidR="001F4497" w:rsidRDefault="00B93BC1" w:rsidP="00251D04">
      <w:pPr>
        <w:numPr>
          <w:ilvl w:val="0"/>
          <w:numId w:val="15"/>
        </w:numPr>
        <w:spacing w:after="240"/>
        <w:ind w:left="1701" w:right="336" w:hanging="360"/>
      </w:pPr>
      <w:r>
        <w:t>it is waste other than inert waste and treatment would not reduce its quantity or the hazards which it poses to human health or the environment</w:t>
      </w:r>
      <w:r w:rsidR="00492008">
        <w:t>.”</w:t>
      </w:r>
    </w:p>
    <w:p w14:paraId="31E56982" w14:textId="6E3D92DE" w:rsidR="00E37846" w:rsidRDefault="00E37846" w:rsidP="00251D04">
      <w:pPr>
        <w:spacing w:after="240"/>
        <w:ind w:right="336"/>
      </w:pPr>
      <w:r>
        <w:t xml:space="preserve">These requirements form the first test that must be applied as to </w:t>
      </w:r>
      <w:proofErr w:type="gramStart"/>
      <w:r>
        <w:t>whether or not</w:t>
      </w:r>
      <w:proofErr w:type="gramEnd"/>
      <w:r>
        <w:t xml:space="preserve"> a particular waste stream is to be treated prior to being landfilled. </w:t>
      </w:r>
    </w:p>
    <w:p w14:paraId="241C5AD8" w14:textId="2F29718D" w:rsidR="00E37846" w:rsidRDefault="00E37846" w:rsidP="00251D04">
      <w:pPr>
        <w:spacing w:after="240"/>
        <w:ind w:right="336"/>
      </w:pPr>
      <w:r>
        <w:t>Prior treatment itself includes many differing activities.</w:t>
      </w:r>
      <w:r w:rsidR="005E21C7">
        <w:t xml:space="preserve">  </w:t>
      </w:r>
      <w:r>
        <w:t xml:space="preserve">Regulation 2(1) provides a definition of treatment as: </w:t>
      </w:r>
    </w:p>
    <w:p w14:paraId="1A7A44B3" w14:textId="4702260C" w:rsidR="00E37846" w:rsidRDefault="00E37846" w:rsidP="00251D04">
      <w:pPr>
        <w:spacing w:after="240"/>
        <w:ind w:left="567" w:right="336"/>
      </w:pPr>
      <w:r>
        <w:t xml:space="preserve">"treatment" means physical, thermal, chemical or biological processes (including sorting) that change the characteristics of waste </w:t>
      </w:r>
      <w:proofErr w:type="gramStart"/>
      <w:r>
        <w:t>in order to</w:t>
      </w:r>
      <w:proofErr w:type="gramEnd"/>
      <w:r>
        <w:t xml:space="preserve"> reduce its volume or hazardous nature, facilitate its handling or enhance recovery</w:t>
      </w:r>
      <w:r w:rsidR="007E2850">
        <w:t>.</w:t>
      </w:r>
    </w:p>
    <w:p w14:paraId="5FAA4B49" w14:textId="6E195C95" w:rsidR="00E37846" w:rsidRDefault="00E37846" w:rsidP="00251D04">
      <w:pPr>
        <w:spacing w:after="240"/>
        <w:ind w:right="336"/>
      </w:pPr>
      <w:r>
        <w:t>These prior treatments may be carried out either before acceptance to landfill installation or after acceptance to landfill installation.</w:t>
      </w:r>
      <w:r w:rsidR="005E21C7">
        <w:t xml:space="preserve">  </w:t>
      </w:r>
      <w:r>
        <w:t xml:space="preserve">They however cannot be carried out as part of the landfilling operation (i.e. compaction after deposit at the landfill) as it is a requirement that the treatment has been undertaken prior to landfilling. </w:t>
      </w:r>
    </w:p>
    <w:p w14:paraId="23171B91" w14:textId="77777777" w:rsidR="00E37846" w:rsidRDefault="00E37846" w:rsidP="00E37846">
      <w:pPr>
        <w:spacing w:after="5"/>
        <w:ind w:left="1390" w:right="336"/>
      </w:pPr>
      <w:r>
        <w:t xml:space="preserve"> </w:t>
      </w:r>
    </w:p>
    <w:p w14:paraId="34330848" w14:textId="7F656649" w:rsidR="000B191C" w:rsidRDefault="00E37846" w:rsidP="00251D04">
      <w:pPr>
        <w:spacing w:after="240"/>
        <w:ind w:right="335"/>
      </w:pPr>
      <w:r>
        <w:t>Prior treatment should not be carried out purely for the sake of achieving a treated condition.</w:t>
      </w:r>
      <w:r w:rsidR="005E21C7">
        <w:t xml:space="preserve">  </w:t>
      </w:r>
      <w:r>
        <w:t xml:space="preserve">If treatment of a waste stream does not reduce the quantity of waste landfilled or the hazards of the waste to human health or the </w:t>
      </w:r>
      <w:proofErr w:type="gramStart"/>
      <w:r>
        <w:t>environment</w:t>
      </w:r>
      <w:proofErr w:type="gramEnd"/>
      <w:r>
        <w:t xml:space="preserve"> then it need not be undertaken</w:t>
      </w:r>
      <w:r w:rsidR="003C60B0">
        <w:t>.</w:t>
      </w:r>
    </w:p>
    <w:p w14:paraId="2CEC4565" w14:textId="089ECD60" w:rsidR="000B191C" w:rsidRDefault="000B191C" w:rsidP="00251D04">
      <w:pPr>
        <w:spacing w:after="240"/>
        <w:ind w:right="335"/>
      </w:pPr>
      <w:r>
        <w:t>In each case it is for the landfill operators, as part of their waste acceptance procedures, to present evidence as to what pre-treatment has been undertaken under the broad definition of treatment.</w:t>
      </w:r>
      <w:r w:rsidR="005E21C7">
        <w:t xml:space="preserve">  </w:t>
      </w:r>
      <w:r w:rsidR="000D09EF">
        <w:t>Alternatively,</w:t>
      </w:r>
      <w:r>
        <w:t xml:space="preserve"> the operators must present evidence to justify why prior treatment of any specific waste stream does not lead to the reduction in quantity or the hazards which the </w:t>
      </w:r>
      <w:r>
        <w:lastRenderedPageBreak/>
        <w:t>waste poses to human health or the environment.</w:t>
      </w:r>
      <w:r w:rsidR="005E21C7">
        <w:t xml:space="preserve">  </w:t>
      </w:r>
      <w:r>
        <w:t xml:space="preserve">This by necessity must be based on a waste steam specific and landfill specific basis. </w:t>
      </w:r>
    </w:p>
    <w:p w14:paraId="144DFA53" w14:textId="015F7682" w:rsidR="000B191C" w:rsidRPr="00B93BC1" w:rsidRDefault="000B191C" w:rsidP="00251D04">
      <w:pPr>
        <w:spacing w:after="240"/>
        <w:ind w:right="335"/>
      </w:pPr>
      <w:r>
        <w:t>For example</w:t>
      </w:r>
      <w:r w:rsidR="007E2850">
        <w:t>,</w:t>
      </w:r>
      <w:r>
        <w:t xml:space="preserve"> producers of similar wastes may dispose of them in differing quantities or physical condition which in one situation may mean that treatment can reduce the quantity or hazard </w:t>
      </w:r>
      <w:proofErr w:type="gramStart"/>
      <w:r>
        <w:t>but in another situation</w:t>
      </w:r>
      <w:proofErr w:type="gramEnd"/>
      <w:r>
        <w:t xml:space="preserve"> would lead to no beneficial change.</w:t>
      </w:r>
      <w:r w:rsidR="005E21C7">
        <w:t xml:space="preserve">  </w:t>
      </w:r>
      <w:proofErr w:type="gramStart"/>
      <w:r>
        <w:t>Furthermore</w:t>
      </w:r>
      <w:proofErr w:type="gramEnd"/>
      <w:r>
        <w:t xml:space="preserve"> depending on the classification of the landfill and compatibility of any specific waste stream with the overall types of waste being accepted prior treatment may provide benefit in one situation but not in another.</w:t>
      </w:r>
    </w:p>
    <w:p w14:paraId="40E4CD36" w14:textId="20B61474" w:rsidR="005258C4" w:rsidRDefault="005258C4" w:rsidP="000B191C">
      <w:pPr>
        <w:rPr>
          <w:rFonts w:asciiTheme="majorHAnsi" w:eastAsiaTheme="majorEastAsia" w:hAnsiTheme="majorHAnsi" w:cstheme="majorBidi"/>
          <w:b/>
          <w:color w:val="016574" w:themeColor="accent2"/>
          <w:sz w:val="32"/>
          <w:szCs w:val="26"/>
        </w:rPr>
      </w:pPr>
    </w:p>
    <w:p w14:paraId="519B3CC9" w14:textId="77777777" w:rsidR="001B65F4" w:rsidRDefault="001B65F4" w:rsidP="000B191C">
      <w:pPr>
        <w:rPr>
          <w:rFonts w:asciiTheme="majorHAnsi" w:eastAsiaTheme="majorEastAsia" w:hAnsiTheme="majorHAnsi" w:cstheme="majorBidi"/>
          <w:b/>
          <w:color w:val="016574" w:themeColor="accent2"/>
          <w:sz w:val="32"/>
          <w:szCs w:val="26"/>
        </w:rPr>
      </w:pPr>
    </w:p>
    <w:p w14:paraId="4B9D0B0B" w14:textId="77777777" w:rsidR="001B65F4" w:rsidRDefault="001B65F4" w:rsidP="000B191C">
      <w:pPr>
        <w:rPr>
          <w:rFonts w:asciiTheme="majorHAnsi" w:eastAsiaTheme="majorEastAsia" w:hAnsiTheme="majorHAnsi" w:cstheme="majorBidi"/>
          <w:b/>
          <w:color w:val="016574" w:themeColor="accent2"/>
          <w:sz w:val="32"/>
          <w:szCs w:val="26"/>
        </w:rPr>
      </w:pPr>
    </w:p>
    <w:p w14:paraId="7055F1AA" w14:textId="77777777" w:rsidR="001B65F4" w:rsidRDefault="001B65F4" w:rsidP="000B191C">
      <w:pPr>
        <w:rPr>
          <w:rFonts w:asciiTheme="majorHAnsi" w:eastAsiaTheme="majorEastAsia" w:hAnsiTheme="majorHAnsi" w:cstheme="majorBidi"/>
          <w:b/>
          <w:color w:val="016574" w:themeColor="accent2"/>
          <w:sz w:val="32"/>
          <w:szCs w:val="26"/>
        </w:rPr>
      </w:pPr>
    </w:p>
    <w:p w14:paraId="27FAF9BA" w14:textId="77777777" w:rsidR="001B65F4" w:rsidRDefault="001B65F4" w:rsidP="000B191C">
      <w:pPr>
        <w:rPr>
          <w:rFonts w:asciiTheme="majorHAnsi" w:eastAsiaTheme="majorEastAsia" w:hAnsiTheme="majorHAnsi" w:cstheme="majorBidi"/>
          <w:b/>
          <w:color w:val="016574" w:themeColor="accent2"/>
          <w:sz w:val="32"/>
          <w:szCs w:val="26"/>
        </w:rPr>
      </w:pPr>
    </w:p>
    <w:p w14:paraId="40E80687" w14:textId="77777777" w:rsidR="001B65F4" w:rsidRDefault="001B65F4" w:rsidP="000B191C">
      <w:pPr>
        <w:rPr>
          <w:rFonts w:asciiTheme="majorHAnsi" w:eastAsiaTheme="majorEastAsia" w:hAnsiTheme="majorHAnsi" w:cstheme="majorBidi"/>
          <w:b/>
          <w:color w:val="016574" w:themeColor="accent2"/>
          <w:sz w:val="32"/>
          <w:szCs w:val="26"/>
        </w:rPr>
      </w:pPr>
    </w:p>
    <w:p w14:paraId="7C456947" w14:textId="77777777" w:rsidR="001B65F4" w:rsidRDefault="001B65F4" w:rsidP="000B191C">
      <w:pPr>
        <w:rPr>
          <w:rFonts w:asciiTheme="majorHAnsi" w:eastAsiaTheme="majorEastAsia" w:hAnsiTheme="majorHAnsi" w:cstheme="majorBidi"/>
          <w:b/>
          <w:color w:val="016574" w:themeColor="accent2"/>
          <w:sz w:val="32"/>
          <w:szCs w:val="26"/>
        </w:rPr>
      </w:pPr>
    </w:p>
    <w:p w14:paraId="4F610B5B" w14:textId="77777777" w:rsidR="001B65F4" w:rsidRDefault="001B65F4" w:rsidP="000B191C">
      <w:pPr>
        <w:rPr>
          <w:rFonts w:asciiTheme="majorHAnsi" w:eastAsiaTheme="majorEastAsia" w:hAnsiTheme="majorHAnsi" w:cstheme="majorBidi"/>
          <w:b/>
          <w:color w:val="016574" w:themeColor="accent2"/>
          <w:sz w:val="32"/>
          <w:szCs w:val="26"/>
        </w:rPr>
      </w:pPr>
    </w:p>
    <w:p w14:paraId="5541B630" w14:textId="77777777" w:rsidR="001B65F4" w:rsidRDefault="001B65F4" w:rsidP="000B191C">
      <w:pPr>
        <w:rPr>
          <w:rFonts w:asciiTheme="majorHAnsi" w:eastAsiaTheme="majorEastAsia" w:hAnsiTheme="majorHAnsi" w:cstheme="majorBidi"/>
          <w:b/>
          <w:color w:val="016574" w:themeColor="accent2"/>
          <w:sz w:val="32"/>
          <w:szCs w:val="26"/>
        </w:rPr>
      </w:pPr>
    </w:p>
    <w:p w14:paraId="3B39517D" w14:textId="59A2EB3A" w:rsidR="000B191C" w:rsidRDefault="000B191C" w:rsidP="00251D04">
      <w:pPr>
        <w:pStyle w:val="Heading1"/>
        <w:numPr>
          <w:ilvl w:val="0"/>
          <w:numId w:val="14"/>
        </w:numPr>
        <w:spacing w:after="120"/>
        <w:ind w:left="669" w:hanging="669"/>
      </w:pPr>
      <w:bookmarkStart w:id="3" w:name="_Toc195080867"/>
      <w:r>
        <w:t>Assessment of Prior Treatment</w:t>
      </w:r>
      <w:bookmarkEnd w:id="3"/>
    </w:p>
    <w:p w14:paraId="10977B64" w14:textId="60E6AA84" w:rsidR="003F2E3F" w:rsidRDefault="003F2E3F" w:rsidP="00251D04">
      <w:pPr>
        <w:spacing w:after="240"/>
      </w:pPr>
      <w:r>
        <w:t>The vast range in variations of waste streams arriving at landfills means that it is not possible to derive prescriptive set rules for different waste types.</w:t>
      </w:r>
      <w:r w:rsidR="005E21C7">
        <w:t xml:space="preserve">  </w:t>
      </w:r>
      <w:r>
        <w:t>SEPA officers should assess landfill operators</w:t>
      </w:r>
      <w:r w:rsidR="007E2850">
        <w:t>’</w:t>
      </w:r>
      <w:r>
        <w:t xml:space="preserve"> proposals and operational records against the following general principles.</w:t>
      </w:r>
      <w:r w:rsidR="005E21C7">
        <w:t xml:space="preserve">  </w:t>
      </w:r>
      <w:r>
        <w:t xml:space="preserve"> </w:t>
      </w:r>
    </w:p>
    <w:p w14:paraId="6717600A" w14:textId="4D22FECB" w:rsidR="003F2E3F" w:rsidRDefault="003F2E3F" w:rsidP="001B65F4">
      <w:pPr>
        <w:spacing w:after="240"/>
      </w:pPr>
      <w:r>
        <w:t>Typically</w:t>
      </w:r>
      <w:r w:rsidR="001B65F4">
        <w:t>,</w:t>
      </w:r>
      <w:r>
        <w:t xml:space="preserve"> it is expected that for each waste stream operators should consider the available treatment options that could apply to that type of waste and assess the ability of those treatment options to deliver the objectives of prior treatment.</w:t>
      </w:r>
      <w:r w:rsidR="005E21C7">
        <w:t xml:space="preserve">    </w:t>
      </w:r>
      <w:r>
        <w:t>The processes that can be applied in treating a waste are very broad covering physical, thermal, chemical or biological processes (including sorting).</w:t>
      </w:r>
      <w:r w:rsidR="005E21C7">
        <w:t xml:space="preserve">  </w:t>
      </w:r>
      <w:r>
        <w:t>Clearly for any specific waste stream many treatment systems can be screened out from detailed consideration.</w:t>
      </w:r>
      <w:r w:rsidR="005E21C7">
        <w:t xml:space="preserve">  </w:t>
      </w:r>
      <w:r>
        <w:t xml:space="preserve">It is anticipated that detailed consideration would only </w:t>
      </w:r>
      <w:r>
        <w:lastRenderedPageBreak/>
        <w:t xml:space="preserve">be required for those most likely to meet the prior treatment objectives. </w:t>
      </w:r>
      <w:proofErr w:type="gramStart"/>
      <w:r>
        <w:t>In order to</w:t>
      </w:r>
      <w:proofErr w:type="gramEnd"/>
      <w:r>
        <w:t xml:space="preserve"> treat the waste</w:t>
      </w:r>
      <w:r w:rsidR="007E2850">
        <w:t>,</w:t>
      </w:r>
      <w:r>
        <w:t xml:space="preserve"> the chosen process must meet any one of 4 beneficial objectives prior to landfilling the waste.</w:t>
      </w:r>
      <w:r w:rsidR="005E21C7">
        <w:t xml:space="preserve">  </w:t>
      </w:r>
      <w:r>
        <w:t>These beneficial objectives are:</w:t>
      </w:r>
    </w:p>
    <w:p w14:paraId="0AC6060D" w14:textId="58F11DAA" w:rsidR="003F2E3F" w:rsidRDefault="00251D04" w:rsidP="00251D04">
      <w:pPr>
        <w:pStyle w:val="ListParagraph"/>
        <w:numPr>
          <w:ilvl w:val="0"/>
          <w:numId w:val="16"/>
        </w:numPr>
        <w:spacing w:after="240"/>
      </w:pPr>
      <w:r>
        <w:t>T</w:t>
      </w:r>
      <w:r w:rsidR="004F56AB">
        <w:t>o facilitate its handling prior to landfilling</w:t>
      </w:r>
      <w:r>
        <w:t>.</w:t>
      </w:r>
    </w:p>
    <w:p w14:paraId="0B38F8BB" w14:textId="22B0500B" w:rsidR="004F56AB" w:rsidRDefault="00251D04" w:rsidP="00251D04">
      <w:pPr>
        <w:pStyle w:val="ListParagraph"/>
        <w:numPr>
          <w:ilvl w:val="0"/>
          <w:numId w:val="16"/>
        </w:numPr>
        <w:spacing w:after="240"/>
      </w:pPr>
      <w:r>
        <w:t>T</w:t>
      </w:r>
      <w:r w:rsidR="004F56AB">
        <w:t>o enhance recovery prior to landfilling</w:t>
      </w:r>
      <w:r>
        <w:t>.</w:t>
      </w:r>
    </w:p>
    <w:p w14:paraId="511E7114" w14:textId="7725D5F4" w:rsidR="004F56AB" w:rsidRDefault="00251D04" w:rsidP="00251D04">
      <w:pPr>
        <w:pStyle w:val="ListParagraph"/>
        <w:numPr>
          <w:ilvl w:val="0"/>
          <w:numId w:val="16"/>
        </w:numPr>
        <w:spacing w:after="240"/>
      </w:pPr>
      <w:r>
        <w:t>T</w:t>
      </w:r>
      <w:r w:rsidR="004F56AB">
        <w:t>o reduce its volume prior to landfilling and</w:t>
      </w:r>
    </w:p>
    <w:p w14:paraId="04CE8E2A" w14:textId="1F80F776" w:rsidR="004F56AB" w:rsidRDefault="00251D04" w:rsidP="00251D04">
      <w:pPr>
        <w:pStyle w:val="ListParagraph"/>
        <w:numPr>
          <w:ilvl w:val="0"/>
          <w:numId w:val="16"/>
        </w:numPr>
        <w:spacing w:after="240"/>
      </w:pPr>
      <w:r>
        <w:t>T</w:t>
      </w:r>
      <w:r w:rsidR="004F56AB">
        <w:t>o reduce its hazardous nature prior to landfilling.</w:t>
      </w:r>
    </w:p>
    <w:p w14:paraId="0A82E095" w14:textId="70DC611C" w:rsidR="004F56AB" w:rsidRPr="000B191C" w:rsidRDefault="004026A6" w:rsidP="00251D04">
      <w:pPr>
        <w:spacing w:after="240"/>
      </w:pPr>
      <w:r w:rsidRPr="004026A6">
        <w:t>The treatment process will be entirely waste stream specific and may be applied at any point from the point of production of the waste though to deposition within the landfill.</w:t>
      </w:r>
      <w:r w:rsidR="005E21C7">
        <w:t xml:space="preserve">  </w:t>
      </w:r>
      <w:r w:rsidRPr="004026A6">
        <w:t>In many cases the waste producer may be carrying out treatment as part of their ongoing operations (i.e. sorting of waste into segregated streams).</w:t>
      </w:r>
      <w:r w:rsidR="005E21C7">
        <w:t xml:space="preserve">  </w:t>
      </w:r>
      <w:r w:rsidRPr="004026A6">
        <w:t>Many waste streams are subject to some form of treatment during the normal procedures of production, collection and transport. It is therefore not anticipated that significant changes to the existing practices will be necessary.</w:t>
      </w:r>
    </w:p>
    <w:p w14:paraId="1F6CD4AD" w14:textId="77777777" w:rsidR="00061713" w:rsidRDefault="00061713" w:rsidP="000B191C">
      <w:pPr>
        <w:rPr>
          <w:rFonts w:asciiTheme="majorHAnsi" w:eastAsiaTheme="majorEastAsia" w:hAnsiTheme="majorHAnsi" w:cstheme="majorBidi"/>
          <w:b/>
          <w:color w:val="016574" w:themeColor="accent2"/>
          <w:sz w:val="32"/>
          <w:szCs w:val="26"/>
        </w:rPr>
      </w:pPr>
    </w:p>
    <w:p w14:paraId="174D8A5C" w14:textId="77777777" w:rsidR="00AF2E0F" w:rsidRDefault="00AF2E0F" w:rsidP="000B191C">
      <w:pPr>
        <w:rPr>
          <w:rFonts w:asciiTheme="majorHAnsi" w:eastAsiaTheme="majorEastAsia" w:hAnsiTheme="majorHAnsi" w:cstheme="majorBidi"/>
          <w:b/>
          <w:color w:val="016574" w:themeColor="accent2"/>
          <w:sz w:val="32"/>
          <w:szCs w:val="26"/>
        </w:rPr>
      </w:pPr>
    </w:p>
    <w:p w14:paraId="63166DEE" w14:textId="77777777" w:rsidR="00AF2E0F" w:rsidRDefault="00AF2E0F" w:rsidP="000B191C">
      <w:pPr>
        <w:rPr>
          <w:rFonts w:asciiTheme="majorHAnsi" w:eastAsiaTheme="majorEastAsia" w:hAnsiTheme="majorHAnsi" w:cstheme="majorBidi"/>
          <w:b/>
          <w:color w:val="016574" w:themeColor="accent2"/>
          <w:sz w:val="32"/>
          <w:szCs w:val="26"/>
        </w:rPr>
      </w:pPr>
    </w:p>
    <w:p w14:paraId="62A6281E" w14:textId="77777777" w:rsidR="00AF2E0F" w:rsidRDefault="00AF2E0F" w:rsidP="000B191C">
      <w:pPr>
        <w:rPr>
          <w:rFonts w:asciiTheme="majorHAnsi" w:eastAsiaTheme="majorEastAsia" w:hAnsiTheme="majorHAnsi" w:cstheme="majorBidi"/>
          <w:b/>
          <w:color w:val="016574" w:themeColor="accent2"/>
          <w:sz w:val="32"/>
          <w:szCs w:val="26"/>
        </w:rPr>
      </w:pPr>
    </w:p>
    <w:p w14:paraId="7FA554BD" w14:textId="77777777" w:rsidR="00AF2E0F" w:rsidRDefault="00AF2E0F" w:rsidP="000B191C">
      <w:pPr>
        <w:rPr>
          <w:rFonts w:asciiTheme="majorHAnsi" w:eastAsiaTheme="majorEastAsia" w:hAnsiTheme="majorHAnsi" w:cstheme="majorBidi"/>
          <w:b/>
          <w:color w:val="016574" w:themeColor="accent2"/>
          <w:sz w:val="32"/>
          <w:szCs w:val="26"/>
        </w:rPr>
      </w:pPr>
    </w:p>
    <w:p w14:paraId="0C1091FD" w14:textId="77777777" w:rsidR="00AF2E0F" w:rsidRDefault="00AF2E0F" w:rsidP="000B191C">
      <w:pPr>
        <w:rPr>
          <w:rFonts w:asciiTheme="majorHAnsi" w:eastAsiaTheme="majorEastAsia" w:hAnsiTheme="majorHAnsi" w:cstheme="majorBidi"/>
          <w:b/>
          <w:color w:val="016574" w:themeColor="accent2"/>
          <w:sz w:val="32"/>
          <w:szCs w:val="26"/>
        </w:rPr>
      </w:pPr>
    </w:p>
    <w:p w14:paraId="630C6770" w14:textId="77777777" w:rsidR="00AF2E0F" w:rsidRDefault="00AF2E0F" w:rsidP="000B191C">
      <w:pPr>
        <w:rPr>
          <w:rFonts w:asciiTheme="majorHAnsi" w:eastAsiaTheme="majorEastAsia" w:hAnsiTheme="majorHAnsi" w:cstheme="majorBidi"/>
          <w:b/>
          <w:color w:val="016574" w:themeColor="accent2"/>
          <w:sz w:val="32"/>
          <w:szCs w:val="26"/>
        </w:rPr>
      </w:pPr>
    </w:p>
    <w:p w14:paraId="21AA3ADB" w14:textId="77777777" w:rsidR="00AF2E0F" w:rsidRDefault="00AF2E0F" w:rsidP="000B191C">
      <w:pPr>
        <w:rPr>
          <w:rFonts w:asciiTheme="majorHAnsi" w:eastAsiaTheme="majorEastAsia" w:hAnsiTheme="majorHAnsi" w:cstheme="majorBidi"/>
          <w:b/>
          <w:color w:val="016574" w:themeColor="accent2"/>
          <w:sz w:val="32"/>
          <w:szCs w:val="26"/>
        </w:rPr>
      </w:pPr>
    </w:p>
    <w:p w14:paraId="1DA10803" w14:textId="77777777" w:rsidR="00AF2E0F" w:rsidRDefault="00AF2E0F" w:rsidP="000B191C">
      <w:pPr>
        <w:rPr>
          <w:rFonts w:asciiTheme="majorHAnsi" w:eastAsiaTheme="majorEastAsia" w:hAnsiTheme="majorHAnsi" w:cstheme="majorBidi"/>
          <w:b/>
          <w:color w:val="016574" w:themeColor="accent2"/>
          <w:sz w:val="32"/>
          <w:szCs w:val="26"/>
        </w:rPr>
      </w:pPr>
    </w:p>
    <w:p w14:paraId="04F53389" w14:textId="77777777" w:rsidR="00AF2E0F" w:rsidRDefault="00AF2E0F" w:rsidP="000B191C">
      <w:pPr>
        <w:rPr>
          <w:rFonts w:asciiTheme="majorHAnsi" w:eastAsiaTheme="majorEastAsia" w:hAnsiTheme="majorHAnsi" w:cstheme="majorBidi"/>
          <w:b/>
          <w:color w:val="016574" w:themeColor="accent2"/>
          <w:sz w:val="32"/>
          <w:szCs w:val="26"/>
        </w:rPr>
      </w:pPr>
    </w:p>
    <w:p w14:paraId="5DAC35D5" w14:textId="77777777" w:rsidR="00AF2E0F" w:rsidRDefault="00AF2E0F" w:rsidP="000B191C">
      <w:pPr>
        <w:rPr>
          <w:rFonts w:asciiTheme="majorHAnsi" w:eastAsiaTheme="majorEastAsia" w:hAnsiTheme="majorHAnsi" w:cstheme="majorBidi"/>
          <w:b/>
          <w:color w:val="016574" w:themeColor="accent2"/>
          <w:sz w:val="32"/>
          <w:szCs w:val="26"/>
        </w:rPr>
      </w:pPr>
    </w:p>
    <w:p w14:paraId="5C3D8960" w14:textId="77777777" w:rsidR="00AF2E0F" w:rsidRDefault="00AF2E0F" w:rsidP="000B191C">
      <w:pPr>
        <w:rPr>
          <w:rFonts w:asciiTheme="majorHAnsi" w:eastAsiaTheme="majorEastAsia" w:hAnsiTheme="majorHAnsi" w:cstheme="majorBidi"/>
          <w:b/>
          <w:color w:val="016574" w:themeColor="accent2"/>
          <w:sz w:val="32"/>
          <w:szCs w:val="26"/>
        </w:rPr>
      </w:pPr>
    </w:p>
    <w:p w14:paraId="0F9BA478" w14:textId="77777777" w:rsidR="00AF2E0F" w:rsidRDefault="00AF2E0F" w:rsidP="000B191C">
      <w:pPr>
        <w:rPr>
          <w:rFonts w:asciiTheme="majorHAnsi" w:eastAsiaTheme="majorEastAsia" w:hAnsiTheme="majorHAnsi" w:cstheme="majorBidi"/>
          <w:b/>
          <w:color w:val="016574" w:themeColor="accent2"/>
          <w:sz w:val="32"/>
          <w:szCs w:val="26"/>
        </w:rPr>
      </w:pPr>
    </w:p>
    <w:p w14:paraId="38BAAD51" w14:textId="77777777" w:rsidR="00AF2E0F" w:rsidRPr="00AF2E0F" w:rsidRDefault="00AF2E0F" w:rsidP="00AF2E0F">
      <w:pPr>
        <w:rPr>
          <w:rFonts w:ascii="Arial" w:hAnsi="Arial" w:cs="Arial"/>
          <w:sz w:val="20"/>
          <w:szCs w:val="20"/>
        </w:rPr>
      </w:pPr>
      <w:r w:rsidRPr="00AF2E0F">
        <w:rPr>
          <w:rFonts w:ascii="Arial" w:hAnsi="Arial" w:cs="Arial"/>
          <w:b/>
          <w:bCs/>
        </w:rPr>
        <w:lastRenderedPageBreak/>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048F7F82" w14:textId="77777777" w:rsidR="00251D04" w:rsidRDefault="00251D04" w:rsidP="000B191C">
      <w:pPr>
        <w:rPr>
          <w:rFonts w:asciiTheme="majorHAnsi" w:eastAsiaTheme="majorEastAsia" w:hAnsiTheme="majorHAnsi" w:cstheme="majorBidi"/>
          <w:b/>
          <w:color w:val="016574" w:themeColor="accent2"/>
          <w:sz w:val="32"/>
          <w:szCs w:val="26"/>
        </w:rPr>
      </w:pPr>
    </w:p>
    <w:p w14:paraId="7F9DB58E" w14:textId="77777777" w:rsidR="00061713" w:rsidRPr="000961F3" w:rsidRDefault="00061713" w:rsidP="00061713">
      <w:pPr>
        <w:pStyle w:val="Heading2"/>
        <w:spacing w:after="120" w:line="360" w:lineRule="auto"/>
        <w:rPr>
          <w:rFonts w:ascii="Arial" w:hAnsi="Arial" w:cs="Arial"/>
          <w:sz w:val="24"/>
          <w:szCs w:val="24"/>
        </w:rPr>
      </w:pPr>
      <w:bookmarkStart w:id="4" w:name="_Toc184981253"/>
      <w:r w:rsidRPr="000961F3">
        <w:rPr>
          <w:rFonts w:ascii="Arial" w:hAnsi="Arial" w:cs="Arial"/>
          <w:sz w:val="24"/>
          <w:szCs w:val="24"/>
        </w:rPr>
        <w:t>Disclaimer</w:t>
      </w:r>
      <w:bookmarkEnd w:id="4"/>
    </w:p>
    <w:p w14:paraId="604AF6E1" w14:textId="77777777" w:rsidR="00061713" w:rsidRPr="000961F3" w:rsidRDefault="00061713" w:rsidP="00061713">
      <w:pPr>
        <w:spacing w:after="240"/>
        <w:rPr>
          <w:rFonts w:ascii="Arial" w:hAnsi="Arial" w:cs="Arial"/>
        </w:rPr>
      </w:pPr>
      <w:r w:rsidRPr="000961F3">
        <w:rPr>
          <w:rFonts w:ascii="Arial" w:hAnsi="Arial" w:cs="Arial"/>
        </w:rPr>
        <w:t>This guidance is based on the law as it stood when the guidance was published.</w:t>
      </w:r>
    </w:p>
    <w:p w14:paraId="36EDFDF7" w14:textId="77777777" w:rsidR="00061713" w:rsidRPr="000961F3" w:rsidRDefault="00061713" w:rsidP="00061713">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6334B99B" w14:textId="77777777" w:rsidR="00061713" w:rsidRPr="000961F3" w:rsidRDefault="00061713" w:rsidP="00061713">
      <w:pPr>
        <w:numPr>
          <w:ilvl w:val="0"/>
          <w:numId w:val="17"/>
        </w:numPr>
        <w:spacing w:after="240"/>
        <w:rPr>
          <w:rFonts w:ascii="Arial" w:hAnsi="Arial" w:cs="Arial"/>
        </w:rPr>
      </w:pPr>
      <w:r w:rsidRPr="000961F3">
        <w:rPr>
          <w:rFonts w:ascii="Arial" w:hAnsi="Arial" w:cs="Arial"/>
        </w:rPr>
        <w:t>any direct, indirect and consequential losses</w:t>
      </w:r>
    </w:p>
    <w:p w14:paraId="78C15715" w14:textId="77777777" w:rsidR="00061713" w:rsidRPr="000961F3" w:rsidRDefault="00061713" w:rsidP="00061713">
      <w:pPr>
        <w:numPr>
          <w:ilvl w:val="0"/>
          <w:numId w:val="17"/>
        </w:numPr>
        <w:spacing w:after="240"/>
        <w:rPr>
          <w:rFonts w:ascii="Arial" w:hAnsi="Arial" w:cs="Arial"/>
        </w:rPr>
      </w:pPr>
      <w:r w:rsidRPr="000961F3">
        <w:rPr>
          <w:rFonts w:ascii="Arial" w:hAnsi="Arial" w:cs="Arial"/>
        </w:rPr>
        <w:t>any loss or damage caused by civil wrongs, breach of contract or otherwise.</w:t>
      </w:r>
    </w:p>
    <w:p w14:paraId="2C36B06C" w14:textId="77777777" w:rsidR="00061713" w:rsidRDefault="00061713" w:rsidP="00061713">
      <w:pPr>
        <w:spacing w:after="240"/>
        <w:rPr>
          <w:rFonts w:ascii="Arial" w:hAnsi="Arial" w:cs="Arial"/>
        </w:rPr>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30BFD819" w14:textId="77777777" w:rsidR="00251D04" w:rsidRDefault="00251D04" w:rsidP="00061713">
      <w:pPr>
        <w:spacing w:after="240"/>
        <w:rPr>
          <w:rFonts w:ascii="Arial" w:hAnsi="Arial" w:cs="Arial"/>
        </w:rPr>
      </w:pPr>
    </w:p>
    <w:p w14:paraId="35BBC5BD" w14:textId="77777777" w:rsidR="00061713" w:rsidRPr="000B191C" w:rsidRDefault="00061713" w:rsidP="000B191C">
      <w:pPr>
        <w:rPr>
          <w:rFonts w:asciiTheme="majorHAnsi" w:eastAsiaTheme="majorEastAsia" w:hAnsiTheme="majorHAnsi" w:cstheme="majorBidi"/>
          <w:b/>
          <w:color w:val="016574" w:themeColor="accent2"/>
          <w:sz w:val="32"/>
          <w:szCs w:val="26"/>
        </w:rPr>
      </w:pPr>
    </w:p>
    <w:p w14:paraId="1B7822FA" w14:textId="0AB50B31" w:rsidR="004E2348" w:rsidRPr="004E2348" w:rsidRDefault="004E2348" w:rsidP="004E2348">
      <w:pPr>
        <w:spacing w:after="240" w:line="240" w:lineRule="auto"/>
        <w:rPr>
          <w:rFonts w:ascii="Arial" w:eastAsia="Times New Roman" w:hAnsi="Arial" w:cs="Arial"/>
          <w:b/>
          <w:bCs/>
        </w:rPr>
      </w:pPr>
    </w:p>
    <w:p w14:paraId="71173EAF" w14:textId="77777777" w:rsidR="004E2348" w:rsidRPr="004E2348" w:rsidRDefault="004E2348" w:rsidP="004E2348">
      <w:pPr>
        <w:tabs>
          <w:tab w:val="left" w:pos="5906"/>
        </w:tabs>
        <w:spacing w:after="240"/>
        <w:rPr>
          <w:rFonts w:ascii="Arial" w:eastAsia="Times New Roman" w:hAnsi="Arial" w:cs="Arial"/>
        </w:rPr>
      </w:pPr>
    </w:p>
    <w:p w14:paraId="23CCC639" w14:textId="77777777" w:rsidR="004E2348" w:rsidRPr="004E2348" w:rsidRDefault="004E2348" w:rsidP="004E2348">
      <w:pPr>
        <w:spacing w:after="240"/>
        <w:rPr>
          <w:rFonts w:ascii="Arial" w:eastAsia="Times New Roman" w:hAnsi="Arial" w:cs="Arial"/>
        </w:rPr>
      </w:pPr>
    </w:p>
    <w:p w14:paraId="6DEECDD1" w14:textId="77777777" w:rsidR="006243FF" w:rsidRPr="00E67C75" w:rsidRDefault="006243FF" w:rsidP="00290B1F">
      <w:pPr>
        <w:spacing w:line="240" w:lineRule="auto"/>
        <w:rPr>
          <w:color w:val="6E7571" w:themeColor="text2"/>
          <w:u w:val="single"/>
        </w:rPr>
      </w:pPr>
    </w:p>
    <w:sectPr w:rsidR="006243FF" w:rsidRPr="00E67C75" w:rsidSect="00767BCC">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8E305" w14:textId="77777777" w:rsidR="00A378BA" w:rsidRDefault="00A378BA" w:rsidP="00660C79">
      <w:pPr>
        <w:spacing w:line="240" w:lineRule="auto"/>
      </w:pPr>
      <w:r>
        <w:separator/>
      </w:r>
    </w:p>
  </w:endnote>
  <w:endnote w:type="continuationSeparator" w:id="0">
    <w:p w14:paraId="180D883D" w14:textId="77777777" w:rsidR="00A378BA" w:rsidRDefault="00A378BA"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BA2C" w14:textId="77777777" w:rsidR="00EC6A73" w:rsidRDefault="006A186F" w:rsidP="006F44FD">
    <w:pPr>
      <w:pStyle w:val="Footer"/>
      <w:framePr w:wrap="none" w:vAnchor="text" w:hAnchor="margin" w:xAlign="right" w:y="1"/>
      <w:rPr>
        <w:rStyle w:val="PageNumber"/>
      </w:rPr>
    </w:pPr>
    <w:r>
      <w:rPr>
        <w:noProof/>
      </w:rPr>
      <mc:AlternateContent>
        <mc:Choice Requires="wps">
          <w:drawing>
            <wp:anchor distT="0" distB="0" distL="0" distR="0" simplePos="0" relativeHeight="251665408" behindDoc="0" locked="0" layoutInCell="1" allowOverlap="1" wp14:anchorId="287090E8" wp14:editId="0173CC2F">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7CCD91"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090E8"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47CCD91"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263E51B"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D58FC5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D5BD5F"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65AD" w14:textId="77777777" w:rsidR="00EC6A73" w:rsidRDefault="006A186F" w:rsidP="00917BB1">
    <w:pPr>
      <w:pStyle w:val="Footer"/>
      <w:ind w:right="360"/>
    </w:pPr>
    <w:r>
      <w:rPr>
        <w:noProof/>
      </w:rPr>
      <mc:AlternateContent>
        <mc:Choice Requires="wps">
          <w:drawing>
            <wp:anchor distT="0" distB="0" distL="0" distR="0" simplePos="0" relativeHeight="251666432" behindDoc="0" locked="0" layoutInCell="1" allowOverlap="1" wp14:anchorId="526CC784" wp14:editId="322F05BF">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3009FA"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6CC784"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03009FA"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p w14:paraId="2F654BB5"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50FC39D1" wp14:editId="7742E11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44106E"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5C16188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B7A83E" w14:textId="77777777" w:rsidR="00917BB1" w:rsidRDefault="00917BB1" w:rsidP="00917BB1">
    <w:pPr>
      <w:pStyle w:val="Footer"/>
      <w:ind w:right="360"/>
    </w:pPr>
    <w:r>
      <w:rPr>
        <w:noProof/>
      </w:rPr>
      <w:drawing>
        <wp:inline distT="0" distB="0" distL="0" distR="0" wp14:anchorId="5BC1105B" wp14:editId="189D627B">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1DC4" w14:textId="77777777" w:rsidR="006A186F" w:rsidRDefault="006A186F">
    <w:pPr>
      <w:pStyle w:val="Footer"/>
    </w:pPr>
    <w:r>
      <w:rPr>
        <w:noProof/>
      </w:rPr>
      <mc:AlternateContent>
        <mc:Choice Requires="wps">
          <w:drawing>
            <wp:anchor distT="0" distB="0" distL="0" distR="0" simplePos="0" relativeHeight="251664384" behindDoc="0" locked="0" layoutInCell="1" allowOverlap="1" wp14:anchorId="14BFA67E" wp14:editId="1762EABF">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F08C5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BFA67E"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3F08C5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B5B76" w14:textId="77777777" w:rsidR="00A378BA" w:rsidRDefault="00A378BA" w:rsidP="00660C79">
      <w:pPr>
        <w:spacing w:line="240" w:lineRule="auto"/>
      </w:pPr>
      <w:r>
        <w:separator/>
      </w:r>
    </w:p>
  </w:footnote>
  <w:footnote w:type="continuationSeparator" w:id="0">
    <w:p w14:paraId="12C11B2C" w14:textId="77777777" w:rsidR="00A378BA" w:rsidRDefault="00A378BA"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C1A6" w14:textId="77777777" w:rsidR="006A186F" w:rsidRDefault="006A186F">
    <w:pPr>
      <w:pStyle w:val="Header"/>
    </w:pPr>
    <w:r>
      <w:rPr>
        <w:noProof/>
      </w:rPr>
      <mc:AlternateContent>
        <mc:Choice Requires="wps">
          <w:drawing>
            <wp:anchor distT="0" distB="0" distL="0" distR="0" simplePos="0" relativeHeight="251662336" behindDoc="0" locked="0" layoutInCell="1" allowOverlap="1" wp14:anchorId="714F4A7E" wp14:editId="09E9A52F">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837375"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F4A7E"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8837375"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9E95" w14:textId="6D3D27B2" w:rsidR="008D113C" w:rsidRPr="00917BB1" w:rsidRDefault="006A186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3360" behindDoc="0" locked="0" layoutInCell="1" allowOverlap="1" wp14:anchorId="6372B4A5" wp14:editId="4288FD1A">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9E492"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72B4A5"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FF9E492"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r w:rsidR="00054604">
      <w:rPr>
        <w:color w:val="6E7571" w:themeColor="text2"/>
      </w:rPr>
      <w:t xml:space="preserve">Prior </w:t>
    </w:r>
    <w:r w:rsidR="005F72CB">
      <w:rPr>
        <w:color w:val="6E7571" w:themeColor="text2"/>
      </w:rPr>
      <w:t>t</w:t>
    </w:r>
    <w:r w:rsidR="00054604">
      <w:rPr>
        <w:color w:val="6E7571" w:themeColor="text2"/>
      </w:rPr>
      <w:t xml:space="preserve">reatment of </w:t>
    </w:r>
    <w:r w:rsidR="005F72CB">
      <w:rPr>
        <w:color w:val="6E7571" w:themeColor="text2"/>
      </w:rPr>
      <w:t>w</w:t>
    </w:r>
    <w:r w:rsidR="00054604">
      <w:rPr>
        <w:color w:val="6E7571" w:themeColor="text2"/>
      </w:rPr>
      <w:t xml:space="preserve">aste for </w:t>
    </w:r>
    <w:r w:rsidR="005F72CB">
      <w:rPr>
        <w:color w:val="6E7571" w:themeColor="text2"/>
      </w:rPr>
      <w:t>l</w:t>
    </w:r>
    <w:r w:rsidR="00054604">
      <w:rPr>
        <w:color w:val="6E7571" w:themeColor="text2"/>
      </w:rPr>
      <w:t>andfill</w:t>
    </w:r>
  </w:p>
  <w:p w14:paraId="68AE9025"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1C629C26" wp14:editId="0E0D1F25">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765261"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FFC9" w14:textId="77777777" w:rsidR="006A186F" w:rsidRDefault="006A186F">
    <w:pPr>
      <w:pStyle w:val="Header"/>
    </w:pPr>
    <w:r>
      <w:rPr>
        <w:noProof/>
      </w:rPr>
      <mc:AlternateContent>
        <mc:Choice Requires="wps">
          <w:drawing>
            <wp:anchor distT="0" distB="0" distL="0" distR="0" simplePos="0" relativeHeight="251661312" behindDoc="0" locked="0" layoutInCell="1" allowOverlap="1" wp14:anchorId="68D7BFFA" wp14:editId="37ECDBF9">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5886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D7BFFA"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775886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4C2263"/>
    <w:multiLevelType w:val="multilevel"/>
    <w:tmpl w:val="B8541C60"/>
    <w:lvl w:ilvl="0">
      <w:start w:val="1"/>
      <w:numFmt w:val="decimal"/>
      <w:lvlText w:val="%1.0"/>
      <w:lvlJc w:val="left"/>
      <w:pPr>
        <w:ind w:left="670" w:hanging="670"/>
      </w:pPr>
      <w:rPr>
        <w:rFonts w:hint="default"/>
      </w:rPr>
    </w:lvl>
    <w:lvl w:ilvl="1">
      <w:start w:val="1"/>
      <w:numFmt w:val="decimal"/>
      <w:lvlText w:val="%1.%2"/>
      <w:lvlJc w:val="left"/>
      <w:pPr>
        <w:ind w:left="1390" w:hanging="6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D7A0463"/>
    <w:multiLevelType w:val="hybridMultilevel"/>
    <w:tmpl w:val="31143266"/>
    <w:lvl w:ilvl="0" w:tplc="0122E21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2D96265"/>
    <w:multiLevelType w:val="hybridMultilevel"/>
    <w:tmpl w:val="317E2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8032B3"/>
    <w:multiLevelType w:val="hybridMultilevel"/>
    <w:tmpl w:val="8A9626BA"/>
    <w:lvl w:ilvl="0" w:tplc="1954146C">
      <w:start w:val="1"/>
      <w:numFmt w:val="lowerLetter"/>
      <w:lvlText w:val="(%1)"/>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8EE07E">
      <w:start w:val="1"/>
      <w:numFmt w:val="lowerLetter"/>
      <w:lvlText w:val="%2"/>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E27D4C">
      <w:start w:val="1"/>
      <w:numFmt w:val="lowerRoman"/>
      <w:lvlText w:val="%3"/>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86A4DE">
      <w:start w:val="1"/>
      <w:numFmt w:val="decimal"/>
      <w:lvlText w:val="%4"/>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202DD6">
      <w:start w:val="1"/>
      <w:numFmt w:val="lowerLetter"/>
      <w:lvlText w:val="%5"/>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9686C6">
      <w:start w:val="1"/>
      <w:numFmt w:val="lowerRoman"/>
      <w:lvlText w:val="%6"/>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AEA8C0">
      <w:start w:val="1"/>
      <w:numFmt w:val="decimal"/>
      <w:lvlText w:val="%7"/>
      <w:lvlJc w:val="left"/>
      <w:pPr>
        <w:ind w:left="6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BC1AA0">
      <w:start w:val="1"/>
      <w:numFmt w:val="lowerLetter"/>
      <w:lvlText w:val="%8"/>
      <w:lvlJc w:val="left"/>
      <w:pPr>
        <w:ind w:left="7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E4DDFC">
      <w:start w:val="1"/>
      <w:numFmt w:val="lowerRoman"/>
      <w:lvlText w:val="%9"/>
      <w:lvlJc w:val="left"/>
      <w:pPr>
        <w:ind w:left="7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C6B3BD4"/>
    <w:multiLevelType w:val="multilevel"/>
    <w:tmpl w:val="D140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5076264">
    <w:abstractNumId w:val="15"/>
  </w:num>
  <w:num w:numId="12" w16cid:durableId="493033918">
    <w:abstractNumId w:val="12"/>
  </w:num>
  <w:num w:numId="13" w16cid:durableId="368535572">
    <w:abstractNumId w:val="14"/>
  </w:num>
  <w:num w:numId="14" w16cid:durableId="180171272">
    <w:abstractNumId w:val="10"/>
  </w:num>
  <w:num w:numId="15" w16cid:durableId="139471058">
    <w:abstractNumId w:val="13"/>
  </w:num>
  <w:num w:numId="16" w16cid:durableId="1278684709">
    <w:abstractNumId w:val="11"/>
  </w:num>
  <w:num w:numId="17" w16cid:durableId="11154885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9E"/>
    <w:rsid w:val="00013E2C"/>
    <w:rsid w:val="00022B04"/>
    <w:rsid w:val="00032829"/>
    <w:rsid w:val="00040561"/>
    <w:rsid w:val="0004786E"/>
    <w:rsid w:val="00054604"/>
    <w:rsid w:val="00060CF2"/>
    <w:rsid w:val="00061713"/>
    <w:rsid w:val="00070937"/>
    <w:rsid w:val="000806F4"/>
    <w:rsid w:val="000B0531"/>
    <w:rsid w:val="000B191C"/>
    <w:rsid w:val="000B2D88"/>
    <w:rsid w:val="000B7559"/>
    <w:rsid w:val="000D09EF"/>
    <w:rsid w:val="000E0D15"/>
    <w:rsid w:val="000E28DA"/>
    <w:rsid w:val="00105F31"/>
    <w:rsid w:val="00157149"/>
    <w:rsid w:val="001A065D"/>
    <w:rsid w:val="001B65F4"/>
    <w:rsid w:val="001F4497"/>
    <w:rsid w:val="00236552"/>
    <w:rsid w:val="00251D04"/>
    <w:rsid w:val="00281BB1"/>
    <w:rsid w:val="00290B1F"/>
    <w:rsid w:val="002D256F"/>
    <w:rsid w:val="0030096D"/>
    <w:rsid w:val="00317618"/>
    <w:rsid w:val="003868E3"/>
    <w:rsid w:val="003C60B0"/>
    <w:rsid w:val="003D6BCF"/>
    <w:rsid w:val="003F2E3F"/>
    <w:rsid w:val="003F5384"/>
    <w:rsid w:val="004026A6"/>
    <w:rsid w:val="004073BC"/>
    <w:rsid w:val="00427C00"/>
    <w:rsid w:val="00444AA1"/>
    <w:rsid w:val="00492008"/>
    <w:rsid w:val="004C004D"/>
    <w:rsid w:val="004C763F"/>
    <w:rsid w:val="004E2348"/>
    <w:rsid w:val="004F56AB"/>
    <w:rsid w:val="00507E2D"/>
    <w:rsid w:val="005258C4"/>
    <w:rsid w:val="00527577"/>
    <w:rsid w:val="0054240C"/>
    <w:rsid w:val="00551989"/>
    <w:rsid w:val="005A355E"/>
    <w:rsid w:val="005D1213"/>
    <w:rsid w:val="005E21C7"/>
    <w:rsid w:val="005F72CB"/>
    <w:rsid w:val="006243FF"/>
    <w:rsid w:val="006508D0"/>
    <w:rsid w:val="00660C79"/>
    <w:rsid w:val="00672369"/>
    <w:rsid w:val="006A186F"/>
    <w:rsid w:val="006D16CE"/>
    <w:rsid w:val="007074BF"/>
    <w:rsid w:val="00725AFC"/>
    <w:rsid w:val="00767BCC"/>
    <w:rsid w:val="007753B8"/>
    <w:rsid w:val="007C3F12"/>
    <w:rsid w:val="007D441B"/>
    <w:rsid w:val="007E2850"/>
    <w:rsid w:val="00801105"/>
    <w:rsid w:val="00837CA1"/>
    <w:rsid w:val="00840E5C"/>
    <w:rsid w:val="00850058"/>
    <w:rsid w:val="00852444"/>
    <w:rsid w:val="00861B46"/>
    <w:rsid w:val="008C1A73"/>
    <w:rsid w:val="008D113C"/>
    <w:rsid w:val="008D376F"/>
    <w:rsid w:val="008F4733"/>
    <w:rsid w:val="00917BB1"/>
    <w:rsid w:val="00947485"/>
    <w:rsid w:val="0097059A"/>
    <w:rsid w:val="00975D21"/>
    <w:rsid w:val="00980531"/>
    <w:rsid w:val="00986B9E"/>
    <w:rsid w:val="009A240D"/>
    <w:rsid w:val="009B00E8"/>
    <w:rsid w:val="00A378BA"/>
    <w:rsid w:val="00A44B9E"/>
    <w:rsid w:val="00A70B32"/>
    <w:rsid w:val="00A9349C"/>
    <w:rsid w:val="00AC7D5F"/>
    <w:rsid w:val="00AE068C"/>
    <w:rsid w:val="00AF2E0F"/>
    <w:rsid w:val="00B46E48"/>
    <w:rsid w:val="00B54CF4"/>
    <w:rsid w:val="00B90DE0"/>
    <w:rsid w:val="00B93BC1"/>
    <w:rsid w:val="00B97FCE"/>
    <w:rsid w:val="00C418FB"/>
    <w:rsid w:val="00C569B9"/>
    <w:rsid w:val="00CC4E8F"/>
    <w:rsid w:val="00CD6AC0"/>
    <w:rsid w:val="00CF2981"/>
    <w:rsid w:val="00CF7EFB"/>
    <w:rsid w:val="00D35448"/>
    <w:rsid w:val="00D40523"/>
    <w:rsid w:val="00DC7D90"/>
    <w:rsid w:val="00E11A56"/>
    <w:rsid w:val="00E12C26"/>
    <w:rsid w:val="00E142AB"/>
    <w:rsid w:val="00E37846"/>
    <w:rsid w:val="00E67C75"/>
    <w:rsid w:val="00E77FE5"/>
    <w:rsid w:val="00E824C7"/>
    <w:rsid w:val="00EC429C"/>
    <w:rsid w:val="00EC6A73"/>
    <w:rsid w:val="00ED082E"/>
    <w:rsid w:val="00F045FC"/>
    <w:rsid w:val="00F07048"/>
    <w:rsid w:val="00F15A28"/>
    <w:rsid w:val="00F27FC1"/>
    <w:rsid w:val="00F72274"/>
    <w:rsid w:val="00FF5D5A"/>
    <w:rsid w:val="5754033F"/>
    <w:rsid w:val="62D8E0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59A4D"/>
  <w15:chartTrackingRefBased/>
  <w15:docId w15:val="{5E2011D7-1BBF-4D33-862A-B540FDA4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2D"/>
    <w:pPr>
      <w:spacing w:line="360" w:lineRule="auto"/>
    </w:pPr>
    <w:rPr>
      <w:rFonts w:eastAsiaTheme="minorEastAsia"/>
    </w:rPr>
  </w:style>
  <w:style w:type="paragraph" w:styleId="Heading1">
    <w:name w:val="heading 1"/>
    <w:basedOn w:val="Normal"/>
    <w:next w:val="Normal"/>
    <w:link w:val="Heading1Char"/>
    <w:uiPriority w:val="9"/>
    <w:qFormat/>
    <w:rsid w:val="004C004D"/>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C004D"/>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C004D"/>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725AFC"/>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C004D"/>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C004D"/>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C004D"/>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725AFC"/>
    <w:rPr>
      <w:rFonts w:asciiTheme="majorHAnsi" w:eastAsiaTheme="majorEastAsia" w:hAnsiTheme="majorHAnsi" w:cstheme="majorBidi"/>
      <w:b/>
      <w:iCs/>
    </w:rPr>
  </w:style>
  <w:style w:type="paragraph" w:customStyle="1" w:styleId="BodyText1">
    <w:name w:val="Body Text1"/>
    <w:basedOn w:val="Normal"/>
    <w:qFormat/>
    <w:rsid w:val="000B0531"/>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Title">
    <w:name w:val="Title"/>
    <w:basedOn w:val="Normal"/>
    <w:next w:val="Normal"/>
    <w:link w:val="TitleChar"/>
    <w:uiPriority w:val="10"/>
    <w:qFormat/>
    <w:rsid w:val="00A70B32"/>
    <w:pPr>
      <w:spacing w:line="240" w:lineRule="auto"/>
      <w:contextualSpacing/>
    </w:pPr>
    <w:rPr>
      <w:rFonts w:asciiTheme="majorHAnsi" w:eastAsiaTheme="majorEastAsia" w:hAnsiTheme="majorHAnsi" w:cstheme="majorBidi"/>
      <w:b/>
      <w:color w:val="FFFFFF" w:themeColor="background1"/>
      <w:spacing w:val="-10"/>
      <w:kern w:val="28"/>
      <w:sz w:val="84"/>
      <w:szCs w:val="56"/>
    </w:rPr>
  </w:style>
  <w:style w:type="character" w:customStyle="1" w:styleId="TitleChar">
    <w:name w:val="Title Char"/>
    <w:basedOn w:val="DefaultParagraphFont"/>
    <w:link w:val="Title"/>
    <w:uiPriority w:val="10"/>
    <w:rsid w:val="00A70B32"/>
    <w:rPr>
      <w:rFonts w:asciiTheme="majorHAnsi" w:eastAsiaTheme="majorEastAsia" w:hAnsiTheme="majorHAnsi" w:cstheme="majorBidi"/>
      <w:b/>
      <w:color w:val="FFFFFF" w:themeColor="background1"/>
      <w:spacing w:val="-10"/>
      <w:kern w:val="28"/>
      <w:sz w:val="84"/>
      <w:szCs w:val="56"/>
    </w:rPr>
  </w:style>
  <w:style w:type="paragraph" w:styleId="NormalWeb">
    <w:name w:val="Normal (Web)"/>
    <w:basedOn w:val="Normal"/>
    <w:uiPriority w:val="99"/>
    <w:semiHidden/>
    <w:unhideWhenUsed/>
    <w:rsid w:val="003D6BCF"/>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157149"/>
    <w:pPr>
      <w:ind w:left="720"/>
      <w:contextualSpacing/>
    </w:pPr>
  </w:style>
  <w:style w:type="paragraph" w:styleId="TOC1">
    <w:name w:val="toc 1"/>
    <w:hidden/>
    <w:uiPriority w:val="39"/>
    <w:rsid w:val="001F4497"/>
    <w:pPr>
      <w:spacing w:after="4" w:line="248" w:lineRule="auto"/>
      <w:ind w:left="25" w:right="23" w:hanging="10"/>
    </w:pPr>
    <w:rPr>
      <w:rFonts w:ascii="Arial" w:eastAsia="Arial" w:hAnsi="Arial" w:cs="Arial"/>
      <w:color w:val="000000"/>
      <w:kern w:val="2"/>
      <w:sz w:val="19"/>
      <w:lang w:eastAsia="en-GB"/>
      <w14:ligatures w14:val="standardContextual"/>
    </w:rPr>
  </w:style>
  <w:style w:type="paragraph" w:styleId="TOC2">
    <w:name w:val="toc 2"/>
    <w:basedOn w:val="Normal"/>
    <w:next w:val="Normal"/>
    <w:autoRedefine/>
    <w:uiPriority w:val="39"/>
    <w:unhideWhenUsed/>
    <w:rsid w:val="001F449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2599">
      <w:bodyDiv w:val="1"/>
      <w:marLeft w:val="0"/>
      <w:marRight w:val="0"/>
      <w:marTop w:val="0"/>
      <w:marBottom w:val="0"/>
      <w:divBdr>
        <w:top w:val="none" w:sz="0" w:space="0" w:color="auto"/>
        <w:left w:val="none" w:sz="0" w:space="0" w:color="auto"/>
        <w:bottom w:val="none" w:sz="0" w:space="0" w:color="auto"/>
        <w:right w:val="none" w:sz="0" w:space="0" w:color="auto"/>
      </w:divBdr>
    </w:div>
    <w:div w:id="145031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land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70DBF9F8-7A8A-4C9B-8C22-7ECBF182A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4928D6-9C21-4B68-80F6-B78C4AB089C8}">
  <ds:schemaRefs>
    <ds:schemaRef ds:uri="http://schemas.microsoft.com/sharepoint/v3/contenttype/forms"/>
  </ds:schemaRefs>
</ds:datastoreItem>
</file>

<file path=customXml/itemProps4.xml><?xml version="1.0" encoding="utf-8"?>
<ds:datastoreItem xmlns:ds="http://schemas.openxmlformats.org/officeDocument/2006/customXml" ds:itemID="{33881076-B4FF-447D-B178-0ED6394B04B6}">
  <ds:schemaRef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documentManagement/types"/>
    <ds:schemaRef ds:uri="7dd4d6b0-2bd1-40f7-94aa-8d4785e79023"/>
    <ds:schemaRef ds:uri="http://purl.org/dc/terms/"/>
    <ds:schemaRef ds:uri="ce5b52f7-9556-48ad-bf4f-1238de82834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SEPA_word_template_land_cover</Template>
  <TotalTime>1</TotalTime>
  <Pages>6</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landfill@sepa.org.uk</dc:creator>
  <cp:keywords/>
  <dc:description/>
  <cp:lastModifiedBy>Smith-Welsh, Lola</cp:lastModifiedBy>
  <cp:revision>2</cp:revision>
  <cp:lastPrinted>2023-03-23T14:44:00Z</cp:lastPrinted>
  <dcterms:created xsi:type="dcterms:W3CDTF">2025-06-03T10:42:00Z</dcterms:created>
  <dcterms:modified xsi:type="dcterms:W3CDTF">2025-06-03T10:42:00Z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2023-07-28T13:46:39Z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b38c7c2d-4f2f-436d-8399-64ddd5771f68</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