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09D7" w14:textId="02AE25C4" w:rsidR="00B27FF7" w:rsidRDefault="004F5DD9" w:rsidP="00C2022C">
      <w:r>
        <w:rPr>
          <w:noProof/>
        </w:rPr>
        <w:drawing>
          <wp:anchor distT="0" distB="0" distL="114300" distR="114300" simplePos="0" relativeHeight="251658241" behindDoc="1" locked="0" layoutInCell="1" allowOverlap="1" wp14:anchorId="510926D7" wp14:editId="5957E79F">
            <wp:simplePos x="0" y="0"/>
            <wp:positionH relativeFrom="page">
              <wp:posOffset>6985</wp:posOffset>
            </wp:positionH>
            <wp:positionV relativeFrom="paragraph">
              <wp:posOffset>-870878</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B27FF7">
        <w:t xml:space="preserve">   </w:t>
      </w:r>
    </w:p>
    <w:sdt>
      <w:sdtPr>
        <w:id w:val="-191923907"/>
        <w:docPartObj>
          <w:docPartGallery w:val="Cover Pages"/>
          <w:docPartUnique/>
        </w:docPartObj>
      </w:sdtPr>
      <w:sdtEndPr/>
      <w:sdtContent>
        <w:p w14:paraId="13DB46EA" w14:textId="138C2683" w:rsidR="00636826" w:rsidRDefault="00636826" w:rsidP="00C2022C">
          <w:pPr>
            <w:rPr>
              <w:noProof/>
            </w:rPr>
          </w:pPr>
        </w:p>
        <w:p w14:paraId="64EEA66B" w14:textId="77777777" w:rsidR="00E543DF" w:rsidRDefault="00E543DF" w:rsidP="00C2022C">
          <w:pPr>
            <w:rPr>
              <w:noProof/>
            </w:rPr>
          </w:pPr>
        </w:p>
        <w:p w14:paraId="56E2E7F3" w14:textId="6871962C" w:rsidR="00C2022C" w:rsidRDefault="00CF7EFB" w:rsidP="00C2022C">
          <w:r>
            <w:rPr>
              <w:noProof/>
            </w:rPr>
            <w:drawing>
              <wp:inline distT="0" distB="0" distL="0" distR="0" wp14:anchorId="6519C6AE" wp14:editId="28E7F5C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1C1B32" w14:textId="02D1278A" w:rsidR="00C2022C" w:rsidRDefault="00C2022C" w:rsidP="00C2022C"/>
        <w:p w14:paraId="70BC0DDA" w14:textId="0E4E4F97" w:rsidR="00C2022C" w:rsidRPr="009253F2" w:rsidRDefault="009253F2" w:rsidP="00C2022C">
          <w:pPr>
            <w:rPr>
              <w:b/>
              <w:bCs/>
              <w:color w:val="FFFFFF" w:themeColor="background1"/>
              <w:sz w:val="36"/>
              <w:szCs w:val="36"/>
            </w:rPr>
          </w:pPr>
          <w:r w:rsidRPr="009253F2">
            <w:rPr>
              <w:b/>
              <w:bCs/>
              <w:color w:val="FFFFFF" w:themeColor="background1"/>
              <w:sz w:val="36"/>
              <w:szCs w:val="36"/>
            </w:rPr>
            <w:t>WAS-G-POPS-02</w:t>
          </w:r>
        </w:p>
        <w:p w14:paraId="4EC489D5" w14:textId="77777777" w:rsidR="00C2022C" w:rsidRDefault="00C2022C" w:rsidP="00C2022C"/>
        <w:p w14:paraId="48FCCD27" w14:textId="77777777" w:rsidR="00C2022C" w:rsidRDefault="00C2022C" w:rsidP="00C2022C"/>
        <w:p w14:paraId="1BE5FFBB" w14:textId="77777777" w:rsidR="00C2022C" w:rsidRDefault="00C2022C" w:rsidP="00C2022C"/>
        <w:p w14:paraId="363D1A6C" w14:textId="064E15BB" w:rsidR="00AD50BE" w:rsidRDefault="00281BB1" w:rsidP="00C2022C">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5CD8539" wp14:editId="187CCE0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39E920D" w14:textId="4C386781" w:rsidR="00281BB1" w:rsidRPr="009A240D" w:rsidRDefault="00655DBB" w:rsidP="00281BB1">
                                <w:pPr>
                                  <w:pStyle w:val="BodyText1"/>
                                  <w:rPr>
                                    <w:color w:val="FFFFFF" w:themeColor="background1"/>
                                  </w:rPr>
                                </w:pPr>
                                <w:r>
                                  <w:rPr>
                                    <w:color w:val="FFFFFF" w:themeColor="background1"/>
                                  </w:rPr>
                                  <w:t xml:space="preserve">Version </w:t>
                                </w:r>
                                <w:r w:rsidR="00AD50BE">
                                  <w:rPr>
                                    <w:color w:val="FFFFFF" w:themeColor="background1"/>
                                  </w:rPr>
                                  <w:t>3</w:t>
                                </w:r>
                                <w:r w:rsidR="00B46E72">
                                  <w:rPr>
                                    <w:color w:val="FFFFFF" w:themeColor="background1"/>
                                  </w:rPr>
                                  <w:t>.0</w:t>
                                </w:r>
                                <w:r>
                                  <w:rPr>
                                    <w:color w:val="FFFFFF" w:themeColor="background1"/>
                                  </w:rPr>
                                  <w:t xml:space="preserve"> - </w:t>
                                </w:r>
                                <w:r w:rsidR="00C20F06">
                                  <w:rPr>
                                    <w:color w:val="FFFFFF" w:themeColor="background1"/>
                                  </w:rPr>
                                  <w:t>August</w:t>
                                </w:r>
                                <w:r w:rsidR="00B97337">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D853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39E920D" w14:textId="4C386781" w:rsidR="00281BB1" w:rsidRPr="009A240D" w:rsidRDefault="00655DBB" w:rsidP="00281BB1">
                          <w:pPr>
                            <w:pStyle w:val="BodyText1"/>
                            <w:rPr>
                              <w:color w:val="FFFFFF" w:themeColor="background1"/>
                            </w:rPr>
                          </w:pPr>
                          <w:r>
                            <w:rPr>
                              <w:color w:val="FFFFFF" w:themeColor="background1"/>
                            </w:rPr>
                            <w:t xml:space="preserve">Version </w:t>
                          </w:r>
                          <w:r w:rsidR="00AD50BE">
                            <w:rPr>
                              <w:color w:val="FFFFFF" w:themeColor="background1"/>
                            </w:rPr>
                            <w:t>3</w:t>
                          </w:r>
                          <w:r w:rsidR="00B46E72">
                            <w:rPr>
                              <w:color w:val="FFFFFF" w:themeColor="background1"/>
                            </w:rPr>
                            <w:t>.0</w:t>
                          </w:r>
                          <w:r>
                            <w:rPr>
                              <w:color w:val="FFFFFF" w:themeColor="background1"/>
                            </w:rPr>
                            <w:t xml:space="preserve"> - </w:t>
                          </w:r>
                          <w:r w:rsidR="00C20F06">
                            <w:rPr>
                              <w:color w:val="FFFFFF" w:themeColor="background1"/>
                            </w:rPr>
                            <w:t>August</w:t>
                          </w:r>
                          <w:r w:rsidR="00B97337">
                            <w:rPr>
                              <w:color w:val="FFFFFF" w:themeColor="background1"/>
                            </w:rPr>
                            <w:t xml:space="preserve"> 2025</w:t>
                          </w:r>
                        </w:p>
                      </w:txbxContent>
                    </v:textbox>
                    <w10:anchorlock/>
                  </v:shape>
                </w:pict>
              </mc:Fallback>
            </mc:AlternateContent>
          </w:r>
          <w:r w:rsidR="005B3FF5">
            <w:rPr>
              <w:b/>
              <w:bCs/>
              <w:color w:val="FFFFFF" w:themeColor="background1"/>
              <w:sz w:val="84"/>
              <w:szCs w:val="84"/>
            </w:rPr>
            <w:t>SEPA</w:t>
          </w:r>
          <w:r w:rsidR="00636826">
            <w:rPr>
              <w:b/>
              <w:bCs/>
              <w:color w:val="FFFFFF" w:themeColor="background1"/>
              <w:sz w:val="84"/>
              <w:szCs w:val="84"/>
            </w:rPr>
            <w:t xml:space="preserve"> </w:t>
          </w:r>
          <w:r w:rsidR="00A73F97">
            <w:rPr>
              <w:b/>
              <w:bCs/>
              <w:color w:val="FFFFFF" w:themeColor="background1"/>
              <w:sz w:val="84"/>
              <w:szCs w:val="84"/>
            </w:rPr>
            <w:t>g</w:t>
          </w:r>
          <w:r w:rsidR="00636826">
            <w:rPr>
              <w:b/>
              <w:bCs/>
              <w:color w:val="FFFFFF" w:themeColor="background1"/>
              <w:sz w:val="84"/>
              <w:szCs w:val="84"/>
            </w:rPr>
            <w:t>uidance</w:t>
          </w:r>
          <w:r w:rsidR="00B46E72">
            <w:rPr>
              <w:b/>
              <w:bCs/>
              <w:color w:val="FFFFFF" w:themeColor="background1"/>
              <w:sz w:val="84"/>
              <w:szCs w:val="84"/>
            </w:rPr>
            <w:t>:</w:t>
          </w:r>
          <w:r w:rsidR="00636826">
            <w:rPr>
              <w:b/>
              <w:bCs/>
              <w:color w:val="FFFFFF" w:themeColor="background1"/>
              <w:sz w:val="84"/>
              <w:szCs w:val="84"/>
            </w:rPr>
            <w:t xml:space="preserve"> </w:t>
          </w:r>
          <w:r w:rsidR="00AD50BE">
            <w:rPr>
              <w:b/>
              <w:bCs/>
              <w:color w:val="FFFFFF" w:themeColor="background1"/>
              <w:sz w:val="84"/>
              <w:szCs w:val="84"/>
            </w:rPr>
            <w:t xml:space="preserve">hazardous substances or persistent organic pollutants </w:t>
          </w:r>
        </w:p>
        <w:p w14:paraId="5B0965FD" w14:textId="77777777" w:rsidR="00AD50BE" w:rsidRDefault="00AD50BE" w:rsidP="00C2022C">
          <w:pPr>
            <w:rPr>
              <w:b/>
              <w:bCs/>
              <w:color w:val="FFFFFF" w:themeColor="background1"/>
              <w:sz w:val="84"/>
              <w:szCs w:val="84"/>
            </w:rPr>
          </w:pPr>
          <w:r>
            <w:rPr>
              <w:b/>
              <w:bCs/>
              <w:color w:val="FFFFFF" w:themeColor="background1"/>
              <w:sz w:val="84"/>
              <w:szCs w:val="84"/>
            </w:rPr>
            <w:t xml:space="preserve">(POPs) </w:t>
          </w:r>
        </w:p>
        <w:p w14:paraId="5E88F471" w14:textId="0AB865F6" w:rsidR="00636826" w:rsidRDefault="00AD50BE" w:rsidP="00CF7EFB">
          <w:r>
            <w:rPr>
              <w:b/>
              <w:bCs/>
              <w:color w:val="FFFFFF" w:themeColor="background1"/>
              <w:sz w:val="84"/>
              <w:szCs w:val="84"/>
            </w:rPr>
            <w:t>in WEEE</w:t>
          </w:r>
        </w:p>
        <w:p w14:paraId="0E13E7F4" w14:textId="7C1AAC28" w:rsidR="008C1A73" w:rsidRPr="00CF7EFB" w:rsidRDefault="00B741F8" w:rsidP="00CF7EFB">
          <w:pPr>
            <w:rPr>
              <w:b/>
              <w:bCs/>
              <w:color w:val="FFFFFF" w:themeColor="background1"/>
              <w:sz w:val="84"/>
              <w:szCs w:val="84"/>
            </w:rPr>
          </w:pPr>
        </w:p>
      </w:sdtContent>
    </w:sdt>
    <w:sdt>
      <w:sdtPr>
        <w:rPr>
          <w:rFonts w:asciiTheme="majorHAnsi" w:eastAsiaTheme="majorEastAsia" w:hAnsiTheme="majorHAnsi" w:cstheme="majorBidi"/>
          <w:b/>
          <w:bCs/>
          <w:color w:val="016574" w:themeColor="accent2"/>
          <w:sz w:val="32"/>
          <w:szCs w:val="32"/>
        </w:rPr>
        <w:id w:val="-1241023247"/>
        <w:docPartObj>
          <w:docPartGallery w:val="Cover Pages"/>
          <w:docPartUnique/>
        </w:docPartObj>
      </w:sdtPr>
      <w:sdtEndPr>
        <w:rPr>
          <w:rStyle w:val="normaltextrun"/>
          <w:rFonts w:cstheme="majorHAnsi"/>
          <w:b w:val="0"/>
          <w:bCs w:val="0"/>
          <w:color w:val="auto"/>
          <w:sz w:val="24"/>
          <w:szCs w:val="24"/>
        </w:rPr>
      </w:sdtEndPr>
      <w:sdtContent>
        <w:sdt>
          <w:sdtPr>
            <w:id w:val="1292030047"/>
            <w:docPartObj>
              <w:docPartGallery w:val="Table of Contents"/>
              <w:docPartUnique/>
            </w:docPartObj>
          </w:sdtPr>
          <w:sdtEndPr/>
          <w:sdtContent>
            <w:p w14:paraId="105CB297" w14:textId="17412769" w:rsidR="00B97337" w:rsidRPr="00636826" w:rsidRDefault="00B97337" w:rsidP="00C372E0">
              <w:pPr>
                <w:rPr>
                  <w:rStyle w:val="Heading2Char"/>
                  <w:rFonts w:eastAsiaTheme="minorEastAsia"/>
                  <w:b w:val="0"/>
                  <w:color w:val="auto"/>
                  <w:sz w:val="24"/>
                  <w:szCs w:val="24"/>
                </w:rPr>
              </w:pPr>
              <w:r w:rsidRPr="004B05C0">
                <w:rPr>
                  <w:rStyle w:val="Heading2Char"/>
                </w:rPr>
                <w:t>Contents</w:t>
              </w:r>
            </w:p>
            <w:p w14:paraId="21058B2E" w14:textId="05887F30" w:rsidR="0077796E" w:rsidRPr="00D83755" w:rsidRDefault="1EDC844F">
              <w:pPr>
                <w:pStyle w:val="TOC2"/>
                <w:rPr>
                  <w:noProof/>
                  <w:kern w:val="2"/>
                  <w:lang w:eastAsia="en-GB"/>
                  <w14:ligatures w14:val="standardContextual"/>
                </w:rPr>
              </w:pPr>
              <w:r>
                <w:fldChar w:fldCharType="begin"/>
              </w:r>
              <w:r w:rsidR="00B97337">
                <w:instrText>TOC \o "1-3" \z \u \h</w:instrText>
              </w:r>
              <w:r>
                <w:fldChar w:fldCharType="separate"/>
              </w:r>
              <w:hyperlink w:anchor="_Toc184980437" w:history="1">
                <w:r w:rsidR="0077796E" w:rsidRPr="00D83755">
                  <w:rPr>
                    <w:rStyle w:val="Hyperlink"/>
                    <w:noProof/>
                  </w:rPr>
                  <w:t>Purpose</w:t>
                </w:r>
                <w:r w:rsidR="0077796E" w:rsidRPr="00D83755">
                  <w:rPr>
                    <w:noProof/>
                    <w:webHidden/>
                  </w:rPr>
                  <w:tab/>
                </w:r>
                <w:r w:rsidR="0077796E" w:rsidRPr="00D83755">
                  <w:rPr>
                    <w:noProof/>
                    <w:webHidden/>
                  </w:rPr>
                  <w:fldChar w:fldCharType="begin"/>
                </w:r>
                <w:r w:rsidR="0077796E" w:rsidRPr="00D83755">
                  <w:rPr>
                    <w:noProof/>
                    <w:webHidden/>
                  </w:rPr>
                  <w:instrText xml:space="preserve"> PAGEREF _Toc184980437 \h </w:instrText>
                </w:r>
                <w:r w:rsidR="0077796E" w:rsidRPr="00D83755">
                  <w:rPr>
                    <w:noProof/>
                    <w:webHidden/>
                  </w:rPr>
                </w:r>
                <w:r w:rsidR="0077796E" w:rsidRPr="00D83755">
                  <w:rPr>
                    <w:noProof/>
                    <w:webHidden/>
                  </w:rPr>
                  <w:fldChar w:fldCharType="separate"/>
                </w:r>
                <w:r w:rsidR="0077796E" w:rsidRPr="00D83755">
                  <w:rPr>
                    <w:noProof/>
                    <w:webHidden/>
                  </w:rPr>
                  <w:t>3</w:t>
                </w:r>
                <w:r w:rsidR="0077796E" w:rsidRPr="00D83755">
                  <w:rPr>
                    <w:noProof/>
                    <w:webHidden/>
                  </w:rPr>
                  <w:fldChar w:fldCharType="end"/>
                </w:r>
              </w:hyperlink>
            </w:p>
            <w:p w14:paraId="6CB91696" w14:textId="43B5EF70" w:rsidR="0077796E" w:rsidRPr="00D83755" w:rsidRDefault="0077796E">
              <w:pPr>
                <w:pStyle w:val="TOC1"/>
                <w:rPr>
                  <w:b w:val="0"/>
                  <w:bCs w:val="0"/>
                  <w:kern w:val="2"/>
                  <w:sz w:val="24"/>
                  <w:szCs w:val="24"/>
                  <w:lang w:eastAsia="en-GB"/>
                  <w14:ligatures w14:val="standardContextual"/>
                </w:rPr>
              </w:pPr>
              <w:hyperlink w:anchor="_Toc184980438" w:history="1">
                <w:r w:rsidRPr="00D83755">
                  <w:rPr>
                    <w:rStyle w:val="Hyperlink"/>
                    <w:rFonts w:asciiTheme="majorHAnsi" w:eastAsiaTheme="majorEastAsia" w:hAnsiTheme="majorHAnsi" w:cstheme="majorBidi"/>
                    <w:b w:val="0"/>
                    <w:bCs w:val="0"/>
                    <w:sz w:val="24"/>
                    <w:szCs w:val="24"/>
                  </w:rPr>
                  <w:t>Background</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_Toc184980438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3</w:t>
                </w:r>
                <w:r w:rsidRPr="00D83755">
                  <w:rPr>
                    <w:b w:val="0"/>
                    <w:bCs w:val="0"/>
                    <w:webHidden/>
                    <w:sz w:val="24"/>
                    <w:szCs w:val="24"/>
                  </w:rPr>
                  <w:fldChar w:fldCharType="end"/>
                </w:r>
              </w:hyperlink>
            </w:p>
            <w:p w14:paraId="13A45F26" w14:textId="78BAE2F5" w:rsidR="0077796E" w:rsidRPr="00D83755" w:rsidRDefault="0077796E">
              <w:pPr>
                <w:pStyle w:val="TOC1"/>
                <w:rPr>
                  <w:b w:val="0"/>
                  <w:bCs w:val="0"/>
                  <w:kern w:val="2"/>
                  <w:sz w:val="24"/>
                  <w:szCs w:val="24"/>
                  <w:lang w:eastAsia="en-GB"/>
                  <w14:ligatures w14:val="standardContextual"/>
                </w:rPr>
              </w:pPr>
              <w:hyperlink w:anchor="_Toc184980439" w:history="1">
                <w:r w:rsidRPr="00D83755">
                  <w:rPr>
                    <w:rStyle w:val="Hyperlink"/>
                    <w:rFonts w:asciiTheme="majorHAnsi" w:eastAsiaTheme="majorEastAsia" w:hAnsiTheme="majorHAnsi" w:cstheme="majorBidi"/>
                    <w:b w:val="0"/>
                    <w:bCs w:val="0"/>
                    <w:sz w:val="24"/>
                    <w:szCs w:val="24"/>
                  </w:rPr>
                  <w:t>Persistent Organic Pollutants (POPs)</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_Toc184980439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4</w:t>
                </w:r>
                <w:r w:rsidRPr="00D83755">
                  <w:rPr>
                    <w:b w:val="0"/>
                    <w:bCs w:val="0"/>
                    <w:webHidden/>
                    <w:sz w:val="24"/>
                    <w:szCs w:val="24"/>
                  </w:rPr>
                  <w:fldChar w:fldCharType="end"/>
                </w:r>
              </w:hyperlink>
            </w:p>
            <w:p w14:paraId="23E2E297" w14:textId="26534FA7" w:rsidR="0077796E" w:rsidRPr="00D83755" w:rsidRDefault="0077796E">
              <w:pPr>
                <w:pStyle w:val="TOC1"/>
                <w:rPr>
                  <w:b w:val="0"/>
                  <w:bCs w:val="0"/>
                  <w:kern w:val="2"/>
                  <w:sz w:val="24"/>
                  <w:szCs w:val="24"/>
                  <w:lang w:eastAsia="en-GB"/>
                  <w14:ligatures w14:val="standardContextual"/>
                </w:rPr>
              </w:pPr>
              <w:hyperlink w:anchor="_Toc184980440" w:history="1">
                <w:r w:rsidRPr="00D83755">
                  <w:rPr>
                    <w:rStyle w:val="Hyperlink"/>
                    <w:rFonts w:asciiTheme="majorHAnsi" w:eastAsiaTheme="majorEastAsia" w:hAnsiTheme="majorHAnsi" w:cstheme="majorBidi"/>
                    <w:b w:val="0"/>
                    <w:bCs w:val="0"/>
                    <w:sz w:val="24"/>
                    <w:szCs w:val="24"/>
                  </w:rPr>
                  <w:t>Your legal obligations regarding WEEE and POPs</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_Toc184980440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4</w:t>
                </w:r>
                <w:r w:rsidRPr="00D83755">
                  <w:rPr>
                    <w:b w:val="0"/>
                    <w:bCs w:val="0"/>
                    <w:webHidden/>
                    <w:sz w:val="24"/>
                    <w:szCs w:val="24"/>
                  </w:rPr>
                  <w:fldChar w:fldCharType="end"/>
                </w:r>
              </w:hyperlink>
            </w:p>
            <w:p w14:paraId="521B6DA8" w14:textId="73E3D806" w:rsidR="0077796E" w:rsidRPr="00D83755" w:rsidRDefault="0077796E">
              <w:pPr>
                <w:pStyle w:val="TOC1"/>
                <w:rPr>
                  <w:b w:val="0"/>
                  <w:bCs w:val="0"/>
                  <w:kern w:val="2"/>
                  <w:sz w:val="24"/>
                  <w:szCs w:val="24"/>
                  <w:lang w:eastAsia="en-GB"/>
                  <w14:ligatures w14:val="standardContextual"/>
                </w:rPr>
              </w:pPr>
              <w:hyperlink w:anchor="_Toc184980441" w:history="1">
                <w:r w:rsidRPr="00D83755">
                  <w:rPr>
                    <w:rStyle w:val="Hyperlink"/>
                    <w:rFonts w:asciiTheme="majorHAnsi" w:eastAsiaTheme="majorEastAsia" w:hAnsiTheme="majorHAnsi" w:cstheme="majorBidi"/>
                    <w:b w:val="0"/>
                    <w:bCs w:val="0"/>
                    <w:sz w:val="24"/>
                    <w:szCs w:val="24"/>
                  </w:rPr>
                  <w:t>When you must destroy POPs in waste</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_Toc184980441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5</w:t>
                </w:r>
                <w:r w:rsidRPr="00D83755">
                  <w:rPr>
                    <w:b w:val="0"/>
                    <w:bCs w:val="0"/>
                    <w:webHidden/>
                    <w:sz w:val="24"/>
                    <w:szCs w:val="24"/>
                  </w:rPr>
                  <w:fldChar w:fldCharType="end"/>
                </w:r>
              </w:hyperlink>
            </w:p>
            <w:p w14:paraId="014AA5B8" w14:textId="102E7CFA" w:rsidR="0077796E" w:rsidRPr="00D83755" w:rsidRDefault="0077796E">
              <w:pPr>
                <w:pStyle w:val="TOC1"/>
                <w:rPr>
                  <w:b w:val="0"/>
                  <w:bCs w:val="0"/>
                  <w:kern w:val="2"/>
                  <w:sz w:val="24"/>
                  <w:szCs w:val="24"/>
                  <w:lang w:eastAsia="en-GB"/>
                  <w14:ligatures w14:val="standardContextual"/>
                </w:rPr>
              </w:pPr>
              <w:hyperlink w:anchor="_Toc184980442" w:history="1">
                <w:r w:rsidRPr="00D83755">
                  <w:rPr>
                    <w:rStyle w:val="Hyperlink"/>
                    <w:rFonts w:asciiTheme="majorHAnsi" w:eastAsiaTheme="majorEastAsia" w:hAnsiTheme="majorHAnsi" w:cstheme="majorBidi"/>
                    <w:b w:val="0"/>
                    <w:bCs w:val="0"/>
                    <w:sz w:val="24"/>
                    <w:szCs w:val="24"/>
                  </w:rPr>
                  <w:t>The classification and description of WEEE</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_Toc184980442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5</w:t>
                </w:r>
                <w:r w:rsidRPr="00D83755">
                  <w:rPr>
                    <w:b w:val="0"/>
                    <w:bCs w:val="0"/>
                    <w:webHidden/>
                    <w:sz w:val="24"/>
                    <w:szCs w:val="24"/>
                  </w:rPr>
                  <w:fldChar w:fldCharType="end"/>
                </w:r>
              </w:hyperlink>
            </w:p>
            <w:p w14:paraId="27C43599" w14:textId="3993AEA3" w:rsidR="0077796E" w:rsidRPr="00D83755" w:rsidRDefault="0077796E">
              <w:pPr>
                <w:pStyle w:val="TOC1"/>
                <w:rPr>
                  <w:b w:val="0"/>
                  <w:bCs w:val="0"/>
                  <w:kern w:val="2"/>
                  <w:sz w:val="24"/>
                  <w:szCs w:val="24"/>
                  <w:lang w:eastAsia="en-GB"/>
                  <w14:ligatures w14:val="standardContextual"/>
                </w:rPr>
              </w:pPr>
              <w:hyperlink w:anchor="_Toc184980443" w:history="1">
                <w:r w:rsidRPr="00D83755">
                  <w:rPr>
                    <w:rStyle w:val="Hyperlink"/>
                    <w:rFonts w:asciiTheme="majorHAnsi" w:eastAsiaTheme="majorEastAsia" w:hAnsiTheme="majorHAnsi" w:cstheme="majorBidi"/>
                    <w:b w:val="0"/>
                    <w:bCs w:val="0"/>
                    <w:sz w:val="24"/>
                    <w:szCs w:val="24"/>
                  </w:rPr>
                  <w:t>Classification of common types of WEEE</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_Toc184980443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7</w:t>
                </w:r>
                <w:r w:rsidRPr="00D83755">
                  <w:rPr>
                    <w:b w:val="0"/>
                    <w:bCs w:val="0"/>
                    <w:webHidden/>
                    <w:sz w:val="24"/>
                    <w:szCs w:val="24"/>
                  </w:rPr>
                  <w:fldChar w:fldCharType="end"/>
                </w:r>
              </w:hyperlink>
            </w:p>
            <w:p w14:paraId="2D48F970" w14:textId="33861C54" w:rsidR="0077796E" w:rsidRPr="00D83755" w:rsidRDefault="0077796E">
              <w:pPr>
                <w:pStyle w:val="TOC2"/>
                <w:rPr>
                  <w:noProof/>
                  <w:kern w:val="2"/>
                  <w:lang w:eastAsia="en-GB"/>
                  <w14:ligatures w14:val="standardContextual"/>
                </w:rPr>
              </w:pPr>
              <w:hyperlink w:anchor="_Toc184980444" w:history="1">
                <w:r w:rsidRPr="00D83755">
                  <w:rPr>
                    <w:rStyle w:val="Hyperlink"/>
                    <w:rFonts w:ascii="Arial" w:eastAsiaTheme="majorEastAsia" w:hAnsi="Arial" w:cstheme="majorBidi"/>
                    <w:noProof/>
                    <w:lang w:val="en-US"/>
                  </w:rPr>
                  <w:t>Televisions, computer monitors and other display devices:</w:t>
                </w:r>
                <w:r w:rsidRPr="00D83755">
                  <w:rPr>
                    <w:noProof/>
                    <w:webHidden/>
                  </w:rPr>
                  <w:tab/>
                </w:r>
                <w:r w:rsidRPr="00D83755">
                  <w:rPr>
                    <w:noProof/>
                    <w:webHidden/>
                  </w:rPr>
                  <w:fldChar w:fldCharType="begin"/>
                </w:r>
                <w:r w:rsidRPr="00D83755">
                  <w:rPr>
                    <w:noProof/>
                    <w:webHidden/>
                  </w:rPr>
                  <w:instrText xml:space="preserve"> PAGEREF _Toc184980444 \h </w:instrText>
                </w:r>
                <w:r w:rsidRPr="00D83755">
                  <w:rPr>
                    <w:noProof/>
                    <w:webHidden/>
                  </w:rPr>
                </w:r>
                <w:r w:rsidRPr="00D83755">
                  <w:rPr>
                    <w:noProof/>
                    <w:webHidden/>
                  </w:rPr>
                  <w:fldChar w:fldCharType="separate"/>
                </w:r>
                <w:r w:rsidRPr="00D83755">
                  <w:rPr>
                    <w:noProof/>
                    <w:webHidden/>
                  </w:rPr>
                  <w:t>7</w:t>
                </w:r>
                <w:r w:rsidRPr="00D83755">
                  <w:rPr>
                    <w:noProof/>
                    <w:webHidden/>
                  </w:rPr>
                  <w:fldChar w:fldCharType="end"/>
                </w:r>
              </w:hyperlink>
            </w:p>
            <w:p w14:paraId="63960E45" w14:textId="5D2A807E" w:rsidR="0077796E" w:rsidRPr="00D83755" w:rsidRDefault="0077796E">
              <w:pPr>
                <w:pStyle w:val="TOC2"/>
                <w:rPr>
                  <w:noProof/>
                  <w:kern w:val="2"/>
                  <w:lang w:eastAsia="en-GB"/>
                  <w14:ligatures w14:val="standardContextual"/>
                </w:rPr>
              </w:pPr>
              <w:hyperlink w:anchor="_Toc184980445" w:history="1">
                <w:r w:rsidRPr="00D83755">
                  <w:rPr>
                    <w:rStyle w:val="Hyperlink"/>
                    <w:rFonts w:ascii="Arial" w:eastAsia="Arial" w:hAnsi="Arial" w:cstheme="majorBidi"/>
                    <w:noProof/>
                    <w:lang w:val="en-US"/>
                  </w:rPr>
                  <w:t>Fridges, freezers, chillers and air-conditioning units:</w:t>
                </w:r>
                <w:r w:rsidRPr="00D83755">
                  <w:rPr>
                    <w:noProof/>
                    <w:webHidden/>
                  </w:rPr>
                  <w:tab/>
                </w:r>
                <w:r w:rsidRPr="00D83755">
                  <w:rPr>
                    <w:noProof/>
                    <w:webHidden/>
                  </w:rPr>
                  <w:fldChar w:fldCharType="begin"/>
                </w:r>
                <w:r w:rsidRPr="00D83755">
                  <w:rPr>
                    <w:noProof/>
                    <w:webHidden/>
                  </w:rPr>
                  <w:instrText xml:space="preserve"> PAGEREF _Toc184980445 \h </w:instrText>
                </w:r>
                <w:r w:rsidRPr="00D83755">
                  <w:rPr>
                    <w:noProof/>
                    <w:webHidden/>
                  </w:rPr>
                </w:r>
                <w:r w:rsidRPr="00D83755">
                  <w:rPr>
                    <w:noProof/>
                    <w:webHidden/>
                  </w:rPr>
                  <w:fldChar w:fldCharType="separate"/>
                </w:r>
                <w:r w:rsidRPr="00D83755">
                  <w:rPr>
                    <w:noProof/>
                    <w:webHidden/>
                  </w:rPr>
                  <w:t>7</w:t>
                </w:r>
                <w:r w:rsidRPr="00D83755">
                  <w:rPr>
                    <w:noProof/>
                    <w:webHidden/>
                  </w:rPr>
                  <w:fldChar w:fldCharType="end"/>
                </w:r>
              </w:hyperlink>
            </w:p>
            <w:p w14:paraId="0EAE67B1" w14:textId="7288F4F6" w:rsidR="0077796E" w:rsidRPr="00D83755" w:rsidRDefault="0077796E">
              <w:pPr>
                <w:pStyle w:val="TOC2"/>
                <w:rPr>
                  <w:noProof/>
                  <w:kern w:val="2"/>
                  <w:lang w:eastAsia="en-GB"/>
                  <w14:ligatures w14:val="standardContextual"/>
                </w:rPr>
              </w:pPr>
              <w:hyperlink w:anchor="_Toc184980446" w:history="1">
                <w:r w:rsidRPr="00D83755">
                  <w:rPr>
                    <w:rStyle w:val="Hyperlink"/>
                    <w:rFonts w:ascii="Arial" w:eastAsia="Arial" w:hAnsi="Arial" w:cstheme="majorBidi"/>
                    <w:noProof/>
                    <w:lang w:val="en-US"/>
                  </w:rPr>
                  <w:t>Large domestic appliances (LDA): white goods (washing machines, tumble driers, dishwashers and cookers)</w:t>
                </w:r>
                <w:r w:rsidRPr="00D83755">
                  <w:rPr>
                    <w:noProof/>
                    <w:webHidden/>
                  </w:rPr>
                  <w:tab/>
                </w:r>
                <w:r w:rsidRPr="00D83755">
                  <w:rPr>
                    <w:noProof/>
                    <w:webHidden/>
                  </w:rPr>
                  <w:fldChar w:fldCharType="begin"/>
                </w:r>
                <w:r w:rsidRPr="00D83755">
                  <w:rPr>
                    <w:noProof/>
                    <w:webHidden/>
                  </w:rPr>
                  <w:instrText xml:space="preserve"> PAGEREF _Toc184980446 \h </w:instrText>
                </w:r>
                <w:r w:rsidRPr="00D83755">
                  <w:rPr>
                    <w:noProof/>
                    <w:webHidden/>
                  </w:rPr>
                </w:r>
                <w:r w:rsidRPr="00D83755">
                  <w:rPr>
                    <w:noProof/>
                    <w:webHidden/>
                  </w:rPr>
                  <w:fldChar w:fldCharType="separate"/>
                </w:r>
                <w:r w:rsidRPr="00D83755">
                  <w:rPr>
                    <w:noProof/>
                    <w:webHidden/>
                  </w:rPr>
                  <w:t>8</w:t>
                </w:r>
                <w:r w:rsidRPr="00D83755">
                  <w:rPr>
                    <w:noProof/>
                    <w:webHidden/>
                  </w:rPr>
                  <w:fldChar w:fldCharType="end"/>
                </w:r>
              </w:hyperlink>
            </w:p>
            <w:p w14:paraId="53CC9B69" w14:textId="3F0FD985" w:rsidR="0077796E" w:rsidRPr="00D83755" w:rsidRDefault="0077796E">
              <w:pPr>
                <w:pStyle w:val="TOC2"/>
                <w:rPr>
                  <w:noProof/>
                  <w:kern w:val="2"/>
                  <w:lang w:eastAsia="en-GB"/>
                  <w14:ligatures w14:val="standardContextual"/>
                </w:rPr>
              </w:pPr>
              <w:hyperlink w:anchor="_Toc184980447" w:history="1">
                <w:r w:rsidRPr="00D83755">
                  <w:rPr>
                    <w:rStyle w:val="Hyperlink"/>
                    <w:rFonts w:ascii="Arial" w:eastAsia="Arial" w:hAnsi="Arial" w:cstheme="majorBidi"/>
                    <w:noProof/>
                    <w:lang w:val="en"/>
                  </w:rPr>
                  <w:t>Small mixed WEEE</w:t>
                </w:r>
                <w:r w:rsidRPr="00D83755">
                  <w:rPr>
                    <w:noProof/>
                    <w:webHidden/>
                  </w:rPr>
                  <w:tab/>
                </w:r>
                <w:r w:rsidRPr="00D83755">
                  <w:rPr>
                    <w:noProof/>
                    <w:webHidden/>
                  </w:rPr>
                  <w:fldChar w:fldCharType="begin"/>
                </w:r>
                <w:r w:rsidRPr="00D83755">
                  <w:rPr>
                    <w:noProof/>
                    <w:webHidden/>
                  </w:rPr>
                  <w:instrText xml:space="preserve"> PAGEREF _Toc184980447 \h </w:instrText>
                </w:r>
                <w:r w:rsidRPr="00D83755">
                  <w:rPr>
                    <w:noProof/>
                    <w:webHidden/>
                  </w:rPr>
                </w:r>
                <w:r w:rsidRPr="00D83755">
                  <w:rPr>
                    <w:noProof/>
                    <w:webHidden/>
                  </w:rPr>
                  <w:fldChar w:fldCharType="separate"/>
                </w:r>
                <w:r w:rsidRPr="00D83755">
                  <w:rPr>
                    <w:noProof/>
                    <w:webHidden/>
                  </w:rPr>
                  <w:t>8</w:t>
                </w:r>
                <w:r w:rsidRPr="00D83755">
                  <w:rPr>
                    <w:noProof/>
                    <w:webHidden/>
                  </w:rPr>
                  <w:fldChar w:fldCharType="end"/>
                </w:r>
              </w:hyperlink>
            </w:p>
            <w:p w14:paraId="6B72E821" w14:textId="431CDB15" w:rsidR="0077796E" w:rsidRPr="00D83755" w:rsidRDefault="0077796E">
              <w:pPr>
                <w:pStyle w:val="TOC2"/>
                <w:rPr>
                  <w:noProof/>
                  <w:kern w:val="2"/>
                  <w:lang w:eastAsia="en-GB"/>
                  <w14:ligatures w14:val="standardContextual"/>
                </w:rPr>
              </w:pPr>
              <w:hyperlink w:anchor="_Toc184980448" w:history="1">
                <w:r w:rsidRPr="00D83755">
                  <w:rPr>
                    <w:rStyle w:val="Hyperlink"/>
                    <w:rFonts w:ascii="Arial" w:eastAsia="Arial" w:hAnsi="Arial" w:cstheme="majorBidi"/>
                    <w:noProof/>
                    <w:lang w:val="en"/>
                  </w:rPr>
                  <w:t>Other household-type electrical items from homes or businesses</w:t>
                </w:r>
                <w:r w:rsidRPr="00D83755">
                  <w:rPr>
                    <w:noProof/>
                    <w:webHidden/>
                  </w:rPr>
                  <w:tab/>
                </w:r>
                <w:r w:rsidRPr="00D83755">
                  <w:rPr>
                    <w:noProof/>
                    <w:webHidden/>
                  </w:rPr>
                  <w:fldChar w:fldCharType="begin"/>
                </w:r>
                <w:r w:rsidRPr="00D83755">
                  <w:rPr>
                    <w:noProof/>
                    <w:webHidden/>
                  </w:rPr>
                  <w:instrText xml:space="preserve"> PAGEREF _Toc184980448 \h </w:instrText>
                </w:r>
                <w:r w:rsidRPr="00D83755">
                  <w:rPr>
                    <w:noProof/>
                    <w:webHidden/>
                  </w:rPr>
                </w:r>
                <w:r w:rsidRPr="00D83755">
                  <w:rPr>
                    <w:noProof/>
                    <w:webHidden/>
                  </w:rPr>
                  <w:fldChar w:fldCharType="separate"/>
                </w:r>
                <w:r w:rsidRPr="00D83755">
                  <w:rPr>
                    <w:noProof/>
                    <w:webHidden/>
                  </w:rPr>
                  <w:t>8</w:t>
                </w:r>
                <w:r w:rsidRPr="00D83755">
                  <w:rPr>
                    <w:noProof/>
                    <w:webHidden/>
                  </w:rPr>
                  <w:fldChar w:fldCharType="end"/>
                </w:r>
              </w:hyperlink>
            </w:p>
            <w:p w14:paraId="324023CA" w14:textId="36BF8F02" w:rsidR="0077796E" w:rsidRPr="00D83755" w:rsidRDefault="0077796E">
              <w:pPr>
                <w:pStyle w:val="TOC2"/>
                <w:rPr>
                  <w:noProof/>
                  <w:kern w:val="2"/>
                  <w:lang w:eastAsia="en-GB"/>
                  <w14:ligatures w14:val="standardContextual"/>
                </w:rPr>
              </w:pPr>
              <w:hyperlink w:anchor="_Toc184980449" w:history="1">
                <w:r w:rsidRPr="00D83755">
                  <w:rPr>
                    <w:rStyle w:val="Hyperlink"/>
                    <w:rFonts w:ascii="Arial" w:eastAsia="Arial" w:hAnsi="Arial" w:cstheme="majorBidi"/>
                    <w:noProof/>
                    <w:lang w:val="en"/>
                  </w:rPr>
                  <w:t>Lightbulbs and lamps</w:t>
                </w:r>
                <w:r w:rsidRPr="00D83755">
                  <w:rPr>
                    <w:noProof/>
                    <w:webHidden/>
                  </w:rPr>
                  <w:tab/>
                </w:r>
                <w:r w:rsidRPr="00D83755">
                  <w:rPr>
                    <w:noProof/>
                    <w:webHidden/>
                  </w:rPr>
                  <w:fldChar w:fldCharType="begin"/>
                </w:r>
                <w:r w:rsidRPr="00D83755">
                  <w:rPr>
                    <w:noProof/>
                    <w:webHidden/>
                  </w:rPr>
                  <w:instrText xml:space="preserve"> PAGEREF _Toc184980449 \h </w:instrText>
                </w:r>
                <w:r w:rsidRPr="00D83755">
                  <w:rPr>
                    <w:noProof/>
                    <w:webHidden/>
                  </w:rPr>
                </w:r>
                <w:r w:rsidRPr="00D83755">
                  <w:rPr>
                    <w:noProof/>
                    <w:webHidden/>
                  </w:rPr>
                  <w:fldChar w:fldCharType="separate"/>
                </w:r>
                <w:r w:rsidRPr="00D83755">
                  <w:rPr>
                    <w:noProof/>
                    <w:webHidden/>
                  </w:rPr>
                  <w:t>9</w:t>
                </w:r>
                <w:r w:rsidRPr="00D83755">
                  <w:rPr>
                    <w:noProof/>
                    <w:webHidden/>
                  </w:rPr>
                  <w:fldChar w:fldCharType="end"/>
                </w:r>
              </w:hyperlink>
            </w:p>
            <w:p w14:paraId="61A9C224" w14:textId="2DC9C547" w:rsidR="0077796E" w:rsidRPr="00D83755" w:rsidRDefault="0077796E">
              <w:pPr>
                <w:pStyle w:val="TOC2"/>
                <w:rPr>
                  <w:noProof/>
                  <w:kern w:val="2"/>
                  <w:lang w:eastAsia="en-GB"/>
                  <w14:ligatures w14:val="standardContextual"/>
                </w:rPr>
              </w:pPr>
              <w:hyperlink w:anchor="_Toc184980450" w:history="1">
                <w:r w:rsidRPr="00D83755">
                  <w:rPr>
                    <w:rStyle w:val="Hyperlink"/>
                    <w:rFonts w:ascii="Arial" w:eastAsia="Arial" w:hAnsi="Arial" w:cstheme="majorBidi"/>
                    <w:noProof/>
                    <w:lang w:val="en"/>
                  </w:rPr>
                  <w:t>Batteries</w:t>
                </w:r>
                <w:r w:rsidRPr="00D83755">
                  <w:rPr>
                    <w:noProof/>
                    <w:webHidden/>
                  </w:rPr>
                  <w:tab/>
                </w:r>
                <w:r w:rsidRPr="00D83755">
                  <w:rPr>
                    <w:noProof/>
                    <w:webHidden/>
                  </w:rPr>
                  <w:fldChar w:fldCharType="begin"/>
                </w:r>
                <w:r w:rsidRPr="00D83755">
                  <w:rPr>
                    <w:noProof/>
                    <w:webHidden/>
                  </w:rPr>
                  <w:instrText xml:space="preserve"> PAGEREF _Toc184980450 \h </w:instrText>
                </w:r>
                <w:r w:rsidRPr="00D83755">
                  <w:rPr>
                    <w:noProof/>
                    <w:webHidden/>
                  </w:rPr>
                </w:r>
                <w:r w:rsidRPr="00D83755">
                  <w:rPr>
                    <w:noProof/>
                    <w:webHidden/>
                  </w:rPr>
                  <w:fldChar w:fldCharType="separate"/>
                </w:r>
                <w:r w:rsidRPr="00D83755">
                  <w:rPr>
                    <w:noProof/>
                    <w:webHidden/>
                  </w:rPr>
                  <w:t>10</w:t>
                </w:r>
                <w:r w:rsidRPr="00D83755">
                  <w:rPr>
                    <w:noProof/>
                    <w:webHidden/>
                  </w:rPr>
                  <w:fldChar w:fldCharType="end"/>
                </w:r>
              </w:hyperlink>
            </w:p>
            <w:p w14:paraId="4889BD0A" w14:textId="065EAB27" w:rsidR="0077796E" w:rsidRPr="00D83755" w:rsidRDefault="0077796E">
              <w:pPr>
                <w:pStyle w:val="TOC1"/>
                <w:rPr>
                  <w:b w:val="0"/>
                  <w:bCs w:val="0"/>
                  <w:kern w:val="2"/>
                  <w:sz w:val="24"/>
                  <w:szCs w:val="24"/>
                  <w:lang w:eastAsia="en-GB"/>
                  <w14:ligatures w14:val="standardContextual"/>
                </w:rPr>
              </w:pPr>
              <w:hyperlink w:anchor="_Toc184980451" w:history="1">
                <w:r w:rsidRPr="00D83755">
                  <w:rPr>
                    <w:rStyle w:val="Hyperlink"/>
                    <w:rFonts w:asciiTheme="majorHAnsi" w:eastAsia="Arial" w:hAnsiTheme="majorHAnsi" w:cstheme="majorBidi"/>
                    <w:b w:val="0"/>
                    <w:bCs w:val="0"/>
                    <w:sz w:val="24"/>
                    <w:szCs w:val="24"/>
                    <w:lang w:val="en"/>
                  </w:rPr>
                  <w:t>Wastes from treating WEEE and WEEE components</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_Toc184980451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10</w:t>
                </w:r>
                <w:r w:rsidRPr="00D83755">
                  <w:rPr>
                    <w:b w:val="0"/>
                    <w:bCs w:val="0"/>
                    <w:webHidden/>
                    <w:sz w:val="24"/>
                    <w:szCs w:val="24"/>
                  </w:rPr>
                  <w:fldChar w:fldCharType="end"/>
                </w:r>
              </w:hyperlink>
            </w:p>
            <w:p w14:paraId="6725F9EE" w14:textId="0CDB7FEC" w:rsidR="0077796E" w:rsidRPr="00D83755" w:rsidRDefault="0077796E">
              <w:pPr>
                <w:pStyle w:val="TOC2"/>
                <w:rPr>
                  <w:noProof/>
                  <w:kern w:val="2"/>
                  <w:lang w:eastAsia="en-GB"/>
                  <w14:ligatures w14:val="standardContextual"/>
                </w:rPr>
              </w:pPr>
              <w:hyperlink w:anchor="_Toc184980452" w:history="1">
                <w:r w:rsidRPr="00D83755">
                  <w:rPr>
                    <w:rStyle w:val="Hyperlink"/>
                    <w:rFonts w:ascii="Arial" w:eastAsia="Arial" w:hAnsi="Arial" w:cstheme="majorBidi"/>
                    <w:noProof/>
                    <w:lang w:val="en"/>
                  </w:rPr>
                  <w:t>When POPs affect the outputs from WEEE treatment</w:t>
                </w:r>
                <w:r w:rsidRPr="00D83755">
                  <w:rPr>
                    <w:noProof/>
                    <w:webHidden/>
                  </w:rPr>
                  <w:tab/>
                </w:r>
                <w:r w:rsidRPr="00D83755">
                  <w:rPr>
                    <w:noProof/>
                    <w:webHidden/>
                  </w:rPr>
                  <w:fldChar w:fldCharType="begin"/>
                </w:r>
                <w:r w:rsidRPr="00D83755">
                  <w:rPr>
                    <w:noProof/>
                    <w:webHidden/>
                  </w:rPr>
                  <w:instrText xml:space="preserve"> PAGEREF _Toc184980452 \h </w:instrText>
                </w:r>
                <w:r w:rsidRPr="00D83755">
                  <w:rPr>
                    <w:noProof/>
                    <w:webHidden/>
                  </w:rPr>
                </w:r>
                <w:r w:rsidRPr="00D83755">
                  <w:rPr>
                    <w:noProof/>
                    <w:webHidden/>
                  </w:rPr>
                  <w:fldChar w:fldCharType="separate"/>
                </w:r>
                <w:r w:rsidRPr="00D83755">
                  <w:rPr>
                    <w:noProof/>
                    <w:webHidden/>
                  </w:rPr>
                  <w:t>10</w:t>
                </w:r>
                <w:r w:rsidRPr="00D83755">
                  <w:rPr>
                    <w:noProof/>
                    <w:webHidden/>
                  </w:rPr>
                  <w:fldChar w:fldCharType="end"/>
                </w:r>
              </w:hyperlink>
            </w:p>
            <w:p w14:paraId="36F1FC5F" w14:textId="78F34C2A" w:rsidR="0077796E" w:rsidRPr="00D83755" w:rsidRDefault="0077796E">
              <w:pPr>
                <w:pStyle w:val="TOC2"/>
                <w:rPr>
                  <w:noProof/>
                  <w:kern w:val="2"/>
                  <w:lang w:eastAsia="en-GB"/>
                  <w14:ligatures w14:val="standardContextual"/>
                </w:rPr>
              </w:pPr>
              <w:hyperlink w:anchor="_Toc184980453" w:history="1">
                <w:r w:rsidRPr="00D83755">
                  <w:rPr>
                    <w:rStyle w:val="Hyperlink"/>
                    <w:rFonts w:ascii="Arial" w:eastAsia="Arial" w:hAnsi="Arial" w:cstheme="majorBidi"/>
                    <w:noProof/>
                    <w:lang w:val="en"/>
                  </w:rPr>
                  <w:t>Printed circuit boards</w:t>
                </w:r>
                <w:r w:rsidRPr="00D83755">
                  <w:rPr>
                    <w:noProof/>
                    <w:webHidden/>
                  </w:rPr>
                  <w:tab/>
                </w:r>
                <w:r w:rsidRPr="00D83755">
                  <w:rPr>
                    <w:noProof/>
                    <w:webHidden/>
                  </w:rPr>
                  <w:fldChar w:fldCharType="begin"/>
                </w:r>
                <w:r w:rsidRPr="00D83755">
                  <w:rPr>
                    <w:noProof/>
                    <w:webHidden/>
                  </w:rPr>
                  <w:instrText xml:space="preserve"> PAGEREF _Toc184980453 \h </w:instrText>
                </w:r>
                <w:r w:rsidRPr="00D83755">
                  <w:rPr>
                    <w:noProof/>
                    <w:webHidden/>
                  </w:rPr>
                </w:r>
                <w:r w:rsidRPr="00D83755">
                  <w:rPr>
                    <w:noProof/>
                    <w:webHidden/>
                  </w:rPr>
                  <w:fldChar w:fldCharType="separate"/>
                </w:r>
                <w:r w:rsidRPr="00D83755">
                  <w:rPr>
                    <w:noProof/>
                    <w:webHidden/>
                  </w:rPr>
                  <w:t>11</w:t>
                </w:r>
                <w:r w:rsidRPr="00D83755">
                  <w:rPr>
                    <w:noProof/>
                    <w:webHidden/>
                  </w:rPr>
                  <w:fldChar w:fldCharType="end"/>
                </w:r>
              </w:hyperlink>
            </w:p>
            <w:p w14:paraId="7C6BAB57" w14:textId="33CCCFCA" w:rsidR="0077796E" w:rsidRPr="00D83755" w:rsidRDefault="0077796E">
              <w:pPr>
                <w:pStyle w:val="TOC2"/>
                <w:rPr>
                  <w:noProof/>
                  <w:kern w:val="2"/>
                  <w:lang w:eastAsia="en-GB"/>
                  <w14:ligatures w14:val="standardContextual"/>
                </w:rPr>
              </w:pPr>
              <w:hyperlink w:anchor="_Toc184980454" w:history="1">
                <w:r w:rsidRPr="00D83755">
                  <w:rPr>
                    <w:rStyle w:val="Hyperlink"/>
                    <w:rFonts w:ascii="Arial" w:eastAsia="Arial" w:hAnsi="Arial" w:cstheme="majorBidi"/>
                    <w:noProof/>
                    <w:lang w:val="en"/>
                  </w:rPr>
                  <w:t>Cables and granulated cable plastics</w:t>
                </w:r>
                <w:r w:rsidRPr="00D83755">
                  <w:rPr>
                    <w:noProof/>
                    <w:webHidden/>
                  </w:rPr>
                  <w:tab/>
                </w:r>
                <w:r w:rsidRPr="00D83755">
                  <w:rPr>
                    <w:noProof/>
                    <w:webHidden/>
                  </w:rPr>
                  <w:fldChar w:fldCharType="begin"/>
                </w:r>
                <w:r w:rsidRPr="00D83755">
                  <w:rPr>
                    <w:noProof/>
                    <w:webHidden/>
                  </w:rPr>
                  <w:instrText xml:space="preserve"> PAGEREF _Toc184980454 \h </w:instrText>
                </w:r>
                <w:r w:rsidRPr="00D83755">
                  <w:rPr>
                    <w:noProof/>
                    <w:webHidden/>
                  </w:rPr>
                </w:r>
                <w:r w:rsidRPr="00D83755">
                  <w:rPr>
                    <w:noProof/>
                    <w:webHidden/>
                  </w:rPr>
                  <w:fldChar w:fldCharType="separate"/>
                </w:r>
                <w:r w:rsidRPr="00D83755">
                  <w:rPr>
                    <w:noProof/>
                    <w:webHidden/>
                  </w:rPr>
                  <w:t>12</w:t>
                </w:r>
                <w:r w:rsidRPr="00D83755">
                  <w:rPr>
                    <w:noProof/>
                    <w:webHidden/>
                  </w:rPr>
                  <w:fldChar w:fldCharType="end"/>
                </w:r>
              </w:hyperlink>
            </w:p>
            <w:p w14:paraId="499918D9" w14:textId="215D5A9E" w:rsidR="0077796E" w:rsidRPr="00D83755" w:rsidRDefault="0077796E">
              <w:pPr>
                <w:pStyle w:val="TOC2"/>
                <w:rPr>
                  <w:noProof/>
                  <w:kern w:val="2"/>
                  <w:lang w:eastAsia="en-GB"/>
                  <w14:ligatures w14:val="standardContextual"/>
                </w:rPr>
              </w:pPr>
              <w:hyperlink w:anchor="_Toc184980455" w:history="1">
                <w:r w:rsidRPr="00D83755">
                  <w:rPr>
                    <w:rStyle w:val="Hyperlink"/>
                    <w:rFonts w:ascii="Arial" w:eastAsia="Arial" w:hAnsi="Arial" w:cstheme="majorBidi"/>
                    <w:noProof/>
                    <w:lang w:val="en"/>
                  </w:rPr>
                  <w:t>Plastic cases removed from display devices</w:t>
                </w:r>
                <w:r w:rsidRPr="00D83755">
                  <w:rPr>
                    <w:noProof/>
                    <w:webHidden/>
                  </w:rPr>
                  <w:tab/>
                </w:r>
                <w:r w:rsidRPr="00D83755">
                  <w:rPr>
                    <w:noProof/>
                    <w:webHidden/>
                  </w:rPr>
                  <w:fldChar w:fldCharType="begin"/>
                </w:r>
                <w:r w:rsidRPr="00D83755">
                  <w:rPr>
                    <w:noProof/>
                    <w:webHidden/>
                  </w:rPr>
                  <w:instrText xml:space="preserve"> PAGEREF _Toc184980455 \h </w:instrText>
                </w:r>
                <w:r w:rsidRPr="00D83755">
                  <w:rPr>
                    <w:noProof/>
                    <w:webHidden/>
                  </w:rPr>
                </w:r>
                <w:r w:rsidRPr="00D83755">
                  <w:rPr>
                    <w:noProof/>
                    <w:webHidden/>
                  </w:rPr>
                  <w:fldChar w:fldCharType="separate"/>
                </w:r>
                <w:r w:rsidRPr="00D83755">
                  <w:rPr>
                    <w:noProof/>
                    <w:webHidden/>
                  </w:rPr>
                  <w:t>12</w:t>
                </w:r>
                <w:r w:rsidRPr="00D83755">
                  <w:rPr>
                    <w:noProof/>
                    <w:webHidden/>
                  </w:rPr>
                  <w:fldChar w:fldCharType="end"/>
                </w:r>
              </w:hyperlink>
            </w:p>
            <w:p w14:paraId="115B1A92" w14:textId="49BF93B3" w:rsidR="0077796E" w:rsidRPr="00D83755" w:rsidRDefault="0077796E">
              <w:pPr>
                <w:pStyle w:val="TOC2"/>
                <w:rPr>
                  <w:noProof/>
                  <w:kern w:val="2"/>
                  <w:lang w:eastAsia="en-GB"/>
                  <w14:ligatures w14:val="standardContextual"/>
                </w:rPr>
              </w:pPr>
              <w:hyperlink w:anchor="_Toc184980456" w:history="1">
                <w:r w:rsidRPr="00D83755">
                  <w:rPr>
                    <w:rStyle w:val="Hyperlink"/>
                    <w:rFonts w:ascii="Arial" w:eastAsia="Arial" w:hAnsi="Arial" w:cstheme="majorBidi"/>
                    <w:noProof/>
                    <w:lang w:val="en"/>
                  </w:rPr>
                  <w:t>Plastic wastes from treating fridges and freezers</w:t>
                </w:r>
                <w:r w:rsidRPr="00D83755">
                  <w:rPr>
                    <w:noProof/>
                    <w:webHidden/>
                  </w:rPr>
                  <w:tab/>
                </w:r>
                <w:r w:rsidRPr="00D83755">
                  <w:rPr>
                    <w:noProof/>
                    <w:webHidden/>
                  </w:rPr>
                  <w:fldChar w:fldCharType="begin"/>
                </w:r>
                <w:r w:rsidRPr="00D83755">
                  <w:rPr>
                    <w:noProof/>
                    <w:webHidden/>
                  </w:rPr>
                  <w:instrText xml:space="preserve"> PAGEREF _Toc184980456 \h </w:instrText>
                </w:r>
                <w:r w:rsidRPr="00D83755">
                  <w:rPr>
                    <w:noProof/>
                    <w:webHidden/>
                  </w:rPr>
                </w:r>
                <w:r w:rsidRPr="00D83755">
                  <w:rPr>
                    <w:noProof/>
                    <w:webHidden/>
                  </w:rPr>
                  <w:fldChar w:fldCharType="separate"/>
                </w:r>
                <w:r w:rsidRPr="00D83755">
                  <w:rPr>
                    <w:noProof/>
                    <w:webHidden/>
                  </w:rPr>
                  <w:t>13</w:t>
                </w:r>
                <w:r w:rsidRPr="00D83755">
                  <w:rPr>
                    <w:noProof/>
                    <w:webHidden/>
                  </w:rPr>
                  <w:fldChar w:fldCharType="end"/>
                </w:r>
              </w:hyperlink>
            </w:p>
            <w:p w14:paraId="6F170F6E" w14:textId="27E2DFE8" w:rsidR="0077796E" w:rsidRPr="00D83755" w:rsidRDefault="0077796E">
              <w:pPr>
                <w:pStyle w:val="TOC2"/>
                <w:rPr>
                  <w:noProof/>
                  <w:kern w:val="2"/>
                  <w:lang w:eastAsia="en-GB"/>
                  <w14:ligatures w14:val="standardContextual"/>
                </w:rPr>
              </w:pPr>
              <w:hyperlink w:anchor="_Toc184980457" w:history="1">
                <w:r w:rsidRPr="00D83755">
                  <w:rPr>
                    <w:rStyle w:val="Hyperlink"/>
                    <w:rFonts w:ascii="Arial" w:eastAsia="Arial" w:hAnsi="Arial" w:cstheme="majorBidi"/>
                    <w:noProof/>
                    <w:lang w:val="en-US"/>
                  </w:rPr>
                  <w:t>Plastic containing residues from treating certain large domestic appliances (LDA)</w:t>
                </w:r>
                <w:r w:rsidRPr="00D83755">
                  <w:rPr>
                    <w:noProof/>
                    <w:webHidden/>
                  </w:rPr>
                  <w:tab/>
                </w:r>
                <w:r w:rsidRPr="00D83755">
                  <w:rPr>
                    <w:noProof/>
                    <w:webHidden/>
                  </w:rPr>
                  <w:fldChar w:fldCharType="begin"/>
                </w:r>
                <w:r w:rsidRPr="00D83755">
                  <w:rPr>
                    <w:noProof/>
                    <w:webHidden/>
                  </w:rPr>
                  <w:instrText xml:space="preserve"> PAGEREF _Toc184980457 \h </w:instrText>
                </w:r>
                <w:r w:rsidRPr="00D83755">
                  <w:rPr>
                    <w:noProof/>
                    <w:webHidden/>
                  </w:rPr>
                </w:r>
                <w:r w:rsidRPr="00D83755">
                  <w:rPr>
                    <w:noProof/>
                    <w:webHidden/>
                  </w:rPr>
                  <w:fldChar w:fldCharType="separate"/>
                </w:r>
                <w:r w:rsidRPr="00D83755">
                  <w:rPr>
                    <w:noProof/>
                    <w:webHidden/>
                  </w:rPr>
                  <w:t>14</w:t>
                </w:r>
                <w:r w:rsidRPr="00D83755">
                  <w:rPr>
                    <w:noProof/>
                    <w:webHidden/>
                  </w:rPr>
                  <w:fldChar w:fldCharType="end"/>
                </w:r>
              </w:hyperlink>
            </w:p>
            <w:p w14:paraId="62B7D83C" w14:textId="03C166C3" w:rsidR="0077796E" w:rsidRPr="00D83755" w:rsidRDefault="0077796E">
              <w:pPr>
                <w:pStyle w:val="TOC2"/>
                <w:rPr>
                  <w:noProof/>
                  <w:kern w:val="2"/>
                  <w:lang w:eastAsia="en-GB"/>
                  <w14:ligatures w14:val="standardContextual"/>
                </w:rPr>
              </w:pPr>
              <w:hyperlink w:anchor="_Toc184980458" w:history="1">
                <w:r w:rsidRPr="00D83755">
                  <w:rPr>
                    <w:rStyle w:val="Hyperlink"/>
                    <w:rFonts w:ascii="Arial" w:eastAsia="Arial" w:hAnsi="Arial" w:cstheme="majorBidi"/>
                    <w:noProof/>
                    <w:lang w:val="en"/>
                  </w:rPr>
                  <w:t>Wastes from treating outputs from other WEEE treatments by density separation</w:t>
                </w:r>
                <w:r w:rsidRPr="00D83755">
                  <w:rPr>
                    <w:noProof/>
                    <w:webHidden/>
                  </w:rPr>
                  <w:tab/>
                </w:r>
                <w:r w:rsidRPr="00D83755">
                  <w:rPr>
                    <w:noProof/>
                    <w:webHidden/>
                  </w:rPr>
                  <w:fldChar w:fldCharType="begin"/>
                </w:r>
                <w:r w:rsidRPr="00D83755">
                  <w:rPr>
                    <w:noProof/>
                    <w:webHidden/>
                  </w:rPr>
                  <w:instrText xml:space="preserve"> PAGEREF _Toc184980458 \h </w:instrText>
                </w:r>
                <w:r w:rsidRPr="00D83755">
                  <w:rPr>
                    <w:noProof/>
                    <w:webHidden/>
                  </w:rPr>
                </w:r>
                <w:r w:rsidRPr="00D83755">
                  <w:rPr>
                    <w:noProof/>
                    <w:webHidden/>
                  </w:rPr>
                  <w:fldChar w:fldCharType="separate"/>
                </w:r>
                <w:r w:rsidRPr="00D83755">
                  <w:rPr>
                    <w:noProof/>
                    <w:webHidden/>
                  </w:rPr>
                  <w:t>15</w:t>
                </w:r>
                <w:r w:rsidRPr="00D83755">
                  <w:rPr>
                    <w:noProof/>
                    <w:webHidden/>
                  </w:rPr>
                  <w:fldChar w:fldCharType="end"/>
                </w:r>
              </w:hyperlink>
            </w:p>
            <w:p w14:paraId="41EF5794" w14:textId="6A69DA28" w:rsidR="0077796E" w:rsidRPr="00D83755" w:rsidRDefault="0077796E">
              <w:pPr>
                <w:pStyle w:val="TOC2"/>
                <w:rPr>
                  <w:noProof/>
                  <w:kern w:val="2"/>
                  <w:lang w:eastAsia="en-GB"/>
                  <w14:ligatures w14:val="standardContextual"/>
                </w:rPr>
              </w:pPr>
              <w:hyperlink w:anchor="_Toc184980459" w:history="1">
                <w:r w:rsidRPr="00D83755">
                  <w:rPr>
                    <w:rStyle w:val="Hyperlink"/>
                    <w:rFonts w:ascii="Arial" w:eastAsia="Arial" w:hAnsi="Arial" w:cstheme="majorBidi"/>
                    <w:noProof/>
                    <w:lang w:val="en"/>
                  </w:rPr>
                  <w:t>Mixed batteries from treating WEEE</w:t>
                </w:r>
                <w:r w:rsidRPr="00D83755">
                  <w:rPr>
                    <w:noProof/>
                    <w:webHidden/>
                  </w:rPr>
                  <w:tab/>
                </w:r>
                <w:r w:rsidRPr="00D83755">
                  <w:rPr>
                    <w:noProof/>
                    <w:webHidden/>
                  </w:rPr>
                  <w:fldChar w:fldCharType="begin"/>
                </w:r>
                <w:r w:rsidRPr="00D83755">
                  <w:rPr>
                    <w:noProof/>
                    <w:webHidden/>
                  </w:rPr>
                  <w:instrText xml:space="preserve"> PAGEREF _Toc184980459 \h </w:instrText>
                </w:r>
                <w:r w:rsidRPr="00D83755">
                  <w:rPr>
                    <w:noProof/>
                    <w:webHidden/>
                  </w:rPr>
                </w:r>
                <w:r w:rsidRPr="00D83755">
                  <w:rPr>
                    <w:noProof/>
                    <w:webHidden/>
                  </w:rPr>
                  <w:fldChar w:fldCharType="separate"/>
                </w:r>
                <w:r w:rsidRPr="00D83755">
                  <w:rPr>
                    <w:noProof/>
                    <w:webHidden/>
                  </w:rPr>
                  <w:t>15</w:t>
                </w:r>
                <w:r w:rsidRPr="00D83755">
                  <w:rPr>
                    <w:noProof/>
                    <w:webHidden/>
                  </w:rPr>
                  <w:fldChar w:fldCharType="end"/>
                </w:r>
              </w:hyperlink>
            </w:p>
            <w:p w14:paraId="15FFA42E" w14:textId="605350F2" w:rsidR="0077796E" w:rsidRPr="00D83755" w:rsidRDefault="0077796E">
              <w:pPr>
                <w:pStyle w:val="TOC2"/>
                <w:rPr>
                  <w:noProof/>
                  <w:kern w:val="2"/>
                  <w:lang w:eastAsia="en-GB"/>
                  <w14:ligatures w14:val="standardContextual"/>
                </w:rPr>
              </w:pPr>
              <w:hyperlink w:anchor="_Toc184980460" w:history="1">
                <w:r w:rsidRPr="00D83755">
                  <w:rPr>
                    <w:rStyle w:val="Hyperlink"/>
                    <w:rFonts w:ascii="Arial" w:eastAsia="Arial" w:hAnsi="Arial" w:cstheme="majorBidi"/>
                    <w:noProof/>
                  </w:rPr>
                  <w:t>Hazardous Waste Controls</w:t>
                </w:r>
                <w:r w:rsidRPr="00D83755">
                  <w:rPr>
                    <w:noProof/>
                    <w:webHidden/>
                  </w:rPr>
                  <w:tab/>
                </w:r>
                <w:r w:rsidRPr="00D83755">
                  <w:rPr>
                    <w:noProof/>
                    <w:webHidden/>
                  </w:rPr>
                  <w:fldChar w:fldCharType="begin"/>
                </w:r>
                <w:r w:rsidRPr="00D83755">
                  <w:rPr>
                    <w:noProof/>
                    <w:webHidden/>
                  </w:rPr>
                  <w:instrText xml:space="preserve"> PAGEREF _Toc184980460 \h </w:instrText>
                </w:r>
                <w:r w:rsidRPr="00D83755">
                  <w:rPr>
                    <w:noProof/>
                    <w:webHidden/>
                  </w:rPr>
                </w:r>
                <w:r w:rsidRPr="00D83755">
                  <w:rPr>
                    <w:noProof/>
                    <w:webHidden/>
                  </w:rPr>
                  <w:fldChar w:fldCharType="separate"/>
                </w:r>
                <w:r w:rsidRPr="00D83755">
                  <w:rPr>
                    <w:noProof/>
                    <w:webHidden/>
                  </w:rPr>
                  <w:t>15</w:t>
                </w:r>
                <w:r w:rsidRPr="00D83755">
                  <w:rPr>
                    <w:noProof/>
                    <w:webHidden/>
                  </w:rPr>
                  <w:fldChar w:fldCharType="end"/>
                </w:r>
              </w:hyperlink>
            </w:p>
            <w:p w14:paraId="0B4A4345" w14:textId="0D9B9F39" w:rsidR="0077796E" w:rsidRPr="00D83755" w:rsidRDefault="0077796E">
              <w:pPr>
                <w:pStyle w:val="TOC2"/>
                <w:rPr>
                  <w:noProof/>
                  <w:kern w:val="2"/>
                  <w:lang w:eastAsia="en-GB"/>
                  <w14:ligatures w14:val="standardContextual"/>
                </w:rPr>
              </w:pPr>
              <w:hyperlink w:anchor="_Toc184980461" w:history="1">
                <w:r w:rsidRPr="00D83755">
                  <w:rPr>
                    <w:rStyle w:val="Hyperlink"/>
                    <w:rFonts w:ascii="Arial" w:eastAsia="Arial" w:hAnsi="Arial" w:cstheme="majorBidi"/>
                    <w:noProof/>
                  </w:rPr>
                  <w:t>Management of waste containing Persistent Organic Pollutants (POPs)</w:t>
                </w:r>
                <w:r w:rsidRPr="00D83755">
                  <w:rPr>
                    <w:noProof/>
                    <w:webHidden/>
                  </w:rPr>
                  <w:tab/>
                </w:r>
                <w:r w:rsidRPr="00D83755">
                  <w:rPr>
                    <w:noProof/>
                    <w:webHidden/>
                  </w:rPr>
                  <w:fldChar w:fldCharType="begin"/>
                </w:r>
                <w:r w:rsidRPr="00D83755">
                  <w:rPr>
                    <w:noProof/>
                    <w:webHidden/>
                  </w:rPr>
                  <w:instrText xml:space="preserve"> PAGEREF _Toc184980461 \h </w:instrText>
                </w:r>
                <w:r w:rsidRPr="00D83755">
                  <w:rPr>
                    <w:noProof/>
                    <w:webHidden/>
                  </w:rPr>
                </w:r>
                <w:r w:rsidRPr="00D83755">
                  <w:rPr>
                    <w:noProof/>
                    <w:webHidden/>
                  </w:rPr>
                  <w:fldChar w:fldCharType="separate"/>
                </w:r>
                <w:r w:rsidRPr="00D83755">
                  <w:rPr>
                    <w:noProof/>
                    <w:webHidden/>
                  </w:rPr>
                  <w:t>16</w:t>
                </w:r>
                <w:r w:rsidRPr="00D83755">
                  <w:rPr>
                    <w:noProof/>
                    <w:webHidden/>
                  </w:rPr>
                  <w:fldChar w:fldCharType="end"/>
                </w:r>
              </w:hyperlink>
            </w:p>
            <w:p w14:paraId="3B035747" w14:textId="704ED438" w:rsidR="0077796E" w:rsidRPr="00D83755" w:rsidRDefault="0077796E">
              <w:pPr>
                <w:pStyle w:val="TOC2"/>
                <w:rPr>
                  <w:noProof/>
                  <w:kern w:val="2"/>
                  <w:lang w:eastAsia="en-GB"/>
                  <w14:ligatures w14:val="standardContextual"/>
                </w:rPr>
              </w:pPr>
              <w:hyperlink w:anchor="_Toc184980462" w:history="1">
                <w:r w:rsidRPr="00D83755">
                  <w:rPr>
                    <w:rStyle w:val="Hyperlink"/>
                    <w:rFonts w:ascii="Arial" w:eastAsia="Arial" w:hAnsi="Arial" w:cstheme="majorBidi"/>
                    <w:noProof/>
                  </w:rPr>
                  <w:t>Export of Waste</w:t>
                </w:r>
                <w:r w:rsidRPr="00D83755">
                  <w:rPr>
                    <w:noProof/>
                    <w:webHidden/>
                  </w:rPr>
                  <w:tab/>
                </w:r>
                <w:r w:rsidRPr="00D83755">
                  <w:rPr>
                    <w:noProof/>
                    <w:webHidden/>
                  </w:rPr>
                  <w:fldChar w:fldCharType="begin"/>
                </w:r>
                <w:r w:rsidRPr="00D83755">
                  <w:rPr>
                    <w:noProof/>
                    <w:webHidden/>
                  </w:rPr>
                  <w:instrText xml:space="preserve"> PAGEREF _Toc184980462 \h </w:instrText>
                </w:r>
                <w:r w:rsidRPr="00D83755">
                  <w:rPr>
                    <w:noProof/>
                    <w:webHidden/>
                  </w:rPr>
                </w:r>
                <w:r w:rsidRPr="00D83755">
                  <w:rPr>
                    <w:noProof/>
                    <w:webHidden/>
                  </w:rPr>
                  <w:fldChar w:fldCharType="separate"/>
                </w:r>
                <w:r w:rsidRPr="00D83755">
                  <w:rPr>
                    <w:noProof/>
                    <w:webHidden/>
                  </w:rPr>
                  <w:t>17</w:t>
                </w:r>
                <w:r w:rsidRPr="00D83755">
                  <w:rPr>
                    <w:noProof/>
                    <w:webHidden/>
                  </w:rPr>
                  <w:fldChar w:fldCharType="end"/>
                </w:r>
              </w:hyperlink>
            </w:p>
            <w:p w14:paraId="0A3814E4" w14:textId="3A5591E2" w:rsidR="0077796E" w:rsidRPr="00D83755" w:rsidRDefault="0077796E">
              <w:pPr>
                <w:pStyle w:val="TOC1"/>
                <w:rPr>
                  <w:b w:val="0"/>
                  <w:bCs w:val="0"/>
                  <w:kern w:val="2"/>
                  <w:sz w:val="24"/>
                  <w:szCs w:val="24"/>
                  <w:lang w:eastAsia="en-GB"/>
                  <w14:ligatures w14:val="standardContextual"/>
                </w:rPr>
              </w:pPr>
              <w:hyperlink w:anchor="_Toc184980463" w:history="1">
                <w:r w:rsidRPr="00D83755">
                  <w:rPr>
                    <w:rStyle w:val="Hyperlink"/>
                    <w:rFonts w:asciiTheme="majorHAnsi" w:eastAsiaTheme="majorEastAsia" w:hAnsiTheme="majorHAnsi" w:cstheme="majorBidi"/>
                    <w:b w:val="0"/>
                    <w:bCs w:val="0"/>
                    <w:sz w:val="24"/>
                    <w:szCs w:val="24"/>
                  </w:rPr>
                  <w:t>Appendix I</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_Toc184980463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18</w:t>
                </w:r>
                <w:r w:rsidRPr="00D83755">
                  <w:rPr>
                    <w:b w:val="0"/>
                    <w:bCs w:val="0"/>
                    <w:webHidden/>
                    <w:sz w:val="24"/>
                    <w:szCs w:val="24"/>
                  </w:rPr>
                  <w:fldChar w:fldCharType="end"/>
                </w:r>
              </w:hyperlink>
            </w:p>
            <w:p w14:paraId="248616FE" w14:textId="0D5F2650" w:rsidR="0077796E" w:rsidRPr="00D83755" w:rsidRDefault="0077796E">
              <w:pPr>
                <w:pStyle w:val="TOC2"/>
                <w:rPr>
                  <w:noProof/>
                  <w:kern w:val="2"/>
                  <w:lang w:eastAsia="en-GB"/>
                  <w14:ligatures w14:val="standardContextual"/>
                </w:rPr>
              </w:pPr>
              <w:hyperlink w:anchor="_Toc184980464" w:history="1">
                <w:r w:rsidRPr="00D83755">
                  <w:rPr>
                    <w:rStyle w:val="Hyperlink"/>
                    <w:rFonts w:ascii="Arial" w:eastAsiaTheme="majorEastAsia" w:hAnsi="Arial" w:cstheme="majorBidi"/>
                    <w:noProof/>
                    <w:lang w:val="en-US"/>
                  </w:rPr>
                  <w:t>POPs Concentration limit table</w:t>
                </w:r>
                <w:r w:rsidRPr="00D83755">
                  <w:rPr>
                    <w:noProof/>
                    <w:webHidden/>
                  </w:rPr>
                  <w:tab/>
                </w:r>
                <w:r w:rsidRPr="00D83755">
                  <w:rPr>
                    <w:noProof/>
                    <w:webHidden/>
                  </w:rPr>
                  <w:fldChar w:fldCharType="begin"/>
                </w:r>
                <w:r w:rsidRPr="00D83755">
                  <w:rPr>
                    <w:noProof/>
                    <w:webHidden/>
                  </w:rPr>
                  <w:instrText xml:space="preserve"> PAGEREF _Toc184980464 \h </w:instrText>
                </w:r>
                <w:r w:rsidRPr="00D83755">
                  <w:rPr>
                    <w:noProof/>
                    <w:webHidden/>
                  </w:rPr>
                </w:r>
                <w:r w:rsidRPr="00D83755">
                  <w:rPr>
                    <w:noProof/>
                    <w:webHidden/>
                  </w:rPr>
                  <w:fldChar w:fldCharType="separate"/>
                </w:r>
                <w:r w:rsidRPr="00D83755">
                  <w:rPr>
                    <w:noProof/>
                    <w:webHidden/>
                  </w:rPr>
                  <w:t>18</w:t>
                </w:r>
                <w:r w:rsidRPr="00D83755">
                  <w:rPr>
                    <w:noProof/>
                    <w:webHidden/>
                  </w:rPr>
                  <w:fldChar w:fldCharType="end"/>
                </w:r>
              </w:hyperlink>
            </w:p>
            <w:p w14:paraId="472CCF89" w14:textId="3613B325" w:rsidR="0077796E" w:rsidRPr="00D83755" w:rsidRDefault="0077796E">
              <w:pPr>
                <w:pStyle w:val="TOC1"/>
                <w:rPr>
                  <w:b w:val="0"/>
                  <w:bCs w:val="0"/>
                  <w:kern w:val="2"/>
                  <w:sz w:val="24"/>
                  <w:szCs w:val="24"/>
                  <w:lang w:eastAsia="en-GB"/>
                  <w14:ligatures w14:val="standardContextual"/>
                </w:rPr>
              </w:pPr>
              <w:hyperlink w:anchor="_Toc184980465" w:history="1">
                <w:r w:rsidRPr="00D83755">
                  <w:rPr>
                    <w:rStyle w:val="Hyperlink"/>
                    <w:rFonts w:asciiTheme="majorHAnsi" w:eastAsiaTheme="majorEastAsia" w:hAnsiTheme="majorHAnsi" w:cstheme="majorBidi"/>
                    <w:b w:val="0"/>
                    <w:bCs w:val="0"/>
                    <w:sz w:val="24"/>
                    <w:szCs w:val="24"/>
                  </w:rPr>
                  <w:t>Appendix II</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_Toc184980465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20</w:t>
                </w:r>
                <w:r w:rsidRPr="00D83755">
                  <w:rPr>
                    <w:b w:val="0"/>
                    <w:bCs w:val="0"/>
                    <w:webHidden/>
                    <w:sz w:val="24"/>
                    <w:szCs w:val="24"/>
                  </w:rPr>
                  <w:fldChar w:fldCharType="end"/>
                </w:r>
              </w:hyperlink>
            </w:p>
            <w:p w14:paraId="1D229CA1" w14:textId="2448F5F6" w:rsidR="0077796E" w:rsidRPr="00D83755" w:rsidRDefault="0077796E">
              <w:pPr>
                <w:pStyle w:val="TOC2"/>
                <w:rPr>
                  <w:noProof/>
                  <w:kern w:val="2"/>
                  <w:lang w:eastAsia="en-GB"/>
                  <w14:ligatures w14:val="standardContextual"/>
                </w:rPr>
              </w:pPr>
              <w:hyperlink w:anchor="_Toc184980466" w:history="1">
                <w:r w:rsidRPr="00D83755">
                  <w:rPr>
                    <w:rStyle w:val="Hyperlink"/>
                    <w:rFonts w:ascii="Arial" w:eastAsiaTheme="majorEastAsia" w:hAnsi="Arial" w:cstheme="majorBidi"/>
                    <w:noProof/>
                    <w:lang w:val="en-US"/>
                  </w:rPr>
                  <w:t>Toxic equivalency factors of PCDDs and PCDFs</w:t>
                </w:r>
                <w:r w:rsidRPr="00D83755">
                  <w:rPr>
                    <w:noProof/>
                    <w:webHidden/>
                  </w:rPr>
                  <w:tab/>
                </w:r>
                <w:r w:rsidRPr="00D83755">
                  <w:rPr>
                    <w:noProof/>
                    <w:webHidden/>
                  </w:rPr>
                  <w:fldChar w:fldCharType="begin"/>
                </w:r>
                <w:r w:rsidRPr="00D83755">
                  <w:rPr>
                    <w:noProof/>
                    <w:webHidden/>
                  </w:rPr>
                  <w:instrText xml:space="preserve"> PAGEREF _Toc184980466 \h </w:instrText>
                </w:r>
                <w:r w:rsidRPr="00D83755">
                  <w:rPr>
                    <w:noProof/>
                    <w:webHidden/>
                  </w:rPr>
                </w:r>
                <w:r w:rsidRPr="00D83755">
                  <w:rPr>
                    <w:noProof/>
                    <w:webHidden/>
                  </w:rPr>
                  <w:fldChar w:fldCharType="separate"/>
                </w:r>
                <w:r w:rsidRPr="00D83755">
                  <w:rPr>
                    <w:noProof/>
                    <w:webHidden/>
                  </w:rPr>
                  <w:t>20</w:t>
                </w:r>
                <w:r w:rsidRPr="00D83755">
                  <w:rPr>
                    <w:noProof/>
                    <w:webHidden/>
                  </w:rPr>
                  <w:fldChar w:fldCharType="end"/>
                </w:r>
              </w:hyperlink>
            </w:p>
            <w:p w14:paraId="53DF8881" w14:textId="2BF7F140" w:rsidR="0077796E" w:rsidRPr="00D83755" w:rsidRDefault="0077796E">
              <w:pPr>
                <w:pStyle w:val="TOC2"/>
                <w:rPr>
                  <w:noProof/>
                  <w:kern w:val="2"/>
                  <w:lang w:eastAsia="en-GB"/>
                  <w14:ligatures w14:val="standardContextual"/>
                </w:rPr>
              </w:pPr>
              <w:hyperlink w:anchor="_Toc184980467" w:history="1">
                <w:r w:rsidRPr="00D83755">
                  <w:rPr>
                    <w:rStyle w:val="Hyperlink"/>
                    <w:rFonts w:ascii="Arial" w:eastAsiaTheme="majorEastAsia" w:hAnsi="Arial" w:cstheme="majorBidi"/>
                    <w:noProof/>
                  </w:rPr>
                  <w:t>Mixtures of multiple PCDDs or PCDFs</w:t>
                </w:r>
                <w:r w:rsidRPr="00D83755">
                  <w:rPr>
                    <w:noProof/>
                    <w:webHidden/>
                  </w:rPr>
                  <w:tab/>
                </w:r>
                <w:r w:rsidRPr="00D83755">
                  <w:rPr>
                    <w:noProof/>
                    <w:webHidden/>
                  </w:rPr>
                  <w:fldChar w:fldCharType="begin"/>
                </w:r>
                <w:r w:rsidRPr="00D83755">
                  <w:rPr>
                    <w:noProof/>
                    <w:webHidden/>
                  </w:rPr>
                  <w:instrText xml:space="preserve"> PAGEREF _Toc184980467 \h </w:instrText>
                </w:r>
                <w:r w:rsidRPr="00D83755">
                  <w:rPr>
                    <w:noProof/>
                    <w:webHidden/>
                  </w:rPr>
                </w:r>
                <w:r w:rsidRPr="00D83755">
                  <w:rPr>
                    <w:noProof/>
                    <w:webHidden/>
                  </w:rPr>
                  <w:fldChar w:fldCharType="separate"/>
                </w:r>
                <w:r w:rsidRPr="00D83755">
                  <w:rPr>
                    <w:noProof/>
                    <w:webHidden/>
                  </w:rPr>
                  <w:t>22</w:t>
                </w:r>
                <w:r w:rsidRPr="00D83755">
                  <w:rPr>
                    <w:noProof/>
                    <w:webHidden/>
                  </w:rPr>
                  <w:fldChar w:fldCharType="end"/>
                </w:r>
              </w:hyperlink>
            </w:p>
            <w:p w14:paraId="4184A9A9" w14:textId="12395404" w:rsidR="0077796E" w:rsidRPr="00D83755" w:rsidRDefault="0077796E">
              <w:pPr>
                <w:pStyle w:val="TOC1"/>
                <w:rPr>
                  <w:b w:val="0"/>
                  <w:bCs w:val="0"/>
                  <w:kern w:val="2"/>
                  <w:sz w:val="24"/>
                  <w:szCs w:val="24"/>
                  <w:lang w:eastAsia="en-GB"/>
                  <w14:ligatures w14:val="standardContextual"/>
                </w:rPr>
              </w:pPr>
              <w:hyperlink w:anchor="_Toc184980468" w:history="1">
                <w:r w:rsidRPr="00D83755">
                  <w:rPr>
                    <w:rStyle w:val="Hyperlink"/>
                    <w:rFonts w:asciiTheme="majorHAnsi" w:eastAsiaTheme="majorEastAsia" w:hAnsiTheme="majorHAnsi" w:cstheme="majorBidi"/>
                    <w:b w:val="0"/>
                    <w:bCs w:val="0"/>
                    <w:sz w:val="24"/>
                    <w:szCs w:val="24"/>
                  </w:rPr>
                  <w:t>Appendix III</w:t>
                </w:r>
                <w:r w:rsidRPr="00D83755">
                  <w:rPr>
                    <w:b w:val="0"/>
                    <w:bCs w:val="0"/>
                    <w:webHidden/>
                    <w:sz w:val="24"/>
                    <w:szCs w:val="24"/>
                  </w:rPr>
                  <w:tab/>
                </w:r>
                <w:r w:rsidRPr="00D83755">
                  <w:rPr>
                    <w:b w:val="0"/>
                    <w:bCs w:val="0"/>
                    <w:webHidden/>
                    <w:sz w:val="24"/>
                    <w:szCs w:val="24"/>
                  </w:rPr>
                  <w:fldChar w:fldCharType="begin"/>
                </w:r>
                <w:r w:rsidRPr="00D83755">
                  <w:rPr>
                    <w:b w:val="0"/>
                    <w:bCs w:val="0"/>
                    <w:webHidden/>
                    <w:sz w:val="24"/>
                    <w:szCs w:val="24"/>
                  </w:rPr>
                  <w:instrText xml:space="preserve"> PAGEREF _Toc184980468 \h </w:instrText>
                </w:r>
                <w:r w:rsidRPr="00D83755">
                  <w:rPr>
                    <w:b w:val="0"/>
                    <w:bCs w:val="0"/>
                    <w:webHidden/>
                    <w:sz w:val="24"/>
                    <w:szCs w:val="24"/>
                  </w:rPr>
                </w:r>
                <w:r w:rsidRPr="00D83755">
                  <w:rPr>
                    <w:b w:val="0"/>
                    <w:bCs w:val="0"/>
                    <w:webHidden/>
                    <w:sz w:val="24"/>
                    <w:szCs w:val="24"/>
                  </w:rPr>
                  <w:fldChar w:fldCharType="separate"/>
                </w:r>
                <w:r w:rsidRPr="00D83755">
                  <w:rPr>
                    <w:b w:val="0"/>
                    <w:bCs w:val="0"/>
                    <w:webHidden/>
                    <w:sz w:val="24"/>
                    <w:szCs w:val="24"/>
                  </w:rPr>
                  <w:t>23</w:t>
                </w:r>
                <w:r w:rsidRPr="00D83755">
                  <w:rPr>
                    <w:b w:val="0"/>
                    <w:bCs w:val="0"/>
                    <w:webHidden/>
                    <w:sz w:val="24"/>
                    <w:szCs w:val="24"/>
                  </w:rPr>
                  <w:fldChar w:fldCharType="end"/>
                </w:r>
              </w:hyperlink>
            </w:p>
            <w:p w14:paraId="196D8858" w14:textId="1886E065" w:rsidR="0077796E" w:rsidRPr="00D83755" w:rsidRDefault="0077796E">
              <w:pPr>
                <w:pStyle w:val="TOC2"/>
                <w:rPr>
                  <w:noProof/>
                  <w:kern w:val="2"/>
                  <w:lang w:eastAsia="en-GB"/>
                  <w14:ligatures w14:val="standardContextual"/>
                </w:rPr>
              </w:pPr>
              <w:hyperlink w:anchor="_Toc184980469" w:history="1">
                <w:r w:rsidRPr="00D83755">
                  <w:rPr>
                    <w:rStyle w:val="Hyperlink"/>
                    <w:rFonts w:ascii="Arial" w:eastAsiaTheme="majorEastAsia" w:hAnsi="Arial" w:cstheme="majorBidi"/>
                    <w:noProof/>
                    <w:lang w:val="en-US"/>
                  </w:rPr>
                  <w:t>Classification Notes – Supplementary to Classification Tables</w:t>
                </w:r>
                <w:r w:rsidRPr="00D83755">
                  <w:rPr>
                    <w:noProof/>
                    <w:webHidden/>
                  </w:rPr>
                  <w:tab/>
                </w:r>
                <w:r w:rsidRPr="00D83755">
                  <w:rPr>
                    <w:noProof/>
                    <w:webHidden/>
                  </w:rPr>
                  <w:fldChar w:fldCharType="begin"/>
                </w:r>
                <w:r w:rsidRPr="00D83755">
                  <w:rPr>
                    <w:noProof/>
                    <w:webHidden/>
                  </w:rPr>
                  <w:instrText xml:space="preserve"> PAGEREF _Toc184980469 \h </w:instrText>
                </w:r>
                <w:r w:rsidRPr="00D83755">
                  <w:rPr>
                    <w:noProof/>
                    <w:webHidden/>
                  </w:rPr>
                </w:r>
                <w:r w:rsidRPr="00D83755">
                  <w:rPr>
                    <w:noProof/>
                    <w:webHidden/>
                  </w:rPr>
                  <w:fldChar w:fldCharType="separate"/>
                </w:r>
                <w:r w:rsidRPr="00D83755">
                  <w:rPr>
                    <w:noProof/>
                    <w:webHidden/>
                  </w:rPr>
                  <w:t>23</w:t>
                </w:r>
                <w:r w:rsidRPr="00D83755">
                  <w:rPr>
                    <w:noProof/>
                    <w:webHidden/>
                  </w:rPr>
                  <w:fldChar w:fldCharType="end"/>
                </w:r>
              </w:hyperlink>
            </w:p>
            <w:p w14:paraId="1A146A8B" w14:textId="7F4123E0" w:rsidR="0077796E" w:rsidRPr="00D83755" w:rsidRDefault="0077796E">
              <w:pPr>
                <w:pStyle w:val="TOC2"/>
                <w:rPr>
                  <w:noProof/>
                  <w:kern w:val="2"/>
                  <w:lang w:eastAsia="en-GB"/>
                  <w14:ligatures w14:val="standardContextual"/>
                </w:rPr>
              </w:pPr>
              <w:hyperlink w:anchor="_Toc184980470" w:history="1">
                <w:r w:rsidRPr="00D83755">
                  <w:rPr>
                    <w:rStyle w:val="Hyperlink"/>
                    <w:noProof/>
                  </w:rPr>
                  <w:t>Disclaimer</w:t>
                </w:r>
                <w:r w:rsidRPr="00D83755">
                  <w:rPr>
                    <w:noProof/>
                    <w:webHidden/>
                  </w:rPr>
                  <w:tab/>
                </w:r>
                <w:r w:rsidRPr="00D83755">
                  <w:rPr>
                    <w:noProof/>
                    <w:webHidden/>
                  </w:rPr>
                  <w:fldChar w:fldCharType="begin"/>
                </w:r>
                <w:r w:rsidRPr="00D83755">
                  <w:rPr>
                    <w:noProof/>
                    <w:webHidden/>
                  </w:rPr>
                  <w:instrText xml:space="preserve"> PAGEREF _Toc184980470 \h </w:instrText>
                </w:r>
                <w:r w:rsidRPr="00D83755">
                  <w:rPr>
                    <w:noProof/>
                    <w:webHidden/>
                  </w:rPr>
                </w:r>
                <w:r w:rsidRPr="00D83755">
                  <w:rPr>
                    <w:noProof/>
                    <w:webHidden/>
                  </w:rPr>
                  <w:fldChar w:fldCharType="separate"/>
                </w:r>
                <w:r w:rsidRPr="00D83755">
                  <w:rPr>
                    <w:noProof/>
                    <w:webHidden/>
                  </w:rPr>
                  <w:t>26</w:t>
                </w:r>
                <w:r w:rsidRPr="00D83755">
                  <w:rPr>
                    <w:noProof/>
                    <w:webHidden/>
                  </w:rPr>
                  <w:fldChar w:fldCharType="end"/>
                </w:r>
              </w:hyperlink>
            </w:p>
            <w:p w14:paraId="2944DDBB" w14:textId="1C48106B" w:rsidR="1EDC844F" w:rsidRDefault="1EDC844F" w:rsidP="1EDC844F">
              <w:pPr>
                <w:pStyle w:val="TOC3"/>
                <w:tabs>
                  <w:tab w:val="right" w:leader="dot" w:pos="10200"/>
                </w:tabs>
                <w:rPr>
                  <w:rStyle w:val="Hyperlink"/>
                </w:rPr>
              </w:pPr>
              <w:r>
                <w:fldChar w:fldCharType="end"/>
              </w:r>
            </w:p>
          </w:sdtContent>
        </w:sdt>
        <w:p w14:paraId="746C16EB" w14:textId="434D00EF" w:rsidR="00B97337" w:rsidRDefault="00B97337" w:rsidP="00C372E0">
          <w:pPr>
            <w:rPr>
              <w:rFonts w:asciiTheme="majorHAnsi" w:hAnsiTheme="majorHAnsi" w:cstheme="majorBidi"/>
            </w:rPr>
          </w:pPr>
        </w:p>
        <w:p w14:paraId="6CB4CECB" w14:textId="77777777" w:rsidR="00DF1C05" w:rsidRDefault="00DF1C05" w:rsidP="00C372E0">
          <w:pPr>
            <w:rPr>
              <w:rFonts w:asciiTheme="majorHAnsi" w:hAnsiTheme="majorHAnsi" w:cstheme="majorBidi"/>
            </w:rPr>
          </w:pPr>
        </w:p>
        <w:p w14:paraId="599CD792" w14:textId="77777777" w:rsidR="009977FB" w:rsidRDefault="009977FB" w:rsidP="00C372E0">
          <w:pPr>
            <w:rPr>
              <w:rFonts w:asciiTheme="majorHAnsi" w:hAnsiTheme="majorHAnsi" w:cstheme="majorBidi"/>
            </w:rPr>
          </w:pPr>
        </w:p>
        <w:p w14:paraId="34250074" w14:textId="77777777" w:rsidR="00121747" w:rsidRDefault="00121747" w:rsidP="00C372E0">
          <w:pPr>
            <w:rPr>
              <w:rFonts w:asciiTheme="majorHAnsi" w:hAnsiTheme="majorHAnsi" w:cstheme="majorBidi"/>
            </w:rPr>
          </w:pPr>
        </w:p>
        <w:p w14:paraId="65530E48" w14:textId="77777777" w:rsidR="00DD3AD0" w:rsidRDefault="00DD3AD0" w:rsidP="00C372E0">
          <w:pPr>
            <w:rPr>
              <w:rFonts w:asciiTheme="majorHAnsi" w:hAnsiTheme="majorHAnsi" w:cstheme="majorBidi"/>
            </w:rPr>
          </w:pPr>
        </w:p>
        <w:p w14:paraId="49169FD2" w14:textId="77777777" w:rsidR="00DD3AD0" w:rsidRDefault="00DD3AD0" w:rsidP="00C372E0">
          <w:pPr>
            <w:rPr>
              <w:rFonts w:asciiTheme="majorHAnsi" w:hAnsiTheme="majorHAnsi" w:cstheme="majorBidi"/>
            </w:rPr>
          </w:pPr>
        </w:p>
        <w:p w14:paraId="485783D0" w14:textId="77777777" w:rsidR="00DD3AD0" w:rsidRDefault="00DD3AD0" w:rsidP="00C372E0">
          <w:pPr>
            <w:rPr>
              <w:rFonts w:asciiTheme="majorHAnsi" w:hAnsiTheme="majorHAnsi" w:cstheme="majorBidi"/>
            </w:rPr>
          </w:pPr>
        </w:p>
        <w:p w14:paraId="269000C0" w14:textId="77777777" w:rsidR="00DD3AD0" w:rsidRDefault="00DD3AD0" w:rsidP="00C372E0">
          <w:pPr>
            <w:rPr>
              <w:rFonts w:asciiTheme="majorHAnsi" w:hAnsiTheme="majorHAnsi" w:cstheme="majorBidi"/>
            </w:rPr>
          </w:pPr>
        </w:p>
        <w:p w14:paraId="39FE22CB" w14:textId="77777777" w:rsidR="00DD3AD0" w:rsidRDefault="00DD3AD0" w:rsidP="00C372E0">
          <w:pPr>
            <w:rPr>
              <w:rFonts w:asciiTheme="majorHAnsi" w:hAnsiTheme="majorHAnsi" w:cstheme="majorBidi"/>
            </w:rPr>
          </w:pPr>
        </w:p>
        <w:p w14:paraId="695AAA94" w14:textId="77777777" w:rsidR="00DD3AD0" w:rsidRDefault="00DD3AD0" w:rsidP="00C372E0">
          <w:pPr>
            <w:rPr>
              <w:rFonts w:asciiTheme="majorHAnsi" w:hAnsiTheme="majorHAnsi" w:cstheme="majorBidi"/>
            </w:rPr>
          </w:pPr>
        </w:p>
        <w:p w14:paraId="2E1BBD42" w14:textId="77777777" w:rsidR="009977FB" w:rsidRPr="00C372E0" w:rsidRDefault="009977FB" w:rsidP="00C372E0">
          <w:pPr>
            <w:rPr>
              <w:rFonts w:asciiTheme="majorHAnsi" w:hAnsiTheme="majorHAnsi" w:cstheme="majorBidi"/>
            </w:rPr>
          </w:pPr>
        </w:p>
        <w:p w14:paraId="37ACDF18" w14:textId="77777777" w:rsidR="00E81578" w:rsidRDefault="00E81578" w:rsidP="009977FB">
          <w:pPr>
            <w:rPr>
              <w:rFonts w:ascii="Arial" w:eastAsia="Times New Roman" w:hAnsi="Arial" w:cs="Arial"/>
              <w:sz w:val="32"/>
              <w:szCs w:val="32"/>
            </w:rPr>
          </w:pPr>
        </w:p>
        <w:p w14:paraId="71B82EFA" w14:textId="734EF8D4" w:rsidR="00B97337" w:rsidRPr="009977FB" w:rsidRDefault="009977FB" w:rsidP="009977FB">
          <w:pPr>
            <w:rPr>
              <w:rFonts w:asciiTheme="majorHAnsi" w:eastAsia="Times New Roman" w:hAnsiTheme="majorHAnsi" w:cstheme="majorHAnsi"/>
              <w:b/>
              <w:color w:val="016574"/>
              <w:sz w:val="32"/>
              <w:szCs w:val="32"/>
            </w:rPr>
          </w:pPr>
          <w:r w:rsidRPr="009977FB">
            <w:rPr>
              <w:rFonts w:ascii="Arial" w:eastAsia="Times New Roman" w:hAnsi="Arial" w:cs="Arial"/>
              <w:sz w:val="32"/>
              <w:szCs w:val="32"/>
            </w:rPr>
            <w:t xml:space="preserve">If you would like this document in an accessible format, such as large print, audio recording or braille, please contact SEPA by emailing </w:t>
          </w:r>
          <w:hyperlink r:id="rId13" w:tgtFrame="_blank" w:tooltip="mailto:equalities@sepa.org.uk" w:history="1">
            <w:r w:rsidRPr="009977FB">
              <w:rPr>
                <w:rStyle w:val="Hyperlink"/>
                <w:rFonts w:ascii="Arial" w:eastAsia="Times New Roman" w:hAnsi="Arial" w:cs="Arial"/>
                <w:sz w:val="32"/>
                <w:szCs w:val="32"/>
              </w:rPr>
              <w:t>equalities@sepa.org.uk</w:t>
            </w:r>
          </w:hyperlink>
          <w:r w:rsidR="00B97337" w:rsidRPr="009977FB">
            <w:rPr>
              <w:rFonts w:asciiTheme="majorHAnsi" w:eastAsia="Times New Roman" w:hAnsiTheme="majorHAnsi" w:cstheme="majorHAnsi"/>
              <w:sz w:val="32"/>
              <w:szCs w:val="32"/>
            </w:rPr>
            <w:br w:type="page"/>
          </w:r>
        </w:p>
        <w:p w14:paraId="41EF2588" w14:textId="44991392" w:rsidR="00B97337" w:rsidRPr="002C59E5" w:rsidRDefault="00354535" w:rsidP="0018378B">
          <w:pPr>
            <w:pStyle w:val="Heading2"/>
            <w:spacing w:after="120"/>
            <w:rPr>
              <w:sz w:val="40"/>
              <w:szCs w:val="40"/>
            </w:rPr>
          </w:pPr>
          <w:bookmarkStart w:id="0" w:name="_Toc184980437"/>
          <w:r w:rsidRPr="002C59E5">
            <w:rPr>
              <w:sz w:val="40"/>
              <w:szCs w:val="40"/>
            </w:rPr>
            <w:lastRenderedPageBreak/>
            <w:t>Purpose</w:t>
          </w:r>
          <w:bookmarkEnd w:id="0"/>
        </w:p>
        <w:p w14:paraId="059E6EB1" w14:textId="0C6BA36B" w:rsidR="002C59E5" w:rsidRPr="002C59E5" w:rsidRDefault="00B97337" w:rsidP="004F24D7">
          <w:pPr>
            <w:spacing w:after="240"/>
          </w:pPr>
          <w:r w:rsidRPr="00C372E0">
            <w:rPr>
              <w:rStyle w:val="normaltextrun"/>
              <w:rFonts w:asciiTheme="majorHAnsi" w:eastAsiaTheme="majorEastAsia" w:hAnsiTheme="majorHAnsi" w:cstheme="majorHAnsi"/>
            </w:rPr>
            <w:t xml:space="preserve">This </w:t>
          </w:r>
          <w:r w:rsidR="002C59E5" w:rsidRPr="002C59E5">
            <w:t>guidance provides advice on the classification of WEEE.</w:t>
          </w:r>
        </w:p>
        <w:p w14:paraId="2A093C4B" w14:textId="77777777" w:rsidR="002C59E5" w:rsidRPr="002C59E5" w:rsidRDefault="002C59E5" w:rsidP="0018378B">
          <w:pPr>
            <w:keepNext/>
            <w:keepLines/>
            <w:spacing w:after="120" w:line="276" w:lineRule="auto"/>
            <w:outlineLvl w:val="0"/>
            <w:rPr>
              <w:rFonts w:asciiTheme="majorHAnsi" w:eastAsiaTheme="majorEastAsia" w:hAnsiTheme="majorHAnsi" w:cstheme="majorBidi"/>
              <w:b/>
              <w:color w:val="016574" w:themeColor="accent2"/>
              <w:sz w:val="40"/>
              <w:szCs w:val="32"/>
            </w:rPr>
          </w:pPr>
          <w:bookmarkStart w:id="1" w:name="_Toc184980438"/>
          <w:r w:rsidRPr="002C59E5">
            <w:rPr>
              <w:rFonts w:asciiTheme="majorHAnsi" w:eastAsiaTheme="majorEastAsia" w:hAnsiTheme="majorHAnsi" w:cstheme="majorBidi"/>
              <w:b/>
              <w:color w:val="016574" w:themeColor="accent2"/>
              <w:sz w:val="40"/>
              <w:szCs w:val="32"/>
            </w:rPr>
            <w:t>Background</w:t>
          </w:r>
          <w:bookmarkEnd w:id="1"/>
        </w:p>
        <w:p w14:paraId="3F5AC15E" w14:textId="77777777" w:rsidR="002C59E5" w:rsidRPr="005D3E75" w:rsidRDefault="002C59E5" w:rsidP="004F24D7">
          <w:pPr>
            <w:spacing w:after="240"/>
            <w:jc w:val="both"/>
            <w:rPr>
              <w:rFonts w:ascii="Arial" w:eastAsia="Arial" w:hAnsi="Arial" w:cs="Arial"/>
              <w:color w:val="000000"/>
            </w:rPr>
          </w:pPr>
          <w:r w:rsidRPr="005D3E75">
            <w:rPr>
              <w:rFonts w:ascii="Arial" w:eastAsia="Arial" w:hAnsi="Arial" w:cs="Arial"/>
              <w:color w:val="000000"/>
            </w:rPr>
            <w:t>Waste Electrical and Electronic Equipment (WEEE), including fridges, computers, mobile phones, televisions etc., is a growing waste stream and can be a complex mixture of materials and components containing hazardous substances including Persistent Organic Pollutants (POPs). Components/materials of concern include:</w:t>
          </w:r>
        </w:p>
        <w:p w14:paraId="17B90EDD"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printed circuit boards</w:t>
          </w:r>
        </w:p>
        <w:p w14:paraId="317BF45A"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plastic casings, cables and other components</w:t>
          </w:r>
        </w:p>
        <w:p w14:paraId="7B59DFC8"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insulation foam</w:t>
          </w:r>
        </w:p>
        <w:p w14:paraId="41EAF99C"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cooling agents</w:t>
          </w:r>
        </w:p>
        <w:p w14:paraId="6E76BC8C"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flame retardants</w:t>
          </w:r>
        </w:p>
        <w:p w14:paraId="5C2C2FC2"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activated glass and screen phosphors</w:t>
          </w:r>
        </w:p>
        <w:p w14:paraId="26310AB5"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cathode ray tubes</w:t>
          </w:r>
        </w:p>
        <w:p w14:paraId="42748471"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capacitors</w:t>
          </w:r>
        </w:p>
        <w:p w14:paraId="0B09AFDB" w14:textId="77777777" w:rsidR="002C59E5" w:rsidRPr="005D3E75" w:rsidRDefault="002C59E5" w:rsidP="004F24D7">
          <w:pPr>
            <w:numPr>
              <w:ilvl w:val="0"/>
              <w:numId w:val="45"/>
            </w:numPr>
            <w:spacing w:after="240"/>
            <w:jc w:val="both"/>
            <w:rPr>
              <w:rFonts w:ascii="Arial" w:eastAsia="Arial" w:hAnsi="Arial" w:cs="Arial"/>
              <w:color w:val="000000"/>
            </w:rPr>
          </w:pPr>
          <w:r w:rsidRPr="005D3E75">
            <w:rPr>
              <w:rFonts w:ascii="Arial" w:eastAsia="Arial" w:hAnsi="Arial" w:cs="Arial"/>
              <w:color w:val="000000"/>
            </w:rPr>
            <w:t>Ni-Cd batteries</w:t>
          </w:r>
        </w:p>
        <w:p w14:paraId="0DAC1F02" w14:textId="77777777" w:rsidR="002C59E5" w:rsidRPr="005D3E75" w:rsidRDefault="002C59E5" w:rsidP="004F24D7">
          <w:pPr>
            <w:spacing w:after="240"/>
            <w:jc w:val="both"/>
            <w:rPr>
              <w:rFonts w:ascii="Arial" w:eastAsia="Arial" w:hAnsi="Arial" w:cs="Arial"/>
              <w:color w:val="000000"/>
            </w:rPr>
          </w:pPr>
          <w:r w:rsidRPr="005D3E75">
            <w:rPr>
              <w:rFonts w:ascii="Arial" w:eastAsia="Arial" w:hAnsi="Arial" w:cs="Arial"/>
              <w:color w:val="000000"/>
            </w:rPr>
            <w:t xml:space="preserve">If the levels of hazardous substances or POPs are over a threshold limit the item will be hazardous waste or hazardous POPs waste, which if not properly managed, can cause environmental harm. </w:t>
          </w:r>
        </w:p>
        <w:p w14:paraId="4AFD88C6" w14:textId="77777777" w:rsidR="002C59E5" w:rsidRPr="005D3E75" w:rsidRDefault="002C59E5" w:rsidP="004F24D7">
          <w:pPr>
            <w:spacing w:after="240"/>
            <w:jc w:val="both"/>
            <w:rPr>
              <w:rFonts w:ascii="Arial" w:eastAsia="Arial" w:hAnsi="Arial" w:cs="Arial"/>
              <w:color w:val="000000"/>
            </w:rPr>
          </w:pPr>
          <w:r w:rsidRPr="005D3E75">
            <w:rPr>
              <w:rFonts w:ascii="Arial" w:eastAsia="Arial" w:hAnsi="Arial" w:cs="Arial"/>
              <w:color w:val="000000"/>
            </w:rPr>
            <w:t xml:space="preserve">For further guidance on POPs concentration levels, hazardous substances thresholds and waste classification please see the following: </w:t>
          </w:r>
        </w:p>
        <w:p w14:paraId="7B74DEA1" w14:textId="77777777" w:rsidR="002C59E5" w:rsidRPr="002C59E5" w:rsidRDefault="002C59E5" w:rsidP="004F24D7">
          <w:pPr>
            <w:keepNext/>
            <w:spacing w:before="240" w:after="240"/>
            <w:rPr>
              <w:rFonts w:ascii="Arial" w:eastAsia="Arial" w:hAnsi="Arial" w:cs="Arial"/>
              <w:b/>
              <w:bCs/>
              <w:color w:val="0000FF"/>
            </w:rPr>
          </w:pPr>
          <w:hyperlink r:id="rId14">
            <w:r w:rsidRPr="005D3E75">
              <w:rPr>
                <w:rFonts w:ascii="Arial" w:eastAsia="Arial" w:hAnsi="Arial" w:cs="Arial"/>
                <w:b/>
                <w:color w:val="016574" w:themeColor="hyperlink"/>
                <w:u w:val="single"/>
              </w:rPr>
              <w:t>https://www.gov.uk/guidance/dispose-of-waste-containing-persistent-organic-pollutants-pops</w:t>
            </w:r>
          </w:hyperlink>
        </w:p>
        <w:p w14:paraId="26C973A0" w14:textId="4D8DCA5D" w:rsidR="00B94E98" w:rsidRDefault="002C59E5" w:rsidP="004F24D7">
          <w:pPr>
            <w:pStyle w:val="NormalWeb"/>
            <w:shd w:val="clear" w:color="auto" w:fill="FFFFFF" w:themeFill="background1"/>
            <w:spacing w:after="240"/>
            <w:rPr>
              <w:rStyle w:val="normaltextrun"/>
              <w:rFonts w:asciiTheme="majorHAnsi" w:eastAsiaTheme="majorEastAsia" w:hAnsiTheme="majorHAnsi" w:cstheme="majorHAnsi"/>
            </w:rPr>
          </w:pPr>
          <w:hyperlink r:id="rId15">
            <w:r w:rsidRPr="005D3E75">
              <w:rPr>
                <w:rFonts w:ascii="Arial" w:eastAsia="Arial" w:hAnsi="Arial" w:cs="Arial"/>
                <w:color w:val="016574" w:themeColor="hyperlink"/>
                <w:u w:val="single"/>
              </w:rPr>
              <w:t>https://assets.publishing.service.gov.uk/government/uploads/system/uploads/attachment_data/file/948735/Waste_classification_technical_guidance_WM3.pdf</w:t>
            </w:r>
          </w:hyperlink>
        </w:p>
        <w:p w14:paraId="0B41DA5D" w14:textId="77777777" w:rsidR="00314006" w:rsidRPr="00314006" w:rsidRDefault="00314006" w:rsidP="0018378B">
          <w:pPr>
            <w:keepNext/>
            <w:keepLines/>
            <w:spacing w:after="120" w:line="276" w:lineRule="auto"/>
            <w:outlineLvl w:val="0"/>
            <w:rPr>
              <w:rFonts w:ascii="Arial" w:eastAsia="Arial" w:hAnsi="Arial" w:cs="Arial"/>
              <w:b/>
              <w:bCs/>
              <w:color w:val="268472"/>
              <w:sz w:val="22"/>
              <w:szCs w:val="22"/>
            </w:rPr>
          </w:pPr>
          <w:bookmarkStart w:id="2" w:name="_Toc184980439"/>
          <w:r w:rsidRPr="00314006">
            <w:rPr>
              <w:rFonts w:asciiTheme="majorHAnsi" w:eastAsiaTheme="majorEastAsia" w:hAnsiTheme="majorHAnsi" w:cstheme="majorBidi"/>
              <w:b/>
              <w:color w:val="016574" w:themeColor="accent2"/>
              <w:sz w:val="40"/>
              <w:szCs w:val="32"/>
            </w:rPr>
            <w:t>Persistent Organic Pollutants (POPs)</w:t>
          </w:r>
          <w:bookmarkEnd w:id="2"/>
        </w:p>
        <w:p w14:paraId="7862DC27" w14:textId="77777777" w:rsidR="00314006" w:rsidRPr="00B50DB5" w:rsidRDefault="00314006" w:rsidP="004F24D7">
          <w:pPr>
            <w:spacing w:after="240"/>
            <w:jc w:val="both"/>
            <w:rPr>
              <w:rFonts w:ascii="Arial" w:eastAsia="Arial" w:hAnsi="Arial" w:cs="Arial"/>
              <w:color w:val="000000"/>
            </w:rPr>
          </w:pPr>
          <w:r w:rsidRPr="00B50DB5">
            <w:rPr>
              <w:rFonts w:ascii="Arial" w:eastAsia="Arial" w:hAnsi="Arial" w:cs="Arial"/>
              <w:color w:val="000000"/>
            </w:rPr>
            <w:t>The Stockholm Convention</w:t>
          </w:r>
          <w:r w:rsidRPr="00B50DB5">
            <w:rPr>
              <w:rFonts w:ascii="Arial" w:eastAsia="Arial" w:hAnsi="Arial" w:cs="Arial"/>
              <w:color w:val="000000"/>
              <w:vertAlign w:val="superscript"/>
            </w:rPr>
            <w:t>1</w:t>
          </w:r>
          <w:r w:rsidRPr="00B50DB5">
            <w:rPr>
              <w:rFonts w:ascii="Arial" w:eastAsia="Arial" w:hAnsi="Arial" w:cs="Arial"/>
              <w:color w:val="000000"/>
            </w:rPr>
            <w:t xml:space="preserve"> aims to reduce or eliminate the release of Persistent Organic Pollutants (POPs) and any wastes containing POPs should be disposed of in such a way that the POP content is destroyed or irreversibly transformed.</w:t>
          </w:r>
        </w:p>
        <w:p w14:paraId="03A4B11E" w14:textId="77777777" w:rsidR="00314006" w:rsidRPr="00B50DB5" w:rsidRDefault="00314006" w:rsidP="004F24D7">
          <w:pPr>
            <w:spacing w:after="240"/>
            <w:jc w:val="both"/>
            <w:rPr>
              <w:rFonts w:ascii="Arial" w:eastAsia="Arial" w:hAnsi="Arial" w:cs="Arial"/>
              <w:color w:val="000000"/>
            </w:rPr>
          </w:pPr>
          <w:r w:rsidRPr="00B50DB5">
            <w:rPr>
              <w:rFonts w:ascii="Arial" w:eastAsia="Arial" w:hAnsi="Arial" w:cs="Arial"/>
              <w:color w:val="000000"/>
            </w:rPr>
            <w:t xml:space="preserve">The presence of POPs in a waste affects the legal requirements that apply to how that waste is managed for example, segregation, treatment, disposal and export. </w:t>
          </w:r>
        </w:p>
        <w:p w14:paraId="602B8392" w14:textId="4623048F" w:rsidR="00314006" w:rsidRPr="00B50DB5" w:rsidRDefault="00314006" w:rsidP="004F24D7">
          <w:pPr>
            <w:spacing w:after="240"/>
            <w:jc w:val="both"/>
            <w:rPr>
              <w:rFonts w:ascii="Arial" w:eastAsia="Arial" w:hAnsi="Arial" w:cs="Arial"/>
              <w:color w:val="000000"/>
            </w:rPr>
          </w:pPr>
          <w:r w:rsidRPr="00B50DB5">
            <w:rPr>
              <w:rFonts w:ascii="Arial" w:eastAsia="Arial" w:hAnsi="Arial" w:cs="Arial"/>
              <w:color w:val="000000"/>
            </w:rPr>
            <w:t xml:space="preserve">Please note that this guidance is not applicable to re-use. </w:t>
          </w:r>
        </w:p>
        <w:p w14:paraId="6793211F" w14:textId="77777777" w:rsidR="00507469" w:rsidRPr="00507469" w:rsidRDefault="00507469" w:rsidP="0018378B">
          <w:pPr>
            <w:keepNext/>
            <w:keepLines/>
            <w:spacing w:after="120" w:line="240" w:lineRule="auto"/>
            <w:outlineLvl w:val="0"/>
            <w:rPr>
              <w:rFonts w:asciiTheme="majorHAnsi" w:eastAsiaTheme="majorEastAsia" w:hAnsiTheme="majorHAnsi" w:cstheme="majorBidi"/>
              <w:b/>
              <w:color w:val="016574" w:themeColor="accent2"/>
              <w:sz w:val="40"/>
              <w:szCs w:val="32"/>
            </w:rPr>
          </w:pPr>
          <w:bookmarkStart w:id="3" w:name="_Toc184980440"/>
          <w:r w:rsidRPr="00507469">
            <w:rPr>
              <w:rFonts w:asciiTheme="majorHAnsi" w:eastAsiaTheme="majorEastAsia" w:hAnsiTheme="majorHAnsi" w:cstheme="majorBidi"/>
              <w:b/>
              <w:color w:val="016574" w:themeColor="accent2"/>
              <w:sz w:val="40"/>
              <w:szCs w:val="32"/>
            </w:rPr>
            <w:t>Your legal obligations regarding WEEE and POPs</w:t>
          </w:r>
          <w:bookmarkEnd w:id="3"/>
        </w:p>
        <w:p w14:paraId="1FEA60C6" w14:textId="77777777" w:rsidR="00507469" w:rsidRPr="00B50DB5" w:rsidRDefault="00507469" w:rsidP="004F24D7">
          <w:pPr>
            <w:spacing w:after="240"/>
            <w:jc w:val="both"/>
            <w:rPr>
              <w:rFonts w:ascii="Arial" w:eastAsia="Arial" w:hAnsi="Arial" w:cs="Arial"/>
              <w:color w:val="0B0C0C"/>
            </w:rPr>
          </w:pPr>
          <w:r w:rsidRPr="00B50DB5">
            <w:rPr>
              <w:rFonts w:ascii="Arial" w:eastAsia="Arial" w:hAnsi="Arial" w:cs="Arial"/>
              <w:color w:val="0B0C0C"/>
            </w:rPr>
            <w:t>If you produce, collect or receive waste electrical and electronic equipment (WEEE), it is your responsibility to know if your waste material contains or could contain POPs. If you are not sure you can:</w:t>
          </w:r>
        </w:p>
        <w:p w14:paraId="7D8F6132" w14:textId="77777777" w:rsidR="00507469" w:rsidRPr="00B50DB5" w:rsidRDefault="00507469" w:rsidP="004F24D7">
          <w:pPr>
            <w:numPr>
              <w:ilvl w:val="0"/>
              <w:numId w:val="46"/>
            </w:numPr>
            <w:spacing w:after="240"/>
            <w:jc w:val="both"/>
            <w:rPr>
              <w:rFonts w:ascii="Arial" w:eastAsia="Arial" w:hAnsi="Arial" w:cs="Arial"/>
              <w:color w:val="0B0C0C"/>
            </w:rPr>
          </w:pPr>
          <w:r w:rsidRPr="00B50DB5">
            <w:rPr>
              <w:rFonts w:ascii="Arial" w:eastAsia="Arial" w:hAnsi="Arial" w:cs="Arial"/>
              <w:color w:val="0B0C0C"/>
            </w:rPr>
            <w:t>ask the suppliers or manufacturers of the material or article for details of the POPs that could be present</w:t>
          </w:r>
        </w:p>
        <w:p w14:paraId="0090B022" w14:textId="77777777" w:rsidR="00507469" w:rsidRPr="00B50DB5" w:rsidRDefault="00507469" w:rsidP="004F24D7">
          <w:pPr>
            <w:numPr>
              <w:ilvl w:val="0"/>
              <w:numId w:val="46"/>
            </w:numPr>
            <w:spacing w:after="240"/>
            <w:jc w:val="both"/>
            <w:rPr>
              <w:rFonts w:ascii="Arial" w:eastAsia="Arial" w:hAnsi="Arial" w:cs="Arial"/>
              <w:color w:val="0B0C0C"/>
            </w:rPr>
          </w:pPr>
          <w:r w:rsidRPr="00B50DB5">
            <w:rPr>
              <w:rFonts w:ascii="Arial" w:eastAsia="Arial" w:hAnsi="Arial" w:cs="Arial"/>
              <w:color w:val="0B0C0C"/>
            </w:rPr>
            <w:t>test the material yourself to find out the concentration of any POPs in it</w:t>
          </w:r>
        </w:p>
        <w:p w14:paraId="49C1AA4B" w14:textId="77777777" w:rsidR="00507469" w:rsidRPr="00B50DB5" w:rsidRDefault="00507469" w:rsidP="004F24D7">
          <w:pPr>
            <w:numPr>
              <w:ilvl w:val="0"/>
              <w:numId w:val="46"/>
            </w:numPr>
            <w:spacing w:after="240"/>
            <w:jc w:val="both"/>
            <w:rPr>
              <w:rFonts w:ascii="Arial" w:eastAsia="Arial" w:hAnsi="Arial" w:cs="Arial"/>
              <w:color w:val="0B0C0C"/>
            </w:rPr>
          </w:pPr>
          <w:r w:rsidRPr="00B50DB5">
            <w:rPr>
              <w:rFonts w:ascii="Arial" w:eastAsia="Arial" w:hAnsi="Arial" w:cs="Arial"/>
              <w:color w:val="0B0C0C"/>
            </w:rPr>
            <w:t>get the material analysed by a laboratory for POPs content</w:t>
          </w:r>
        </w:p>
        <w:p w14:paraId="25AEE3F4" w14:textId="77777777" w:rsidR="00507469" w:rsidRPr="00B50DB5" w:rsidRDefault="00507469" w:rsidP="004F24D7">
          <w:pPr>
            <w:spacing w:after="240"/>
            <w:jc w:val="both"/>
            <w:rPr>
              <w:rFonts w:ascii="Arial" w:eastAsia="Arial" w:hAnsi="Arial" w:cs="Arial"/>
              <w:color w:val="000000"/>
            </w:rPr>
          </w:pPr>
          <w:r w:rsidRPr="00B50DB5">
            <w:rPr>
              <w:rFonts w:ascii="Arial" w:eastAsia="Arial" w:hAnsi="Arial" w:cs="Arial"/>
              <w:color w:val="000000"/>
            </w:rPr>
            <w:t>Guidance on the specific details of the requirements as they apply to WEEE are detailed below.</w:t>
          </w:r>
        </w:p>
        <w:p w14:paraId="416BCB60" w14:textId="77777777" w:rsidR="00507469" w:rsidRPr="00B50DB5" w:rsidRDefault="00507469" w:rsidP="004F24D7">
          <w:pPr>
            <w:spacing w:after="240"/>
            <w:jc w:val="both"/>
            <w:rPr>
              <w:rFonts w:ascii="Arial" w:eastAsia="Arial" w:hAnsi="Arial" w:cs="Arial"/>
              <w:color w:val="0000FF"/>
            </w:rPr>
          </w:pPr>
          <w:r w:rsidRPr="00B50DB5">
            <w:rPr>
              <w:rFonts w:ascii="Arial" w:eastAsia="Arial" w:hAnsi="Arial" w:cs="Arial"/>
              <w:color w:val="000000"/>
            </w:rPr>
            <w:t xml:space="preserve">Further guidance on identifying, classifying and disposing of POPs waste can be found at the following link however please note that it should be read in conjunction with this, and other, SEPA guidance:   </w:t>
          </w:r>
          <w:hyperlink r:id="rId16">
            <w:r w:rsidRPr="00B50DB5">
              <w:rPr>
                <w:rFonts w:ascii="Arial" w:eastAsia="Arial" w:hAnsi="Arial" w:cs="Arial"/>
                <w:color w:val="016574" w:themeColor="hyperlink"/>
                <w:u w:val="single"/>
              </w:rPr>
              <w:t>https://www.gov.uk/guidance/dispose-of-waste-containing-persistent-organic-pollutants-pops</w:t>
            </w:r>
          </w:hyperlink>
        </w:p>
        <w:p w14:paraId="5F660381" w14:textId="77777777" w:rsidR="00507469" w:rsidRPr="00B50DB5" w:rsidRDefault="00507469" w:rsidP="004F24D7">
          <w:pPr>
            <w:spacing w:after="240"/>
            <w:rPr>
              <w:rFonts w:ascii="Arial" w:eastAsia="Arial" w:hAnsi="Arial" w:cs="Arial"/>
              <w:color w:val="000000"/>
            </w:rPr>
          </w:pPr>
          <w:r w:rsidRPr="00B50DB5">
            <w:rPr>
              <w:rFonts w:ascii="Arial" w:eastAsia="Arial" w:hAnsi="Arial" w:cs="Arial"/>
              <w:color w:val="0B0C0C"/>
            </w:rPr>
            <w:lastRenderedPageBreak/>
            <w:t>This guidance document can help you assess your waste, however, as the waste holder, it is your responsibility to assess and classify your waste properly. Furthermore, i</w:t>
          </w:r>
          <w:r w:rsidRPr="00B50DB5">
            <w:rPr>
              <w:rFonts w:ascii="Arial" w:eastAsia="Arial" w:hAnsi="Arial" w:cs="Arial"/>
              <w:color w:val="000000"/>
            </w:rPr>
            <w:t>f you receive waste, you should check that the previous holder has classified and described the waste correctly, for example, it has been done in accordance with WM3.</w:t>
          </w:r>
        </w:p>
        <w:p w14:paraId="67A15FB3" w14:textId="77777777" w:rsidR="00507469" w:rsidRPr="00B50DB5" w:rsidRDefault="00507469" w:rsidP="004F24D7">
          <w:pPr>
            <w:spacing w:after="240"/>
            <w:rPr>
              <w:rFonts w:ascii="Arial" w:eastAsia="Arial" w:hAnsi="Arial" w:cs="Arial"/>
              <w:color w:val="000000"/>
            </w:rPr>
          </w:pPr>
          <w:r w:rsidRPr="00B50DB5">
            <w:rPr>
              <w:rFonts w:ascii="Arial" w:eastAsia="Arial" w:hAnsi="Arial" w:cs="Arial"/>
              <w:color w:val="000000"/>
            </w:rPr>
            <w:t>If you treat an item of WEEE that has not been assessed to determine if it is POPs waste, you should manage the device and treatment outputs as POPs waste as a precaution, unless and until you have ascertained the item is POPs free.</w:t>
          </w:r>
        </w:p>
        <w:p w14:paraId="34E14F30" w14:textId="77777777" w:rsidR="00507469" w:rsidRPr="00B50DB5" w:rsidRDefault="00507469" w:rsidP="004F24D7">
          <w:pPr>
            <w:spacing w:after="240"/>
            <w:rPr>
              <w:rFonts w:ascii="Arial" w:eastAsia="Arial" w:hAnsi="Arial" w:cs="Arial"/>
              <w:color w:val="000000"/>
            </w:rPr>
          </w:pPr>
          <w:r w:rsidRPr="00B50DB5">
            <w:rPr>
              <w:rFonts w:ascii="Arial" w:eastAsia="Arial" w:hAnsi="Arial" w:cs="Arial"/>
              <w:color w:val="000000"/>
            </w:rPr>
            <w:t>If you have assessed your waste and are still not sure if a WEEE item is POPs waste, you should manage it as POPs waste.</w:t>
          </w:r>
        </w:p>
        <w:p w14:paraId="42A7B343" w14:textId="77777777" w:rsidR="00507469" w:rsidRPr="00507469" w:rsidRDefault="00507469" w:rsidP="002F1188">
          <w:pPr>
            <w:keepNext/>
            <w:keepLines/>
            <w:spacing w:after="120" w:line="276" w:lineRule="auto"/>
            <w:outlineLvl w:val="0"/>
            <w:rPr>
              <w:rFonts w:ascii="Arial" w:eastAsia="Arial" w:hAnsi="Arial" w:cs="Arial"/>
              <w:b/>
              <w:bCs/>
              <w:color w:val="268472"/>
              <w:sz w:val="22"/>
              <w:szCs w:val="22"/>
            </w:rPr>
          </w:pPr>
          <w:bookmarkStart w:id="4" w:name="_Toc184980441"/>
          <w:r w:rsidRPr="00507469">
            <w:rPr>
              <w:rFonts w:asciiTheme="majorHAnsi" w:eastAsiaTheme="majorEastAsia" w:hAnsiTheme="majorHAnsi" w:cstheme="majorBidi"/>
              <w:b/>
              <w:color w:val="016574" w:themeColor="accent2"/>
              <w:sz w:val="40"/>
              <w:szCs w:val="32"/>
            </w:rPr>
            <w:t>When you must destroy POPs in waste</w:t>
          </w:r>
          <w:bookmarkEnd w:id="4"/>
        </w:p>
        <w:p w14:paraId="3694EE7A" w14:textId="77777777" w:rsidR="00507469" w:rsidRPr="00B50DB5" w:rsidRDefault="00507469" w:rsidP="004F24D7">
          <w:pPr>
            <w:spacing w:after="240"/>
            <w:jc w:val="both"/>
            <w:rPr>
              <w:rFonts w:ascii="Arial" w:eastAsia="Arial" w:hAnsi="Arial" w:cs="Arial"/>
              <w:color w:val="0B0C0C"/>
            </w:rPr>
          </w:pPr>
          <w:r w:rsidRPr="00B50DB5">
            <w:rPr>
              <w:rFonts w:ascii="Arial" w:eastAsia="Arial" w:hAnsi="Arial" w:cs="Arial"/>
              <w:color w:val="0B0C0C"/>
            </w:rPr>
            <w:t>You must destroy the POPs in the waste if they are above certain concentration limits. This waste is known as POPs waste.</w:t>
          </w:r>
        </w:p>
        <w:p w14:paraId="0A8D8FB2" w14:textId="77777777" w:rsidR="00507469" w:rsidRPr="00B50DB5" w:rsidRDefault="00507469" w:rsidP="004F24D7">
          <w:pPr>
            <w:spacing w:after="240"/>
            <w:jc w:val="both"/>
            <w:rPr>
              <w:rFonts w:ascii="Arial" w:eastAsia="Arial" w:hAnsi="Arial" w:cs="Arial"/>
              <w:color w:val="0B0C0C"/>
            </w:rPr>
          </w:pPr>
          <w:r w:rsidRPr="00B50DB5">
            <w:rPr>
              <w:rFonts w:ascii="Arial" w:eastAsia="Arial" w:hAnsi="Arial" w:cs="Arial"/>
              <w:color w:val="0B0C0C"/>
            </w:rPr>
            <w:t xml:space="preserve">If you treat POPs waste and the treatment does not reliably destroy the POPs, any waste that results from the treatment, and contains these POPs, is also POPs waste. You must destroy the POPs in this treated waste even if the concentration is below the limits in this table. Dilution is not permitted. </w:t>
          </w:r>
        </w:p>
        <w:p w14:paraId="0026D543" w14:textId="77777777" w:rsidR="00A4291C" w:rsidRPr="00A4291C" w:rsidRDefault="00A4291C" w:rsidP="002F1188">
          <w:pPr>
            <w:keepNext/>
            <w:keepLines/>
            <w:spacing w:after="120" w:line="276" w:lineRule="auto"/>
            <w:outlineLvl w:val="0"/>
            <w:rPr>
              <w:rFonts w:ascii="Arial" w:eastAsia="Arial" w:hAnsi="Arial" w:cs="Arial"/>
              <w:b/>
              <w:bCs/>
              <w:color w:val="268472"/>
              <w:sz w:val="22"/>
              <w:szCs w:val="22"/>
            </w:rPr>
          </w:pPr>
          <w:bookmarkStart w:id="5" w:name="_Toc184980442"/>
          <w:r w:rsidRPr="00A4291C">
            <w:rPr>
              <w:rFonts w:asciiTheme="majorHAnsi" w:eastAsiaTheme="majorEastAsia" w:hAnsiTheme="majorHAnsi" w:cstheme="majorBidi"/>
              <w:b/>
              <w:color w:val="016574" w:themeColor="accent2"/>
              <w:sz w:val="40"/>
              <w:szCs w:val="32"/>
            </w:rPr>
            <w:t>The classification and description of WEEE</w:t>
          </w:r>
          <w:bookmarkEnd w:id="5"/>
        </w:p>
        <w:p w14:paraId="6CD00E54" w14:textId="77777777" w:rsidR="00A4291C" w:rsidRPr="00B50DB5" w:rsidRDefault="00A4291C" w:rsidP="002F1188">
          <w:pPr>
            <w:spacing w:after="240"/>
            <w:rPr>
              <w:rFonts w:ascii="Arial" w:eastAsia="Arial" w:hAnsi="Arial" w:cs="Arial"/>
              <w:color w:val="000000"/>
            </w:rPr>
          </w:pPr>
          <w:r w:rsidRPr="00B50DB5">
            <w:rPr>
              <w:rFonts w:ascii="Arial" w:eastAsia="Arial" w:hAnsi="Arial" w:cs="Arial"/>
              <w:color w:val="000000"/>
              <w:lang w:val="en-US"/>
            </w:rPr>
            <w:t>Section 34 of the Environmental Protection Act 1990 (as amended) lays out several duties which aim to ensure that waste is managed correctly, for example:</w:t>
          </w:r>
        </w:p>
        <w:p w14:paraId="04C2A60E" w14:textId="77777777" w:rsidR="00A4291C" w:rsidRPr="00B50DB5" w:rsidRDefault="00A4291C" w:rsidP="002F1188">
          <w:pPr>
            <w:numPr>
              <w:ilvl w:val="0"/>
              <w:numId w:val="47"/>
            </w:numPr>
            <w:spacing w:after="240"/>
            <w:rPr>
              <w:rFonts w:ascii="Arial" w:eastAsia="Arial" w:hAnsi="Arial" w:cs="Arial"/>
              <w:color w:val="000000"/>
            </w:rPr>
          </w:pPr>
          <w:r w:rsidRPr="00B50DB5">
            <w:rPr>
              <w:rFonts w:ascii="Arial" w:eastAsia="Arial" w:hAnsi="Arial" w:cs="Arial"/>
              <w:color w:val="000000"/>
              <w:lang w:val="en-US"/>
            </w:rPr>
            <w:t xml:space="preserve">Waste should be stored properly </w:t>
          </w:r>
        </w:p>
        <w:p w14:paraId="3A691A6A" w14:textId="428759BD" w:rsidR="00A4291C" w:rsidRPr="00B50DB5" w:rsidRDefault="00A4291C" w:rsidP="002F1188">
          <w:pPr>
            <w:numPr>
              <w:ilvl w:val="0"/>
              <w:numId w:val="47"/>
            </w:numPr>
            <w:spacing w:after="240"/>
            <w:rPr>
              <w:rFonts w:ascii="Arial" w:eastAsia="Arial" w:hAnsi="Arial" w:cs="Arial"/>
              <w:color w:val="000000"/>
            </w:rPr>
          </w:pPr>
          <w:r w:rsidRPr="00B50DB5">
            <w:rPr>
              <w:rFonts w:ascii="Arial" w:eastAsia="Arial" w:hAnsi="Arial" w:cs="Arial"/>
              <w:color w:val="000000"/>
              <w:lang w:val="en-US"/>
            </w:rPr>
            <w:t xml:space="preserve">You should only transfer waste to an appropriate person </w:t>
          </w:r>
        </w:p>
        <w:p w14:paraId="6D27183E" w14:textId="77777777" w:rsidR="00A4291C" w:rsidRPr="00B50DB5" w:rsidRDefault="00A4291C" w:rsidP="002F1188">
          <w:pPr>
            <w:numPr>
              <w:ilvl w:val="0"/>
              <w:numId w:val="47"/>
            </w:numPr>
            <w:spacing w:after="240"/>
            <w:rPr>
              <w:rFonts w:ascii="Arial" w:eastAsia="Arial" w:hAnsi="Arial" w:cs="Arial"/>
              <w:color w:val="000000"/>
            </w:rPr>
          </w:pPr>
          <w:r w:rsidRPr="00B50DB5">
            <w:rPr>
              <w:rFonts w:ascii="Arial" w:eastAsia="Arial" w:hAnsi="Arial" w:cs="Arial"/>
              <w:color w:val="000000"/>
              <w:lang w:val="en-US"/>
            </w:rPr>
            <w:t>You should ensure that when transferred it is sufficiently well described to enable its safe recovery or disposal without harming the environment.</w:t>
          </w:r>
        </w:p>
        <w:p w14:paraId="0FD9E429" w14:textId="77777777" w:rsidR="00A4291C" w:rsidRPr="00B50DB5" w:rsidRDefault="00A4291C" w:rsidP="002F1188">
          <w:pPr>
            <w:spacing w:after="240"/>
            <w:rPr>
              <w:rFonts w:ascii="Arial" w:eastAsia="Arial" w:hAnsi="Arial" w:cs="Arial"/>
              <w:color w:val="000000"/>
            </w:rPr>
          </w:pPr>
          <w:r w:rsidRPr="00B50DB5">
            <w:rPr>
              <w:rFonts w:ascii="Arial" w:eastAsia="Arial" w:hAnsi="Arial" w:cs="Arial"/>
              <w:color w:val="000000"/>
              <w:lang w:val="en-US"/>
            </w:rPr>
            <w:t xml:space="preserve">When transferring your waste, you must classify your waste and use the appropriate paperwork, i.e. Waste Transfer Note (WTN) for non-hazardous waste and Special Waste Consignment Note (SWCN) for hazardous waste. </w:t>
          </w:r>
        </w:p>
        <w:p w14:paraId="3512A015" w14:textId="23049ACA" w:rsidR="00A4291C" w:rsidRPr="00B50DB5" w:rsidRDefault="00A4291C" w:rsidP="002F1188">
          <w:pPr>
            <w:spacing w:after="240"/>
            <w:rPr>
              <w:rFonts w:ascii="Arial" w:eastAsia="Arial" w:hAnsi="Arial" w:cs="Arial"/>
              <w:color w:val="000000"/>
            </w:rPr>
          </w:pPr>
          <w:r w:rsidRPr="00B50DB5">
            <w:rPr>
              <w:rFonts w:ascii="Arial" w:eastAsia="Arial" w:hAnsi="Arial" w:cs="Arial"/>
              <w:color w:val="000000"/>
              <w:lang w:val="en-US"/>
            </w:rPr>
            <w:lastRenderedPageBreak/>
            <w:t xml:space="preserve">In the WTN or SWCN you must, amongst other things, use an appropriate </w:t>
          </w:r>
          <w:r w:rsidR="00A75CD6" w:rsidRPr="00B50DB5">
            <w:rPr>
              <w:rFonts w:ascii="Arial" w:eastAsia="Arial" w:hAnsi="Arial" w:cs="Arial"/>
              <w:color w:val="000000"/>
              <w:lang w:val="en-US"/>
            </w:rPr>
            <w:t>6-digit</w:t>
          </w:r>
          <w:r w:rsidRPr="00B50DB5">
            <w:rPr>
              <w:rFonts w:ascii="Arial" w:eastAsia="Arial" w:hAnsi="Arial" w:cs="Arial"/>
              <w:color w:val="000000"/>
              <w:lang w:val="en-US"/>
            </w:rPr>
            <w:t xml:space="preserve"> code, as detailed in the List of Waste (</w:t>
          </w:r>
          <w:proofErr w:type="spellStart"/>
          <w:r w:rsidRPr="00B50DB5">
            <w:rPr>
              <w:rFonts w:ascii="Arial" w:eastAsia="Arial" w:hAnsi="Arial" w:cs="Arial"/>
              <w:color w:val="000000"/>
              <w:lang w:val="en-US"/>
            </w:rPr>
            <w:t>LoW</w:t>
          </w:r>
          <w:proofErr w:type="spellEnd"/>
          <w:r w:rsidRPr="00B50DB5">
            <w:rPr>
              <w:rFonts w:ascii="Arial" w:eastAsia="Arial" w:hAnsi="Arial" w:cs="Arial"/>
              <w:color w:val="000000"/>
              <w:lang w:val="en-US"/>
            </w:rPr>
            <w:t xml:space="preserve">) and provide an accurate written description. </w:t>
          </w:r>
        </w:p>
        <w:p w14:paraId="26941F65" w14:textId="77777777" w:rsidR="00A4291C" w:rsidRPr="00B50DB5" w:rsidRDefault="00A4291C" w:rsidP="002F1188">
          <w:pPr>
            <w:spacing w:after="240"/>
            <w:rPr>
              <w:rFonts w:ascii="Arial" w:eastAsia="Arial" w:hAnsi="Arial" w:cs="Arial"/>
              <w:color w:val="000000"/>
            </w:rPr>
          </w:pPr>
          <w:r w:rsidRPr="00B50DB5">
            <w:rPr>
              <w:rFonts w:ascii="Arial" w:eastAsia="Arial" w:hAnsi="Arial" w:cs="Arial"/>
              <w:color w:val="000000"/>
              <w:lang w:val="en-US"/>
            </w:rPr>
            <w:t xml:space="preserve">It is the chemical makeup of waste that determines the </w:t>
          </w:r>
          <w:proofErr w:type="spellStart"/>
          <w:r w:rsidRPr="00B50DB5">
            <w:rPr>
              <w:rFonts w:ascii="Arial" w:eastAsia="Arial" w:hAnsi="Arial" w:cs="Arial"/>
              <w:color w:val="000000"/>
              <w:lang w:val="en-US"/>
            </w:rPr>
            <w:t>LoW</w:t>
          </w:r>
          <w:proofErr w:type="spellEnd"/>
          <w:r w:rsidRPr="00B50DB5">
            <w:rPr>
              <w:rFonts w:ascii="Arial" w:eastAsia="Arial" w:hAnsi="Arial" w:cs="Arial"/>
              <w:color w:val="000000"/>
              <w:lang w:val="en-US"/>
            </w:rPr>
            <w:t xml:space="preserve"> code and waste status. </w:t>
          </w:r>
        </w:p>
        <w:p w14:paraId="1B853066" w14:textId="77777777" w:rsidR="00A4291C" w:rsidRPr="00B50DB5" w:rsidRDefault="00A4291C" w:rsidP="00A4291C">
          <w:pPr>
            <w:spacing w:after="240"/>
            <w:rPr>
              <w:rFonts w:ascii="Arial" w:eastAsia="Arial" w:hAnsi="Arial" w:cs="Arial"/>
              <w:color w:val="000000"/>
            </w:rPr>
          </w:pPr>
          <w:r w:rsidRPr="00A4291C">
            <w:rPr>
              <w:rFonts w:ascii="Arial" w:eastAsia="Arial" w:hAnsi="Arial" w:cs="Arial"/>
              <w:b/>
              <w:bCs/>
              <w:color w:val="000000"/>
              <w:lang w:val="en-US"/>
            </w:rPr>
            <w:t>Table 1: WEEE Waste Status</w:t>
          </w:r>
          <w:r w:rsidRPr="00B50DB5">
            <w:rPr>
              <w:rFonts w:ascii="Arial" w:eastAsia="Arial" w:hAnsi="Arial" w:cs="Arial"/>
              <w:color w:val="000000"/>
              <w:lang w:val="en-US"/>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1: WEEE waste status"/>
            <w:tblDescription w:val="This is a table listing the criteria for WEEE waste status"/>
          </w:tblPr>
          <w:tblGrid>
            <w:gridCol w:w="2955"/>
            <w:gridCol w:w="6735"/>
          </w:tblGrid>
          <w:tr w:rsidR="00A4291C" w:rsidRPr="00A4291C" w14:paraId="1C4A704D" w14:textId="77777777" w:rsidTr="000072AE">
            <w:trPr>
              <w:trHeight w:val="300"/>
              <w:tblHeader/>
            </w:trPr>
            <w:tc>
              <w:tcPr>
                <w:tcW w:w="2955" w:type="dxa"/>
                <w:tcMar>
                  <w:left w:w="105" w:type="dxa"/>
                  <w:right w:w="105" w:type="dxa"/>
                </w:tcMar>
                <w:vAlign w:val="center"/>
              </w:tcPr>
              <w:p w14:paraId="5F9E7033" w14:textId="77777777" w:rsidR="00A4291C" w:rsidRPr="00A4291C" w:rsidRDefault="00A4291C" w:rsidP="00DE0F8C">
                <w:pPr>
                  <w:spacing w:after="240"/>
                  <w:rPr>
                    <w:rFonts w:ascii="Arial" w:eastAsia="Arial" w:hAnsi="Arial" w:cs="Arial"/>
                    <w:b/>
                    <w:bCs/>
                    <w:color w:val="016574" w:themeColor="accent6"/>
                  </w:rPr>
                </w:pPr>
                <w:r w:rsidRPr="00A4291C">
                  <w:rPr>
                    <w:rFonts w:ascii="Arial" w:eastAsia="Arial" w:hAnsi="Arial" w:cs="Arial"/>
                    <w:b/>
                    <w:bCs/>
                    <w:color w:val="016574" w:themeColor="accent6"/>
                    <w:lang w:val="en-US"/>
                  </w:rPr>
                  <w:t>Waste Status</w:t>
                </w:r>
              </w:p>
            </w:tc>
            <w:tc>
              <w:tcPr>
                <w:tcW w:w="6735" w:type="dxa"/>
                <w:tcMar>
                  <w:left w:w="105" w:type="dxa"/>
                  <w:right w:w="105" w:type="dxa"/>
                </w:tcMar>
                <w:vAlign w:val="center"/>
              </w:tcPr>
              <w:p w14:paraId="5C4348BD" w14:textId="77777777" w:rsidR="00A4291C" w:rsidRPr="00A4291C" w:rsidRDefault="00A4291C" w:rsidP="00DE0F8C">
                <w:pPr>
                  <w:spacing w:after="240"/>
                  <w:rPr>
                    <w:rFonts w:ascii="Arial" w:eastAsia="Arial" w:hAnsi="Arial" w:cs="Arial"/>
                    <w:b/>
                    <w:bCs/>
                    <w:color w:val="016574" w:themeColor="accent6"/>
                  </w:rPr>
                </w:pPr>
                <w:r w:rsidRPr="00A4291C">
                  <w:rPr>
                    <w:rFonts w:ascii="Arial" w:eastAsia="Arial" w:hAnsi="Arial" w:cs="Arial"/>
                    <w:b/>
                    <w:bCs/>
                    <w:color w:val="016574" w:themeColor="accent6"/>
                    <w:lang w:val="en-US"/>
                  </w:rPr>
                  <w:t>Criteria</w:t>
                </w:r>
              </w:p>
            </w:tc>
          </w:tr>
          <w:tr w:rsidR="00A4291C" w:rsidRPr="00A4291C" w14:paraId="62BD1D53" w14:textId="77777777" w:rsidTr="000072AE">
            <w:trPr>
              <w:trHeight w:val="300"/>
            </w:trPr>
            <w:tc>
              <w:tcPr>
                <w:tcW w:w="2955" w:type="dxa"/>
                <w:tcMar>
                  <w:left w:w="105" w:type="dxa"/>
                  <w:right w:w="105" w:type="dxa"/>
                </w:tcMar>
              </w:tcPr>
              <w:p w14:paraId="6EC2F430"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Non-Hazardous</w:t>
                </w:r>
              </w:p>
            </w:tc>
            <w:tc>
              <w:tcPr>
                <w:tcW w:w="6735" w:type="dxa"/>
                <w:tcMar>
                  <w:left w:w="105" w:type="dxa"/>
                  <w:right w:w="105" w:type="dxa"/>
                </w:tcMar>
              </w:tcPr>
              <w:p w14:paraId="481EDACF"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There are no hazardous substances (including POPs) present in the waste.</w:t>
                </w:r>
              </w:p>
            </w:tc>
          </w:tr>
          <w:tr w:rsidR="00A4291C" w:rsidRPr="00A4291C" w14:paraId="194FC20D" w14:textId="77777777" w:rsidTr="000072AE">
            <w:trPr>
              <w:trHeight w:val="300"/>
            </w:trPr>
            <w:tc>
              <w:tcPr>
                <w:tcW w:w="2955" w:type="dxa"/>
                <w:tcMar>
                  <w:left w:w="105" w:type="dxa"/>
                  <w:right w:w="105" w:type="dxa"/>
                </w:tcMar>
              </w:tcPr>
              <w:p w14:paraId="0C1AE919" w14:textId="3AA1E0B3" w:rsidR="00A4291C" w:rsidRPr="00B50DB5" w:rsidRDefault="00A75CD6" w:rsidP="00A4291C">
                <w:pPr>
                  <w:spacing w:after="240"/>
                  <w:rPr>
                    <w:rFonts w:ascii="Arial" w:eastAsia="Arial" w:hAnsi="Arial" w:cs="Arial"/>
                  </w:rPr>
                </w:pPr>
                <w:r w:rsidRPr="00B50DB5">
                  <w:rPr>
                    <w:rFonts w:ascii="Arial" w:eastAsia="Arial" w:hAnsi="Arial" w:cs="Arial"/>
                    <w:lang w:val="en-US"/>
                  </w:rPr>
                  <w:t>Non-Hazardous</w:t>
                </w:r>
                <w:r w:rsidR="00A4291C" w:rsidRPr="00B50DB5">
                  <w:rPr>
                    <w:rFonts w:ascii="Arial" w:eastAsia="Arial" w:hAnsi="Arial" w:cs="Arial"/>
                    <w:lang w:val="en-US"/>
                  </w:rPr>
                  <w:t>/POPs</w:t>
                </w:r>
              </w:p>
            </w:tc>
            <w:tc>
              <w:tcPr>
                <w:tcW w:w="6735" w:type="dxa"/>
                <w:tcMar>
                  <w:left w:w="105" w:type="dxa"/>
                  <w:right w:w="105" w:type="dxa"/>
                </w:tcMar>
              </w:tcPr>
              <w:p w14:paraId="7F6D25CA"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 xml:space="preserve">There are no hazardous substances </w:t>
                </w:r>
                <w:proofErr w:type="gramStart"/>
                <w:r w:rsidRPr="00B50DB5">
                  <w:rPr>
                    <w:rFonts w:ascii="Arial" w:eastAsia="Arial" w:hAnsi="Arial" w:cs="Arial"/>
                    <w:lang w:val="en-US"/>
                  </w:rPr>
                  <w:t>present</w:t>
                </w:r>
                <w:proofErr w:type="gramEnd"/>
                <w:r w:rsidRPr="00B50DB5">
                  <w:rPr>
                    <w:rFonts w:ascii="Arial" w:eastAsia="Arial" w:hAnsi="Arial" w:cs="Arial"/>
                    <w:lang w:val="en-US"/>
                  </w:rPr>
                  <w:t xml:space="preserve"> however POPs may be present below the relevant threshold concentrations.</w:t>
                </w:r>
              </w:p>
            </w:tc>
          </w:tr>
          <w:tr w:rsidR="00A4291C" w:rsidRPr="00A4291C" w14:paraId="00BF709F" w14:textId="77777777" w:rsidTr="000072AE">
            <w:trPr>
              <w:trHeight w:val="300"/>
            </w:trPr>
            <w:tc>
              <w:tcPr>
                <w:tcW w:w="2955" w:type="dxa"/>
                <w:tcMar>
                  <w:left w:w="105" w:type="dxa"/>
                  <w:right w:w="105" w:type="dxa"/>
                </w:tcMar>
              </w:tcPr>
              <w:p w14:paraId="23D43661"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POPs</w:t>
                </w:r>
              </w:p>
            </w:tc>
            <w:tc>
              <w:tcPr>
                <w:tcW w:w="6735" w:type="dxa"/>
                <w:tcMar>
                  <w:left w:w="105" w:type="dxa"/>
                  <w:right w:w="105" w:type="dxa"/>
                </w:tcMar>
              </w:tcPr>
              <w:p w14:paraId="1F36EFEC" w14:textId="08F442AD" w:rsidR="00A4291C" w:rsidRPr="00B50DB5" w:rsidRDefault="00A4291C" w:rsidP="00A4291C">
                <w:pPr>
                  <w:spacing w:after="240"/>
                  <w:rPr>
                    <w:rFonts w:ascii="Arial" w:eastAsia="Arial" w:hAnsi="Arial" w:cs="Arial"/>
                  </w:rPr>
                </w:pPr>
                <w:r w:rsidRPr="00B50DB5">
                  <w:rPr>
                    <w:rFonts w:ascii="Arial" w:eastAsia="Arial" w:hAnsi="Arial" w:cs="Arial"/>
                    <w:lang w:val="en-US"/>
                  </w:rPr>
                  <w:t xml:space="preserve">POPs are present in levels at or above the </w:t>
                </w:r>
                <w:r w:rsidR="00A75CD6" w:rsidRPr="00B50DB5">
                  <w:rPr>
                    <w:rFonts w:ascii="Arial" w:eastAsia="Arial" w:hAnsi="Arial" w:cs="Arial"/>
                    <w:lang w:val="en-US"/>
                  </w:rPr>
                  <w:t>relevant</w:t>
                </w:r>
                <w:r w:rsidRPr="00B50DB5">
                  <w:rPr>
                    <w:rFonts w:ascii="Arial" w:eastAsia="Arial" w:hAnsi="Arial" w:cs="Arial"/>
                    <w:lang w:val="en-US"/>
                  </w:rPr>
                  <w:t xml:space="preserve"> threshold concentrations.</w:t>
                </w:r>
              </w:p>
              <w:p w14:paraId="199EEB8E"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Other Hazardous Substances may be present albeit below the relevant threshold concentrations.</w:t>
                </w:r>
              </w:p>
            </w:tc>
          </w:tr>
          <w:tr w:rsidR="00A4291C" w:rsidRPr="00A4291C" w14:paraId="509E4C0A" w14:textId="77777777" w:rsidTr="000072AE">
            <w:trPr>
              <w:trHeight w:val="300"/>
            </w:trPr>
            <w:tc>
              <w:tcPr>
                <w:tcW w:w="2955" w:type="dxa"/>
                <w:tcMar>
                  <w:left w:w="105" w:type="dxa"/>
                  <w:right w:w="105" w:type="dxa"/>
                </w:tcMar>
              </w:tcPr>
              <w:p w14:paraId="4B50228F" w14:textId="3879250F" w:rsidR="00A4291C" w:rsidRPr="00B50DB5" w:rsidRDefault="00A4291C" w:rsidP="00A4291C">
                <w:pPr>
                  <w:spacing w:after="240"/>
                  <w:rPr>
                    <w:rFonts w:ascii="Arial" w:eastAsia="Arial" w:hAnsi="Arial" w:cs="Arial"/>
                  </w:rPr>
                </w:pPr>
                <w:r w:rsidRPr="00B50DB5">
                  <w:rPr>
                    <w:rFonts w:ascii="Arial" w:eastAsia="Arial" w:hAnsi="Arial" w:cs="Arial"/>
                    <w:lang w:val="en-US"/>
                  </w:rPr>
                  <w:t>Hazardous/</w:t>
                </w:r>
                <w:proofErr w:type="gramStart"/>
                <w:r w:rsidR="00927CF6" w:rsidRPr="00B50DB5">
                  <w:rPr>
                    <w:rFonts w:ascii="Arial" w:eastAsia="Arial" w:hAnsi="Arial" w:cs="Arial"/>
                    <w:lang w:val="en-US"/>
                  </w:rPr>
                  <w:t>Non-POPs</w:t>
                </w:r>
                <w:proofErr w:type="gramEnd"/>
              </w:p>
            </w:tc>
            <w:tc>
              <w:tcPr>
                <w:tcW w:w="6735" w:type="dxa"/>
                <w:tcMar>
                  <w:left w:w="105" w:type="dxa"/>
                  <w:right w:w="105" w:type="dxa"/>
                </w:tcMar>
              </w:tcPr>
              <w:p w14:paraId="5C4A9487"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 xml:space="preserve">Hazardous Substances are present in levels at or above the relevant threshold concentrations. </w:t>
                </w:r>
              </w:p>
              <w:p w14:paraId="3430D669" w14:textId="0FAAAB34" w:rsidR="00A4291C" w:rsidRPr="00B50DB5" w:rsidRDefault="00A4291C" w:rsidP="00A4291C">
                <w:pPr>
                  <w:spacing w:after="240"/>
                  <w:rPr>
                    <w:rFonts w:ascii="Arial" w:eastAsia="Arial" w:hAnsi="Arial" w:cs="Arial"/>
                  </w:rPr>
                </w:pPr>
                <w:r w:rsidRPr="00B50DB5">
                  <w:rPr>
                    <w:rFonts w:ascii="Arial" w:eastAsia="Arial" w:hAnsi="Arial" w:cs="Arial"/>
                    <w:lang w:val="en-US"/>
                  </w:rPr>
                  <w:t xml:space="preserve">POPs may be present albeit below the </w:t>
                </w:r>
                <w:r w:rsidR="00927CF6" w:rsidRPr="00B50DB5">
                  <w:rPr>
                    <w:rFonts w:ascii="Arial" w:eastAsia="Arial" w:hAnsi="Arial" w:cs="Arial"/>
                    <w:lang w:val="en-US"/>
                  </w:rPr>
                  <w:t>relevant</w:t>
                </w:r>
                <w:r w:rsidRPr="00B50DB5">
                  <w:rPr>
                    <w:rFonts w:ascii="Arial" w:eastAsia="Arial" w:hAnsi="Arial" w:cs="Arial"/>
                    <w:lang w:val="en-US"/>
                  </w:rPr>
                  <w:t xml:space="preserve"> threshold concentrations.</w:t>
                </w:r>
              </w:p>
            </w:tc>
          </w:tr>
          <w:tr w:rsidR="00A4291C" w:rsidRPr="00A4291C" w14:paraId="45FC8A07" w14:textId="77777777" w:rsidTr="000072AE">
            <w:trPr>
              <w:trHeight w:val="300"/>
            </w:trPr>
            <w:tc>
              <w:tcPr>
                <w:tcW w:w="2955" w:type="dxa"/>
                <w:tcMar>
                  <w:left w:w="105" w:type="dxa"/>
                  <w:right w:w="105" w:type="dxa"/>
                </w:tcMar>
              </w:tcPr>
              <w:p w14:paraId="63D809ED"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Hazardous/POPs</w:t>
                </w:r>
              </w:p>
            </w:tc>
            <w:tc>
              <w:tcPr>
                <w:tcW w:w="6735" w:type="dxa"/>
                <w:tcMar>
                  <w:left w:w="105" w:type="dxa"/>
                  <w:right w:w="105" w:type="dxa"/>
                </w:tcMar>
              </w:tcPr>
              <w:p w14:paraId="7201B152" w14:textId="77777777" w:rsidR="00A4291C" w:rsidRPr="00B50DB5" w:rsidRDefault="00A4291C" w:rsidP="00A4291C">
                <w:pPr>
                  <w:spacing w:after="240"/>
                  <w:rPr>
                    <w:rFonts w:ascii="Arial" w:eastAsia="Arial" w:hAnsi="Arial" w:cs="Arial"/>
                  </w:rPr>
                </w:pPr>
                <w:r w:rsidRPr="00B50DB5">
                  <w:rPr>
                    <w:rFonts w:ascii="Arial" w:eastAsia="Arial" w:hAnsi="Arial" w:cs="Arial"/>
                    <w:lang w:val="en-US"/>
                  </w:rPr>
                  <w:t xml:space="preserve">Both POPs and other Hazardous are present in levels at or above the relevant threshold concentrations.   </w:t>
                </w:r>
              </w:p>
            </w:tc>
          </w:tr>
        </w:tbl>
        <w:p w14:paraId="04481679" w14:textId="77777777" w:rsidR="00A4291C" w:rsidRPr="00B50DB5" w:rsidRDefault="00A4291C" w:rsidP="00A4291C">
          <w:pPr>
            <w:spacing w:after="240"/>
            <w:rPr>
              <w:rFonts w:ascii="Arial" w:eastAsia="Arial" w:hAnsi="Arial" w:cs="Arial"/>
              <w:color w:val="000000"/>
            </w:rPr>
          </w:pPr>
        </w:p>
        <w:p w14:paraId="5C92D0F5" w14:textId="77777777" w:rsidR="00A4291C" w:rsidRPr="00B50DB5" w:rsidRDefault="00A4291C" w:rsidP="00A4291C">
          <w:pPr>
            <w:spacing w:after="240"/>
            <w:rPr>
              <w:rFonts w:ascii="Arial" w:eastAsia="Arial" w:hAnsi="Arial" w:cs="Arial"/>
              <w:color w:val="000000"/>
            </w:rPr>
          </w:pPr>
          <w:r w:rsidRPr="00B50DB5">
            <w:rPr>
              <w:rFonts w:ascii="Arial" w:eastAsia="Arial" w:hAnsi="Arial" w:cs="Arial"/>
              <w:color w:val="000000"/>
            </w:rPr>
            <w:t>To enable you to assign an appropriate classification to an item of WEEE you must undertake an assessment of the chemicals (substances and mixtures) present. This assessment will determine whether you assign a hazardous or non-hazardous code.</w:t>
          </w:r>
        </w:p>
        <w:p w14:paraId="1EF2DBA3" w14:textId="77777777" w:rsidR="00A4291C" w:rsidRPr="00B50DB5" w:rsidRDefault="00A4291C" w:rsidP="00A4291C">
          <w:pPr>
            <w:spacing w:after="240"/>
            <w:rPr>
              <w:rFonts w:ascii="Arial" w:eastAsia="Arial" w:hAnsi="Arial" w:cs="Arial"/>
              <w:color w:val="000000"/>
            </w:rPr>
          </w:pPr>
          <w:r w:rsidRPr="00B50DB5">
            <w:rPr>
              <w:rFonts w:ascii="Arial" w:eastAsia="Arial" w:hAnsi="Arial" w:cs="Arial"/>
              <w:color w:val="000000"/>
            </w:rPr>
            <w:lastRenderedPageBreak/>
            <w:t xml:space="preserve">You will find further guidance on the waste classification process in the joint UK Environment Agency Technical Document: </w:t>
          </w:r>
        </w:p>
        <w:p w14:paraId="65E0BE13" w14:textId="77777777" w:rsidR="00A4291C" w:rsidRPr="00B50DB5" w:rsidRDefault="00A4291C" w:rsidP="00A4291C">
          <w:pPr>
            <w:spacing w:after="240"/>
            <w:rPr>
              <w:rFonts w:ascii="Arial" w:eastAsia="Arial" w:hAnsi="Arial" w:cs="Arial"/>
              <w:color w:val="000000"/>
            </w:rPr>
          </w:pPr>
          <w:hyperlink r:id="rId17">
            <w:r w:rsidRPr="00B50DB5">
              <w:rPr>
                <w:rFonts w:ascii="Arial" w:eastAsia="Arial" w:hAnsi="Arial" w:cs="Arial"/>
                <w:color w:val="016574" w:themeColor="hyperlink"/>
                <w:u w:val="single"/>
              </w:rPr>
              <w:t xml:space="preserve">Guidance on the classification and assessment of waste (1st Edition </w:t>
            </w:r>
            <w:proofErr w:type="gramStart"/>
            <w:r w:rsidRPr="00B50DB5">
              <w:rPr>
                <w:rFonts w:ascii="Arial" w:eastAsia="Arial" w:hAnsi="Arial" w:cs="Arial"/>
                <w:color w:val="016574" w:themeColor="hyperlink"/>
                <w:u w:val="single"/>
              </w:rPr>
              <w:t>v1.1.GB )</w:t>
            </w:r>
            <w:proofErr w:type="gramEnd"/>
            <w:r w:rsidRPr="00B50DB5">
              <w:rPr>
                <w:rFonts w:ascii="Arial" w:eastAsia="Arial" w:hAnsi="Arial" w:cs="Arial"/>
                <w:color w:val="016574" w:themeColor="hyperlink"/>
                <w:u w:val="single"/>
              </w:rPr>
              <w:t xml:space="preserve"> Technical Guidance WM3</w:t>
            </w:r>
          </w:hyperlink>
          <w:r w:rsidRPr="00B50DB5">
            <w:rPr>
              <w:rFonts w:ascii="Arial" w:eastAsia="Arial" w:hAnsi="Arial" w:cs="Arial"/>
              <w:color w:val="000000"/>
              <w:vertAlign w:val="superscript"/>
            </w:rPr>
            <w:t>2</w:t>
          </w:r>
          <w:r w:rsidRPr="00B50DB5">
            <w:rPr>
              <w:rFonts w:ascii="Arial" w:eastAsia="Arial" w:hAnsi="Arial" w:cs="Arial"/>
              <w:color w:val="000000"/>
            </w:rPr>
            <w:t xml:space="preserve">. </w:t>
          </w:r>
        </w:p>
        <w:p w14:paraId="79E8D224" w14:textId="77777777" w:rsidR="00A4291C" w:rsidRPr="00B50DB5" w:rsidRDefault="00A4291C" w:rsidP="00A4291C">
          <w:pPr>
            <w:spacing w:after="240"/>
            <w:rPr>
              <w:rFonts w:ascii="Arial" w:eastAsia="Arial" w:hAnsi="Arial" w:cs="Arial"/>
              <w:color w:val="000000"/>
            </w:rPr>
          </w:pPr>
          <w:r w:rsidRPr="00B50DB5">
            <w:rPr>
              <w:rFonts w:ascii="Arial" w:eastAsia="Arial" w:hAnsi="Arial" w:cs="Arial"/>
              <w:b/>
              <w:color w:val="000000"/>
              <w:lang w:val="en-US"/>
            </w:rPr>
            <w:t>Please note</w:t>
          </w:r>
          <w:r w:rsidRPr="00B50DB5">
            <w:rPr>
              <w:rFonts w:ascii="Arial" w:eastAsia="Arial" w:hAnsi="Arial" w:cs="Arial"/>
              <w:color w:val="000000"/>
              <w:lang w:val="en-US"/>
            </w:rPr>
            <w:t xml:space="preserve"> that </w:t>
          </w:r>
          <w:r w:rsidRPr="00B50DB5">
            <w:rPr>
              <w:rFonts w:ascii="Arial" w:eastAsia="Arial" w:hAnsi="Arial" w:cs="Arial"/>
              <w:color w:val="000000"/>
            </w:rPr>
            <w:t xml:space="preserve">unless proven otherwise, for example, by chemical analysis, SEPA expects that the majority of WEEE should already be classified and consigned as special waste due to the presence of hazardous substances and/or including POPs. </w:t>
          </w:r>
        </w:p>
        <w:p w14:paraId="73D296DA" w14:textId="77777777" w:rsidR="00A4291C" w:rsidRPr="00B50DB5" w:rsidRDefault="00A4291C" w:rsidP="00A4291C">
          <w:pPr>
            <w:spacing w:after="240"/>
            <w:rPr>
              <w:rFonts w:ascii="Arial" w:eastAsia="Arial" w:hAnsi="Arial" w:cs="Arial"/>
              <w:color w:val="000000"/>
            </w:rPr>
          </w:pPr>
          <w:r w:rsidRPr="00B50DB5">
            <w:rPr>
              <w:rFonts w:ascii="Arial" w:eastAsia="Arial" w:hAnsi="Arial" w:cs="Arial"/>
              <w:color w:val="000000"/>
            </w:rPr>
            <w:t>In the absence of such an assessment, a precautionary classification of ‘hazardous waste and POP waste’ status should be adopted.</w:t>
          </w:r>
        </w:p>
        <w:p w14:paraId="70F21910" w14:textId="77777777" w:rsidR="00A4291C" w:rsidRPr="00B50DB5" w:rsidRDefault="00A4291C" w:rsidP="00A4291C">
          <w:pPr>
            <w:spacing w:after="240"/>
            <w:rPr>
              <w:rFonts w:ascii="Arial" w:eastAsia="Arial" w:hAnsi="Arial" w:cs="Arial"/>
              <w:color w:val="000000"/>
            </w:rPr>
          </w:pPr>
          <w:r w:rsidRPr="00B50DB5">
            <w:rPr>
              <w:rFonts w:ascii="Arial" w:eastAsia="Arial" w:hAnsi="Arial" w:cs="Arial"/>
              <w:b/>
              <w:color w:val="000000"/>
            </w:rPr>
            <w:t xml:space="preserve">Please Note </w:t>
          </w:r>
          <w:r w:rsidRPr="00B50DB5">
            <w:rPr>
              <w:rFonts w:ascii="Arial" w:eastAsia="Arial" w:hAnsi="Arial" w:cs="Arial"/>
              <w:color w:val="000000"/>
            </w:rPr>
            <w:t>that, if you produce, carry, deal, broker or receive a waste you must check that it is correctly classified. Where any waste is classified or described in a manner inconsistent with this guidance, you should expect to be asked for the supporting assessment.</w:t>
          </w:r>
        </w:p>
        <w:p w14:paraId="12B85BFF" w14:textId="77777777" w:rsidR="00A4291C" w:rsidRPr="00A4291C" w:rsidRDefault="00A4291C" w:rsidP="00871873">
          <w:pPr>
            <w:keepNext/>
            <w:keepLines/>
            <w:spacing w:after="120" w:line="276" w:lineRule="auto"/>
            <w:outlineLvl w:val="0"/>
            <w:rPr>
              <w:rFonts w:ascii="Arial" w:eastAsia="Arial" w:hAnsi="Arial" w:cs="Arial"/>
              <w:b/>
              <w:bCs/>
              <w:color w:val="268472"/>
              <w:sz w:val="22"/>
              <w:szCs w:val="22"/>
            </w:rPr>
          </w:pPr>
          <w:bookmarkStart w:id="6" w:name="_Toc184980443"/>
          <w:r w:rsidRPr="00A4291C">
            <w:rPr>
              <w:rFonts w:asciiTheme="majorHAnsi" w:eastAsiaTheme="majorEastAsia" w:hAnsiTheme="majorHAnsi" w:cstheme="majorBidi"/>
              <w:b/>
              <w:color w:val="016574" w:themeColor="accent2"/>
              <w:sz w:val="40"/>
              <w:szCs w:val="32"/>
            </w:rPr>
            <w:t>Classification of common types of WEEE</w:t>
          </w:r>
          <w:bookmarkEnd w:id="6"/>
          <w:r w:rsidRPr="00A4291C">
            <w:rPr>
              <w:rFonts w:asciiTheme="majorHAnsi" w:eastAsiaTheme="majorEastAsia" w:hAnsiTheme="majorHAnsi" w:cstheme="majorBidi"/>
              <w:b/>
              <w:color w:val="016574" w:themeColor="accent2"/>
              <w:sz w:val="40"/>
              <w:szCs w:val="32"/>
            </w:rPr>
            <w:t xml:space="preserve"> </w:t>
          </w:r>
        </w:p>
        <w:p w14:paraId="45AE0FBE" w14:textId="61852E08" w:rsidR="00A4291C" w:rsidRPr="00B50DB5" w:rsidRDefault="00A4291C" w:rsidP="00A4291C">
          <w:pPr>
            <w:spacing w:after="240"/>
            <w:rPr>
              <w:rFonts w:ascii="Arial" w:eastAsia="Arial" w:hAnsi="Arial" w:cs="Arial"/>
              <w:color w:val="0B0C0C"/>
            </w:rPr>
          </w:pPr>
          <w:r w:rsidRPr="00B50DB5">
            <w:rPr>
              <w:rFonts w:ascii="Arial" w:eastAsia="Arial" w:hAnsi="Arial" w:cs="Arial"/>
              <w:color w:val="000000"/>
            </w:rPr>
            <w:t>The guidance below will help waste holders classify their waste in accordance with the current classification/assessment framework and help ensure that it is managed in an appropriate manner reflecting its status, as a hazardous or non-hazardous waste, and any hazardous chemicals/substances present, for example POPs.  H</w:t>
          </w:r>
          <w:r w:rsidRPr="00B50DB5">
            <w:rPr>
              <w:rFonts w:ascii="Arial" w:eastAsia="Arial" w:hAnsi="Arial" w:cs="Arial"/>
              <w:color w:val="0B0C0C"/>
            </w:rPr>
            <w:t xml:space="preserve">owever, it is the responsibility of the waste holder to assess and classify their waste, including choosing an appropriate </w:t>
          </w:r>
          <w:r w:rsidR="00927CF6" w:rsidRPr="00B50DB5">
            <w:rPr>
              <w:rFonts w:ascii="Arial" w:eastAsia="Arial" w:hAnsi="Arial" w:cs="Arial"/>
              <w:color w:val="0B0C0C"/>
            </w:rPr>
            <w:t>6-digit</w:t>
          </w:r>
          <w:r w:rsidRPr="00B50DB5">
            <w:rPr>
              <w:rFonts w:ascii="Arial" w:eastAsia="Arial" w:hAnsi="Arial" w:cs="Arial"/>
              <w:color w:val="0B0C0C"/>
            </w:rPr>
            <w:t xml:space="preserve"> </w:t>
          </w:r>
          <w:proofErr w:type="spellStart"/>
          <w:r w:rsidRPr="00B50DB5">
            <w:rPr>
              <w:rFonts w:ascii="Arial" w:eastAsia="Arial" w:hAnsi="Arial" w:cs="Arial"/>
              <w:color w:val="0B0C0C"/>
            </w:rPr>
            <w:t>LoW</w:t>
          </w:r>
          <w:proofErr w:type="spellEnd"/>
          <w:r w:rsidRPr="00B50DB5">
            <w:rPr>
              <w:rFonts w:ascii="Arial" w:eastAsia="Arial" w:hAnsi="Arial" w:cs="Arial"/>
              <w:color w:val="0B0C0C"/>
            </w:rPr>
            <w:t xml:space="preserve"> code, in the first instance. </w:t>
          </w:r>
        </w:p>
        <w:p w14:paraId="419EB827" w14:textId="77777777" w:rsidR="00A4291C" w:rsidRPr="00A4291C" w:rsidRDefault="00A4291C" w:rsidP="00871873">
          <w:pPr>
            <w:keepNext/>
            <w:keepLines/>
            <w:spacing w:after="120" w:line="276" w:lineRule="auto"/>
            <w:outlineLvl w:val="1"/>
            <w:rPr>
              <w:rFonts w:ascii="Arial" w:eastAsia="Arial" w:hAnsi="Arial" w:cs="Arial"/>
              <w:color w:val="000000"/>
              <w:sz w:val="22"/>
              <w:szCs w:val="22"/>
            </w:rPr>
          </w:pPr>
          <w:bookmarkStart w:id="7" w:name="_Toc184980444"/>
          <w:r w:rsidRPr="00A4291C">
            <w:rPr>
              <w:rFonts w:ascii="Arial" w:eastAsiaTheme="majorEastAsia" w:hAnsi="Arial" w:cstheme="majorBidi"/>
              <w:b/>
              <w:color w:val="016574" w:themeColor="accent2"/>
              <w:sz w:val="32"/>
              <w:szCs w:val="26"/>
              <w:lang w:val="en-US"/>
            </w:rPr>
            <w:t>Televisions, computer monitors and other display devices:</w:t>
          </w:r>
          <w:bookmarkEnd w:id="7"/>
        </w:p>
        <w:p w14:paraId="010B78A1" w14:textId="77777777" w:rsidR="00A4291C" w:rsidRPr="00CF6DF6" w:rsidRDefault="00A4291C" w:rsidP="00871873">
          <w:pPr>
            <w:spacing w:after="240"/>
            <w:rPr>
              <w:rFonts w:ascii="Arial" w:eastAsia="Arial" w:hAnsi="Arial" w:cs="Arial"/>
              <w:color w:val="000000"/>
            </w:rPr>
          </w:pPr>
          <w:r w:rsidRPr="00CF6DF6">
            <w:rPr>
              <w:rFonts w:ascii="Arial" w:eastAsia="Arial" w:hAnsi="Arial" w:cs="Arial"/>
              <w:color w:val="000000"/>
              <w:lang w:val="en-US"/>
            </w:rPr>
            <w:t>Components such as screens, circuit boards, batteries or any plastic parts may contain hazardous chemicals or POPs.</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televisions, monitors and other display devices. "/>
          </w:tblPr>
          <w:tblGrid>
            <w:gridCol w:w="3615"/>
            <w:gridCol w:w="2265"/>
            <w:gridCol w:w="1620"/>
            <w:gridCol w:w="2100"/>
          </w:tblGrid>
          <w:tr w:rsidR="00A4291C" w:rsidRPr="00A4291C" w14:paraId="204A9CD8"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5" w:type="dxa"/>
                <w:shd w:val="clear" w:color="auto" w:fill="auto"/>
                <w:tcMar>
                  <w:left w:w="105" w:type="dxa"/>
                  <w:right w:w="105" w:type="dxa"/>
                </w:tcMar>
              </w:tcPr>
              <w:p w14:paraId="301F5E67" w14:textId="77777777" w:rsidR="00A4291C" w:rsidRPr="00A4291C" w:rsidRDefault="00A4291C" w:rsidP="00A4291C">
                <w:pPr>
                  <w:spacing w:after="160" w:line="259" w:lineRule="auto"/>
                  <w:rPr>
                    <w:rFonts w:ascii="Arial" w:eastAsia="Arial" w:hAnsi="Arial" w:cs="Arial"/>
                    <w:color w:val="016574" w:themeColor="accent6"/>
                  </w:rPr>
                </w:pPr>
                <w:r w:rsidRPr="00A4291C">
                  <w:rPr>
                    <w:rFonts w:ascii="Arial" w:eastAsia="Arial" w:hAnsi="Arial" w:cs="Arial"/>
                    <w:color w:val="016574" w:themeColor="accent6"/>
                  </w:rPr>
                  <w:t>Item</w:t>
                </w:r>
              </w:p>
            </w:tc>
            <w:tc>
              <w:tcPr>
                <w:tcW w:w="2265" w:type="dxa"/>
                <w:shd w:val="clear" w:color="auto" w:fill="auto"/>
                <w:tcMar>
                  <w:left w:w="105" w:type="dxa"/>
                  <w:right w:w="105" w:type="dxa"/>
                </w:tcMar>
              </w:tcPr>
              <w:p w14:paraId="3E756BD0"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Waste status</w:t>
                </w:r>
              </w:p>
            </w:tc>
            <w:tc>
              <w:tcPr>
                <w:tcW w:w="1620" w:type="dxa"/>
                <w:shd w:val="clear" w:color="auto" w:fill="auto"/>
                <w:tcMar>
                  <w:left w:w="105" w:type="dxa"/>
                  <w:right w:w="105" w:type="dxa"/>
                </w:tcMar>
              </w:tcPr>
              <w:p w14:paraId="39B5DA19"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Household</w:t>
                </w:r>
              </w:p>
            </w:tc>
            <w:tc>
              <w:tcPr>
                <w:tcW w:w="2100" w:type="dxa"/>
                <w:shd w:val="clear" w:color="auto" w:fill="auto"/>
                <w:tcMar>
                  <w:left w:w="105" w:type="dxa"/>
                  <w:right w:w="105" w:type="dxa"/>
                </w:tcMar>
              </w:tcPr>
              <w:p w14:paraId="107CD6D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Industrial or commercial</w:t>
                </w:r>
              </w:p>
            </w:tc>
          </w:tr>
          <w:tr w:rsidR="00A4291C" w:rsidRPr="00A4291C" w14:paraId="1B61F1DB"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5" w:type="dxa"/>
                <w:shd w:val="clear" w:color="auto" w:fill="auto"/>
                <w:tcMar>
                  <w:left w:w="105" w:type="dxa"/>
                  <w:right w:w="105" w:type="dxa"/>
                </w:tcMar>
              </w:tcPr>
              <w:p w14:paraId="696FE0C9"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Cathode ray tube (CRT), flat-screen (plasma or LCD) containing POPs </w:t>
                </w:r>
              </w:p>
            </w:tc>
            <w:tc>
              <w:tcPr>
                <w:tcW w:w="2265" w:type="dxa"/>
                <w:shd w:val="clear" w:color="auto" w:fill="auto"/>
                <w:tcMar>
                  <w:left w:w="105" w:type="dxa"/>
                  <w:right w:w="105" w:type="dxa"/>
                </w:tcMar>
              </w:tcPr>
              <w:p w14:paraId="040F6274"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Hazardous/POPs</w:t>
                </w:r>
              </w:p>
            </w:tc>
            <w:tc>
              <w:tcPr>
                <w:tcW w:w="1620" w:type="dxa"/>
                <w:shd w:val="clear" w:color="auto" w:fill="auto"/>
                <w:tcMar>
                  <w:left w:w="105" w:type="dxa"/>
                  <w:right w:w="105" w:type="dxa"/>
                </w:tcMar>
              </w:tcPr>
              <w:p w14:paraId="5D40B10A"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20-01-35*</w:t>
                </w:r>
              </w:p>
            </w:tc>
            <w:tc>
              <w:tcPr>
                <w:tcW w:w="2100" w:type="dxa"/>
                <w:shd w:val="clear" w:color="auto" w:fill="auto"/>
                <w:tcMar>
                  <w:left w:w="105" w:type="dxa"/>
                  <w:right w:w="105" w:type="dxa"/>
                </w:tcMar>
              </w:tcPr>
              <w:p w14:paraId="15D4AF9E"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16-02-13*</w:t>
                </w:r>
              </w:p>
            </w:tc>
          </w:tr>
        </w:tbl>
        <w:p w14:paraId="17880D8B" w14:textId="77777777" w:rsidR="00A4291C" w:rsidRPr="00CF6DF6" w:rsidRDefault="00A4291C" w:rsidP="00A4291C">
          <w:pPr>
            <w:spacing w:after="160" w:line="259" w:lineRule="auto"/>
            <w:rPr>
              <w:rFonts w:ascii="Arial" w:eastAsia="Arial" w:hAnsi="Arial" w:cs="Arial"/>
              <w:color w:val="000000"/>
            </w:rPr>
          </w:pPr>
        </w:p>
        <w:p w14:paraId="597C3CB3" w14:textId="77777777" w:rsidR="00A4291C" w:rsidRPr="00CF6DF6" w:rsidRDefault="00A4291C" w:rsidP="00A4291C">
          <w:pPr>
            <w:spacing w:after="160" w:line="259" w:lineRule="auto"/>
            <w:rPr>
              <w:rFonts w:ascii="Arial" w:eastAsia="Arial" w:hAnsi="Arial" w:cs="Arial"/>
              <w:color w:val="000000"/>
            </w:rPr>
          </w:pPr>
          <w:r w:rsidRPr="00CF6DF6">
            <w:rPr>
              <w:rFonts w:ascii="Arial" w:eastAsia="Arial" w:hAnsi="Arial" w:cs="Arial"/>
              <w:color w:val="000000"/>
              <w:lang w:val="en"/>
            </w:rPr>
            <w:lastRenderedPageBreak/>
            <w:t>(*) An asterisk at the end of a code means the waste is hazardous.</w:t>
          </w:r>
        </w:p>
        <w:p w14:paraId="0E318981" w14:textId="77777777" w:rsidR="00A4291C" w:rsidRPr="00A4291C" w:rsidRDefault="00A4291C" w:rsidP="00EF25D5">
          <w:pPr>
            <w:keepNext/>
            <w:keepLines/>
            <w:spacing w:after="120" w:line="276" w:lineRule="auto"/>
            <w:outlineLvl w:val="1"/>
            <w:rPr>
              <w:rFonts w:ascii="Arial" w:eastAsia="Arial" w:hAnsi="Arial" w:cstheme="majorBidi"/>
              <w:b/>
              <w:color w:val="016574" w:themeColor="accent2"/>
              <w:sz w:val="32"/>
              <w:szCs w:val="26"/>
            </w:rPr>
          </w:pPr>
          <w:bookmarkStart w:id="8" w:name="_Toc184980445"/>
          <w:r w:rsidRPr="00A4291C">
            <w:rPr>
              <w:rFonts w:ascii="Arial" w:eastAsia="Arial" w:hAnsi="Arial" w:cstheme="majorBidi"/>
              <w:b/>
              <w:color w:val="016574" w:themeColor="accent2"/>
              <w:sz w:val="32"/>
              <w:szCs w:val="26"/>
              <w:lang w:val="en-US"/>
            </w:rPr>
            <w:t>Fridges, freezers, chillers and air-conditioning units:</w:t>
          </w:r>
          <w:bookmarkEnd w:id="8"/>
        </w:p>
        <w:p w14:paraId="1D74D19D" w14:textId="77777777" w:rsidR="00A4291C" w:rsidRPr="00A4291C" w:rsidRDefault="00A4291C" w:rsidP="00A4291C">
          <w:pPr>
            <w:spacing w:after="240"/>
            <w:rPr>
              <w:rFonts w:eastAsia="Arial"/>
            </w:rPr>
          </w:pPr>
          <w:r w:rsidRPr="00A4291C">
            <w:rPr>
              <w:rFonts w:eastAsia="Arial"/>
              <w:lang w:val="en-US"/>
            </w:rPr>
            <w:t xml:space="preserve">Components such as circuit </w:t>
          </w:r>
          <w:proofErr w:type="gramStart"/>
          <w:r w:rsidRPr="00A4291C">
            <w:rPr>
              <w:rFonts w:eastAsia="Arial"/>
              <w:lang w:val="en-US"/>
            </w:rPr>
            <w:t>boards,</w:t>
          </w:r>
          <w:proofErr w:type="gramEnd"/>
          <w:r w:rsidRPr="00A4291C">
            <w:rPr>
              <w:rFonts w:eastAsia="Arial"/>
              <w:lang w:val="en-US"/>
            </w:rPr>
            <w:t xml:space="preserve"> motors and any plastic parts may contain hazardous chemicals or POPs. Coolants and foam may also be hazardous. Usually there is not enough POPs for the item to be classified as POPs waste, however this should not be assumed, and checks to verify are required.</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fridges, freezers, chillers and air conditioning units. "/>
          </w:tblPr>
          <w:tblGrid>
            <w:gridCol w:w="3964"/>
            <w:gridCol w:w="2127"/>
            <w:gridCol w:w="1484"/>
            <w:gridCol w:w="2040"/>
          </w:tblGrid>
          <w:tr w:rsidR="00A4291C" w:rsidRPr="00A4291C" w14:paraId="3030D837"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259A2CE8" w14:textId="77777777" w:rsidR="00A4291C" w:rsidRPr="00A4291C" w:rsidRDefault="00A4291C" w:rsidP="00A4291C">
                <w:pPr>
                  <w:spacing w:after="160" w:line="259" w:lineRule="auto"/>
                  <w:rPr>
                    <w:rFonts w:ascii="Arial" w:eastAsia="Arial" w:hAnsi="Arial" w:cs="Arial"/>
                    <w:color w:val="016574" w:themeColor="accent6"/>
                  </w:rPr>
                </w:pPr>
                <w:r w:rsidRPr="00A4291C">
                  <w:rPr>
                    <w:rFonts w:ascii="Arial" w:eastAsia="Arial" w:hAnsi="Arial" w:cs="Arial"/>
                    <w:color w:val="016574" w:themeColor="accent6"/>
                  </w:rPr>
                  <w:t>Item</w:t>
                </w:r>
              </w:p>
            </w:tc>
            <w:tc>
              <w:tcPr>
                <w:tcW w:w="2127" w:type="dxa"/>
                <w:shd w:val="clear" w:color="auto" w:fill="auto"/>
                <w:tcMar>
                  <w:left w:w="105" w:type="dxa"/>
                  <w:right w:w="105" w:type="dxa"/>
                </w:tcMar>
              </w:tcPr>
              <w:p w14:paraId="26B994F4"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Waste status</w:t>
                </w:r>
              </w:p>
            </w:tc>
            <w:tc>
              <w:tcPr>
                <w:tcW w:w="1484" w:type="dxa"/>
                <w:shd w:val="clear" w:color="auto" w:fill="auto"/>
                <w:tcMar>
                  <w:left w:w="105" w:type="dxa"/>
                  <w:right w:w="105" w:type="dxa"/>
                </w:tcMar>
              </w:tcPr>
              <w:p w14:paraId="389411D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Household</w:t>
                </w:r>
              </w:p>
            </w:tc>
            <w:tc>
              <w:tcPr>
                <w:tcW w:w="2040" w:type="dxa"/>
                <w:shd w:val="clear" w:color="auto" w:fill="auto"/>
                <w:tcMar>
                  <w:left w:w="105" w:type="dxa"/>
                  <w:right w:w="105" w:type="dxa"/>
                </w:tcMar>
              </w:tcPr>
              <w:p w14:paraId="237DE7C3"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Industrial or commercial</w:t>
                </w:r>
              </w:p>
            </w:tc>
          </w:tr>
          <w:tr w:rsidR="00A4291C" w:rsidRPr="00A4291C" w14:paraId="278BE9DF"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5CE38E8B"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Containing ozone-depleting substances as foam blowing agents or coolants</w:t>
                </w:r>
              </w:p>
            </w:tc>
            <w:tc>
              <w:tcPr>
                <w:tcW w:w="2127" w:type="dxa"/>
                <w:shd w:val="clear" w:color="auto" w:fill="auto"/>
                <w:tcMar>
                  <w:left w:w="105" w:type="dxa"/>
                  <w:right w:w="105" w:type="dxa"/>
                </w:tcMar>
              </w:tcPr>
              <w:p w14:paraId="20E05F29"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Hazardous/non-POPs </w:t>
                </w:r>
              </w:p>
            </w:tc>
            <w:tc>
              <w:tcPr>
                <w:tcW w:w="1484" w:type="dxa"/>
                <w:shd w:val="clear" w:color="auto" w:fill="auto"/>
                <w:tcMar>
                  <w:left w:w="105" w:type="dxa"/>
                  <w:right w:w="105" w:type="dxa"/>
                </w:tcMar>
              </w:tcPr>
              <w:p w14:paraId="5AAF7A9D"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20-01-23*</w:t>
                </w:r>
              </w:p>
            </w:tc>
            <w:tc>
              <w:tcPr>
                <w:tcW w:w="2040" w:type="dxa"/>
                <w:shd w:val="clear" w:color="auto" w:fill="auto"/>
                <w:tcMar>
                  <w:left w:w="105" w:type="dxa"/>
                  <w:right w:w="105" w:type="dxa"/>
                </w:tcMar>
              </w:tcPr>
              <w:p w14:paraId="18FFC742"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16-02-11*</w:t>
                </w:r>
              </w:p>
            </w:tc>
          </w:tr>
          <w:tr w:rsidR="00A4291C" w:rsidRPr="00A4291C" w14:paraId="128DAA23" w14:textId="77777777" w:rsidTr="00282C51">
            <w:trPr>
              <w:trHeight w:val="30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3D97E102"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Other</w:t>
                </w:r>
              </w:p>
            </w:tc>
            <w:tc>
              <w:tcPr>
                <w:tcW w:w="2127" w:type="dxa"/>
                <w:shd w:val="clear" w:color="auto" w:fill="auto"/>
                <w:tcMar>
                  <w:left w:w="105" w:type="dxa"/>
                  <w:right w:w="105" w:type="dxa"/>
                </w:tcMar>
              </w:tcPr>
              <w:p w14:paraId="069FF122"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Hazardous/non-POPs </w:t>
                </w:r>
              </w:p>
            </w:tc>
            <w:tc>
              <w:tcPr>
                <w:tcW w:w="1484" w:type="dxa"/>
                <w:shd w:val="clear" w:color="auto" w:fill="auto"/>
                <w:tcMar>
                  <w:left w:w="105" w:type="dxa"/>
                  <w:right w:w="105" w:type="dxa"/>
                </w:tcMar>
              </w:tcPr>
              <w:p w14:paraId="40F24BF1"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20-01-35*</w:t>
                </w:r>
              </w:p>
            </w:tc>
            <w:tc>
              <w:tcPr>
                <w:tcW w:w="2040" w:type="dxa"/>
                <w:shd w:val="clear" w:color="auto" w:fill="auto"/>
                <w:tcMar>
                  <w:left w:w="105" w:type="dxa"/>
                  <w:right w:w="105" w:type="dxa"/>
                </w:tcMar>
              </w:tcPr>
              <w:p w14:paraId="2A5824EF"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16-02-13*</w:t>
                </w:r>
              </w:p>
            </w:tc>
          </w:tr>
        </w:tbl>
        <w:p w14:paraId="5FC4B4DD" w14:textId="77777777" w:rsidR="00A4291C" w:rsidRPr="00CF6DF6" w:rsidRDefault="00A4291C" w:rsidP="00A4291C">
          <w:pPr>
            <w:spacing w:after="160" w:line="259" w:lineRule="auto"/>
            <w:rPr>
              <w:rFonts w:ascii="Arial" w:eastAsia="Arial" w:hAnsi="Arial" w:cs="Arial"/>
              <w:color w:val="000000"/>
            </w:rPr>
          </w:pPr>
        </w:p>
        <w:p w14:paraId="185B6C50"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0656ED5E" w14:textId="77777777" w:rsidR="00A4291C" w:rsidRPr="00A4291C" w:rsidRDefault="00A4291C" w:rsidP="00EF25D5">
          <w:pPr>
            <w:keepNext/>
            <w:keepLines/>
            <w:spacing w:after="120" w:line="276" w:lineRule="auto"/>
            <w:outlineLvl w:val="1"/>
            <w:rPr>
              <w:rFonts w:ascii="Arial" w:eastAsia="Arial" w:hAnsi="Arial" w:cstheme="majorBidi"/>
              <w:b/>
              <w:color w:val="016574" w:themeColor="accent2"/>
              <w:sz w:val="32"/>
              <w:szCs w:val="26"/>
            </w:rPr>
          </w:pPr>
          <w:bookmarkStart w:id="9" w:name="_Toc184980446"/>
          <w:r w:rsidRPr="00A4291C">
            <w:rPr>
              <w:rFonts w:ascii="Arial" w:eastAsia="Arial" w:hAnsi="Arial" w:cstheme="majorBidi"/>
              <w:b/>
              <w:color w:val="016574" w:themeColor="accent2"/>
              <w:sz w:val="32"/>
              <w:szCs w:val="26"/>
              <w:lang w:val="en-US"/>
            </w:rPr>
            <w:t xml:space="preserve">Large domestic appliances (LDA): white goods (washing machines, </w:t>
          </w:r>
          <w:proofErr w:type="gramStart"/>
          <w:r w:rsidRPr="00A4291C">
            <w:rPr>
              <w:rFonts w:ascii="Arial" w:eastAsia="Arial" w:hAnsi="Arial" w:cstheme="majorBidi"/>
              <w:b/>
              <w:color w:val="016574" w:themeColor="accent2"/>
              <w:sz w:val="32"/>
              <w:szCs w:val="26"/>
              <w:lang w:val="en-US"/>
            </w:rPr>
            <w:t>tumble</w:t>
          </w:r>
          <w:proofErr w:type="gramEnd"/>
          <w:r w:rsidRPr="00A4291C">
            <w:rPr>
              <w:rFonts w:ascii="Arial" w:eastAsia="Arial" w:hAnsi="Arial" w:cstheme="majorBidi"/>
              <w:b/>
              <w:color w:val="016574" w:themeColor="accent2"/>
              <w:sz w:val="32"/>
              <w:szCs w:val="26"/>
              <w:lang w:val="en-US"/>
            </w:rPr>
            <w:t xml:space="preserve"> driers, dishwashers and cookers)</w:t>
          </w:r>
          <w:bookmarkEnd w:id="9"/>
        </w:p>
        <w:p w14:paraId="4FDCDA62" w14:textId="77777777" w:rsidR="00A4291C" w:rsidRPr="00A4291C" w:rsidRDefault="00A4291C" w:rsidP="00A4291C">
          <w:pPr>
            <w:spacing w:after="240"/>
            <w:rPr>
              <w:rFonts w:eastAsia="Arial"/>
            </w:rPr>
          </w:pPr>
          <w:r w:rsidRPr="00A4291C">
            <w:rPr>
              <w:rFonts w:eastAsia="Arial"/>
              <w:lang w:val="en-US"/>
            </w:rPr>
            <w:t xml:space="preserve">Components such as circuit boards, motors or any plastic parts may contain hazardous chemicals or POPs. Usually there is not enough for the item to be classified as </w:t>
          </w:r>
          <w:proofErr w:type="gramStart"/>
          <w:r w:rsidRPr="00A4291C">
            <w:rPr>
              <w:rFonts w:eastAsia="Arial"/>
              <w:lang w:val="en-US"/>
            </w:rPr>
            <w:t>hazardous</w:t>
          </w:r>
          <w:proofErr w:type="gramEnd"/>
          <w:r w:rsidRPr="00A4291C">
            <w:rPr>
              <w:rFonts w:eastAsia="Arial"/>
              <w:lang w:val="en-US"/>
            </w:rPr>
            <w:t xml:space="preserve"> or POPs waste.</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tlarge domestic appliances. "/>
          </w:tblPr>
          <w:tblGrid>
            <w:gridCol w:w="3114"/>
            <w:gridCol w:w="2551"/>
            <w:gridCol w:w="1550"/>
            <w:gridCol w:w="2400"/>
          </w:tblGrid>
          <w:tr w:rsidR="00A4291C" w:rsidRPr="00A4291C" w14:paraId="101C432A"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Mar>
                  <w:left w:w="105" w:type="dxa"/>
                  <w:right w:w="105" w:type="dxa"/>
                </w:tcMar>
              </w:tcPr>
              <w:p w14:paraId="66B2B405" w14:textId="77777777" w:rsidR="00A4291C" w:rsidRPr="00A4291C" w:rsidRDefault="00A4291C" w:rsidP="00A4291C">
                <w:pPr>
                  <w:spacing w:after="160" w:line="259" w:lineRule="auto"/>
                  <w:rPr>
                    <w:rFonts w:ascii="Arial" w:eastAsia="Arial" w:hAnsi="Arial" w:cs="Arial"/>
                    <w:color w:val="016574" w:themeColor="accent6"/>
                  </w:rPr>
                </w:pPr>
                <w:r w:rsidRPr="00A4291C">
                  <w:rPr>
                    <w:rFonts w:ascii="Arial" w:eastAsia="Arial" w:hAnsi="Arial" w:cs="Arial"/>
                    <w:color w:val="016574" w:themeColor="accent6"/>
                  </w:rPr>
                  <w:t>Item</w:t>
                </w:r>
              </w:p>
            </w:tc>
            <w:tc>
              <w:tcPr>
                <w:tcW w:w="2551" w:type="dxa"/>
                <w:shd w:val="clear" w:color="auto" w:fill="auto"/>
                <w:tcMar>
                  <w:left w:w="105" w:type="dxa"/>
                  <w:right w:w="105" w:type="dxa"/>
                </w:tcMar>
              </w:tcPr>
              <w:p w14:paraId="70B11C8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Waste status</w:t>
                </w:r>
              </w:p>
            </w:tc>
            <w:tc>
              <w:tcPr>
                <w:tcW w:w="1550" w:type="dxa"/>
                <w:shd w:val="clear" w:color="auto" w:fill="auto"/>
                <w:tcMar>
                  <w:left w:w="105" w:type="dxa"/>
                  <w:right w:w="105" w:type="dxa"/>
                </w:tcMar>
              </w:tcPr>
              <w:p w14:paraId="55A0326B"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Household</w:t>
                </w:r>
              </w:p>
            </w:tc>
            <w:tc>
              <w:tcPr>
                <w:tcW w:w="2400" w:type="dxa"/>
                <w:shd w:val="clear" w:color="auto" w:fill="auto"/>
                <w:tcMar>
                  <w:left w:w="105" w:type="dxa"/>
                  <w:right w:w="105" w:type="dxa"/>
                </w:tcMar>
              </w:tcPr>
              <w:p w14:paraId="7DBB28E1"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6"/>
                  </w:rPr>
                </w:pPr>
                <w:r w:rsidRPr="00A4291C">
                  <w:rPr>
                    <w:rFonts w:ascii="Arial" w:eastAsia="Arial" w:hAnsi="Arial" w:cs="Arial"/>
                    <w:color w:val="016574" w:themeColor="accent6"/>
                  </w:rPr>
                  <w:t>Industrial or commercial</w:t>
                </w:r>
              </w:p>
            </w:tc>
          </w:tr>
          <w:tr w:rsidR="00A4291C" w:rsidRPr="00A4291C" w14:paraId="63B50ED5"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Mar>
                  <w:left w:w="105" w:type="dxa"/>
                  <w:right w:w="105" w:type="dxa"/>
                </w:tcMar>
              </w:tcPr>
              <w:p w14:paraId="27496CD0"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Large domestic appliances: white goods</w:t>
                </w:r>
              </w:p>
            </w:tc>
            <w:tc>
              <w:tcPr>
                <w:tcW w:w="2551" w:type="dxa"/>
                <w:shd w:val="clear" w:color="auto" w:fill="auto"/>
                <w:tcMar>
                  <w:left w:w="105" w:type="dxa"/>
                  <w:right w:w="105" w:type="dxa"/>
                </w:tcMar>
              </w:tcPr>
              <w:p w14:paraId="46E03723"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Non-hazardous/non-POPs </w:t>
                </w:r>
              </w:p>
            </w:tc>
            <w:tc>
              <w:tcPr>
                <w:tcW w:w="1550" w:type="dxa"/>
                <w:shd w:val="clear" w:color="auto" w:fill="auto"/>
                <w:tcMar>
                  <w:left w:w="105" w:type="dxa"/>
                  <w:right w:w="105" w:type="dxa"/>
                </w:tcMar>
              </w:tcPr>
              <w:p w14:paraId="22B00FCF"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20-01-36</w:t>
                </w:r>
              </w:p>
            </w:tc>
            <w:tc>
              <w:tcPr>
                <w:tcW w:w="2400" w:type="dxa"/>
                <w:shd w:val="clear" w:color="auto" w:fill="auto"/>
                <w:tcMar>
                  <w:left w:w="105" w:type="dxa"/>
                  <w:right w:w="105" w:type="dxa"/>
                </w:tcMar>
              </w:tcPr>
              <w:p w14:paraId="575B46B9"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16-02-14</w:t>
                </w:r>
              </w:p>
            </w:tc>
          </w:tr>
        </w:tbl>
        <w:p w14:paraId="3406E33C" w14:textId="77777777" w:rsidR="00A4291C" w:rsidRPr="00A4291C" w:rsidRDefault="00A4291C" w:rsidP="00A4291C">
          <w:pPr>
            <w:spacing w:after="160" w:line="259" w:lineRule="auto"/>
            <w:rPr>
              <w:rFonts w:ascii="Arial" w:eastAsia="Arial" w:hAnsi="Arial" w:cs="Arial"/>
              <w:color w:val="000000"/>
              <w:sz w:val="22"/>
              <w:szCs w:val="22"/>
            </w:rPr>
          </w:pPr>
        </w:p>
        <w:p w14:paraId="0748572E" w14:textId="77777777" w:rsidR="00A4291C" w:rsidRPr="00A4291C" w:rsidRDefault="00A4291C" w:rsidP="00EF25D5">
          <w:pPr>
            <w:keepNext/>
            <w:keepLines/>
            <w:spacing w:after="120" w:line="276" w:lineRule="auto"/>
            <w:outlineLvl w:val="1"/>
            <w:rPr>
              <w:rFonts w:ascii="Arial" w:eastAsia="Arial" w:hAnsi="Arial" w:cstheme="majorBidi"/>
              <w:b/>
              <w:color w:val="016574" w:themeColor="accent2"/>
              <w:sz w:val="32"/>
              <w:szCs w:val="26"/>
            </w:rPr>
          </w:pPr>
          <w:bookmarkStart w:id="10" w:name="_Toc184980447"/>
          <w:r w:rsidRPr="00A4291C">
            <w:rPr>
              <w:rFonts w:ascii="Arial" w:eastAsia="Arial" w:hAnsi="Arial" w:cstheme="majorBidi"/>
              <w:b/>
              <w:color w:val="016574" w:themeColor="accent2"/>
              <w:sz w:val="32"/>
              <w:szCs w:val="26"/>
              <w:lang w:val="en"/>
            </w:rPr>
            <w:t>Small mixed WEEE</w:t>
          </w:r>
          <w:bookmarkEnd w:id="10"/>
          <w:r w:rsidRPr="00A4291C">
            <w:rPr>
              <w:rFonts w:ascii="Arial" w:eastAsia="Arial" w:hAnsi="Arial" w:cstheme="majorBidi"/>
              <w:b/>
              <w:color w:val="016574" w:themeColor="accent2"/>
              <w:sz w:val="32"/>
              <w:szCs w:val="26"/>
              <w:lang w:val="en"/>
            </w:rPr>
            <w:t xml:space="preserve"> </w:t>
          </w:r>
        </w:p>
        <w:p w14:paraId="7D454624" w14:textId="77777777" w:rsidR="00A4291C" w:rsidRPr="00A4291C" w:rsidRDefault="00A4291C" w:rsidP="00A4291C">
          <w:pPr>
            <w:spacing w:after="240"/>
            <w:rPr>
              <w:rFonts w:eastAsia="Arial"/>
              <w:lang w:val="en-US"/>
            </w:rPr>
          </w:pPr>
          <w:r w:rsidRPr="00A4291C">
            <w:rPr>
              <w:rFonts w:eastAsia="Arial"/>
              <w:lang w:val="en-US"/>
            </w:rPr>
            <w:t>These are small household-type electrical items collected from homes or businesses.</w:t>
          </w:r>
        </w:p>
        <w:p w14:paraId="65A0C963" w14:textId="77777777" w:rsidR="00A4291C" w:rsidRPr="00A4291C" w:rsidRDefault="00A4291C" w:rsidP="00A4291C">
          <w:pPr>
            <w:spacing w:after="240"/>
            <w:rPr>
              <w:rFonts w:eastAsia="Arial"/>
              <w:lang w:val="en-US"/>
            </w:rPr>
          </w:pPr>
          <w:r w:rsidRPr="00A4291C">
            <w:rPr>
              <w:rFonts w:eastAsia="Arial"/>
              <w:lang w:val="en-US"/>
            </w:rPr>
            <w:t>Components such as screens, circuit boards, batteries or any plastic parts may contain hazardous chemicals or POPs.</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small mixed WEEE."/>
          </w:tblPr>
          <w:tblGrid>
            <w:gridCol w:w="3539"/>
            <w:gridCol w:w="2131"/>
            <w:gridCol w:w="1530"/>
            <w:gridCol w:w="2400"/>
          </w:tblGrid>
          <w:tr w:rsidR="00A4291C" w:rsidRPr="00A4291C" w14:paraId="233EC662"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Mar>
                  <w:left w:w="105" w:type="dxa"/>
                  <w:right w:w="105" w:type="dxa"/>
                </w:tcMar>
              </w:tcPr>
              <w:p w14:paraId="645AD3F9" w14:textId="77777777" w:rsidR="00A4291C" w:rsidRPr="00A4291C" w:rsidRDefault="00A4291C" w:rsidP="00A4291C">
                <w:pPr>
                  <w:spacing w:after="160" w:line="259" w:lineRule="auto"/>
                  <w:rPr>
                    <w:rFonts w:ascii="Arial" w:eastAsia="Arial" w:hAnsi="Arial" w:cs="Arial"/>
                    <w:color w:val="016574" w:themeColor="accent6"/>
                  </w:rPr>
                </w:pPr>
                <w:r w:rsidRPr="00A4291C">
                  <w:rPr>
                    <w:rFonts w:ascii="Arial" w:eastAsia="Arial" w:hAnsi="Arial" w:cs="Arial"/>
                    <w:color w:val="016574" w:themeColor="accent6"/>
                  </w:rPr>
                  <w:lastRenderedPageBreak/>
                  <w:t>Item</w:t>
                </w:r>
              </w:p>
            </w:tc>
            <w:tc>
              <w:tcPr>
                <w:tcW w:w="2131" w:type="dxa"/>
                <w:shd w:val="clear" w:color="auto" w:fill="auto"/>
                <w:tcMar>
                  <w:left w:w="105" w:type="dxa"/>
                  <w:right w:w="105" w:type="dxa"/>
                </w:tcMar>
              </w:tcPr>
              <w:p w14:paraId="0B82DEB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2"/>
                  </w:rPr>
                </w:pPr>
                <w:r w:rsidRPr="00A4291C">
                  <w:rPr>
                    <w:rFonts w:ascii="Arial" w:eastAsia="Arial" w:hAnsi="Arial" w:cs="Arial"/>
                    <w:color w:val="016574" w:themeColor="accent2"/>
                  </w:rPr>
                  <w:t>Waste status</w:t>
                </w:r>
              </w:p>
            </w:tc>
            <w:tc>
              <w:tcPr>
                <w:tcW w:w="1530" w:type="dxa"/>
                <w:shd w:val="clear" w:color="auto" w:fill="auto"/>
                <w:tcMar>
                  <w:left w:w="105" w:type="dxa"/>
                  <w:right w:w="105" w:type="dxa"/>
                </w:tcMar>
              </w:tcPr>
              <w:p w14:paraId="36A6AB22"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2"/>
                  </w:rPr>
                </w:pPr>
                <w:r w:rsidRPr="00A4291C">
                  <w:rPr>
                    <w:rFonts w:ascii="Arial" w:eastAsia="Arial" w:hAnsi="Arial" w:cs="Arial"/>
                    <w:color w:val="016574" w:themeColor="accent2"/>
                  </w:rPr>
                  <w:t>Household</w:t>
                </w:r>
              </w:p>
            </w:tc>
            <w:tc>
              <w:tcPr>
                <w:tcW w:w="2400" w:type="dxa"/>
                <w:shd w:val="clear" w:color="auto" w:fill="auto"/>
                <w:tcMar>
                  <w:left w:w="105" w:type="dxa"/>
                  <w:right w:w="105" w:type="dxa"/>
                </w:tcMar>
              </w:tcPr>
              <w:p w14:paraId="330007FA"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2"/>
                  </w:rPr>
                </w:pPr>
                <w:r w:rsidRPr="00A4291C">
                  <w:rPr>
                    <w:rFonts w:ascii="Arial" w:eastAsia="Arial" w:hAnsi="Arial" w:cs="Arial"/>
                    <w:color w:val="016574" w:themeColor="accent2"/>
                  </w:rPr>
                  <w:t>Industrial or commercial</w:t>
                </w:r>
              </w:p>
            </w:tc>
          </w:tr>
          <w:tr w:rsidR="00A4291C" w:rsidRPr="00A4291C" w14:paraId="0C49331C"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Mar>
                  <w:left w:w="105" w:type="dxa"/>
                  <w:right w:w="105" w:type="dxa"/>
                </w:tcMar>
              </w:tcPr>
              <w:p w14:paraId="3A4D58CC"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Small mixed WEEE containing POPs </w:t>
                </w:r>
              </w:p>
            </w:tc>
            <w:tc>
              <w:tcPr>
                <w:tcW w:w="2131" w:type="dxa"/>
                <w:shd w:val="clear" w:color="auto" w:fill="auto"/>
                <w:tcMar>
                  <w:left w:w="105" w:type="dxa"/>
                  <w:right w:w="105" w:type="dxa"/>
                </w:tcMar>
              </w:tcPr>
              <w:p w14:paraId="4454509E"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30" w:type="dxa"/>
                <w:shd w:val="clear" w:color="auto" w:fill="auto"/>
                <w:tcMar>
                  <w:left w:w="105" w:type="dxa"/>
                  <w:right w:w="105" w:type="dxa"/>
                </w:tcMar>
              </w:tcPr>
              <w:p w14:paraId="71A5945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2400" w:type="dxa"/>
                <w:shd w:val="clear" w:color="auto" w:fill="auto"/>
                <w:tcMar>
                  <w:left w:w="105" w:type="dxa"/>
                  <w:right w:w="105" w:type="dxa"/>
                </w:tcMar>
              </w:tcPr>
              <w:p w14:paraId="7837B5DF"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n/a</w:t>
                </w:r>
              </w:p>
            </w:tc>
          </w:tr>
        </w:tbl>
        <w:p w14:paraId="6F3A7FD4" w14:textId="77777777" w:rsidR="00A4291C" w:rsidRPr="00A4291C" w:rsidRDefault="00A4291C" w:rsidP="00A4291C">
          <w:pPr>
            <w:spacing w:after="160" w:line="259" w:lineRule="auto"/>
            <w:rPr>
              <w:rFonts w:ascii="Arial" w:eastAsia="Arial" w:hAnsi="Arial" w:cs="Arial"/>
              <w:color w:val="000000"/>
              <w:sz w:val="22"/>
              <w:szCs w:val="22"/>
            </w:rPr>
          </w:pPr>
        </w:p>
        <w:p w14:paraId="3246CCDF"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612E4D5E" w14:textId="77777777" w:rsidR="00A4291C" w:rsidRPr="00A4291C" w:rsidRDefault="00A4291C" w:rsidP="009C41CB">
          <w:pPr>
            <w:keepNext/>
            <w:keepLines/>
            <w:spacing w:after="120" w:line="276" w:lineRule="auto"/>
            <w:outlineLvl w:val="1"/>
            <w:rPr>
              <w:rFonts w:ascii="Arial" w:eastAsia="Arial" w:hAnsi="Arial" w:cstheme="majorBidi"/>
              <w:b/>
              <w:color w:val="016574" w:themeColor="accent2"/>
              <w:sz w:val="32"/>
              <w:szCs w:val="26"/>
            </w:rPr>
          </w:pPr>
          <w:bookmarkStart w:id="11" w:name="_Toc184980448"/>
          <w:r w:rsidRPr="00A4291C">
            <w:rPr>
              <w:rFonts w:ascii="Arial" w:eastAsia="Arial" w:hAnsi="Arial" w:cstheme="majorBidi"/>
              <w:b/>
              <w:color w:val="016574" w:themeColor="accent2"/>
              <w:sz w:val="32"/>
              <w:szCs w:val="26"/>
              <w:lang w:val="en"/>
            </w:rPr>
            <w:t>Other household-type electrical items from homes or businesses</w:t>
          </w:r>
          <w:bookmarkEnd w:id="11"/>
        </w:p>
        <w:p w14:paraId="485AFE7E" w14:textId="77777777" w:rsidR="00A4291C" w:rsidRPr="00A4291C" w:rsidRDefault="00A4291C" w:rsidP="00A4291C">
          <w:pPr>
            <w:spacing w:after="240"/>
            <w:rPr>
              <w:rFonts w:eastAsia="Arial"/>
            </w:rPr>
          </w:pPr>
          <w:r w:rsidRPr="00A4291C">
            <w:rPr>
              <w:rFonts w:eastAsia="Arial"/>
              <w:lang w:val="en"/>
            </w:rPr>
            <w:t>These are waste electrical items collected from households or businesses that are not already listed and are separated from small mixed WEEE.</w:t>
          </w:r>
        </w:p>
        <w:p w14:paraId="65E1FE77" w14:textId="77777777" w:rsidR="00A4291C" w:rsidRPr="00A4291C" w:rsidRDefault="00A4291C" w:rsidP="00A4291C">
          <w:pPr>
            <w:spacing w:after="240"/>
            <w:rPr>
              <w:rFonts w:eastAsia="Arial"/>
            </w:rPr>
          </w:pPr>
          <w:r w:rsidRPr="00A4291C">
            <w:rPr>
              <w:rFonts w:eastAsia="Arial"/>
              <w:lang w:val="en-US"/>
            </w:rPr>
            <w:t>Components such as screens, circuit boards, batteries or any plastic parts may contain hazardous chemicals or POPs.</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other household-type electrical items from homes or businesses."/>
          </w:tblPr>
          <w:tblGrid>
            <w:gridCol w:w="3964"/>
            <w:gridCol w:w="2127"/>
            <w:gridCol w:w="1574"/>
            <w:gridCol w:w="1935"/>
          </w:tblGrid>
          <w:tr w:rsidR="00A4291C" w:rsidRPr="00A4291C" w14:paraId="3DB5C548"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29EBFB24"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color w:val="016574" w:themeColor="accent1"/>
                  </w:rPr>
                  <w:t>Item</w:t>
                </w:r>
              </w:p>
            </w:tc>
            <w:tc>
              <w:tcPr>
                <w:tcW w:w="2127" w:type="dxa"/>
                <w:shd w:val="clear" w:color="auto" w:fill="auto"/>
                <w:tcMar>
                  <w:left w:w="105" w:type="dxa"/>
                  <w:right w:w="105" w:type="dxa"/>
                </w:tcMar>
              </w:tcPr>
              <w:p w14:paraId="5D0E5AB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574" w:type="dxa"/>
                <w:shd w:val="clear" w:color="auto" w:fill="auto"/>
                <w:tcMar>
                  <w:left w:w="105" w:type="dxa"/>
                  <w:right w:w="105" w:type="dxa"/>
                </w:tcMar>
              </w:tcPr>
              <w:p w14:paraId="0ABBC327"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w:t>
                </w:r>
              </w:p>
            </w:tc>
            <w:tc>
              <w:tcPr>
                <w:tcW w:w="1935" w:type="dxa"/>
                <w:shd w:val="clear" w:color="auto" w:fill="auto"/>
                <w:tcMar>
                  <w:left w:w="105" w:type="dxa"/>
                  <w:right w:w="105" w:type="dxa"/>
                </w:tcMar>
              </w:tcPr>
              <w:p w14:paraId="603A7560"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71629D15"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015E3A18"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1: Large household appliances (other than LDA white goods) containing POPs </w:t>
                </w:r>
              </w:p>
            </w:tc>
            <w:tc>
              <w:tcPr>
                <w:tcW w:w="2127" w:type="dxa"/>
                <w:shd w:val="clear" w:color="auto" w:fill="auto"/>
                <w:tcMar>
                  <w:left w:w="105" w:type="dxa"/>
                  <w:right w:w="105" w:type="dxa"/>
                </w:tcMar>
              </w:tcPr>
              <w:p w14:paraId="16E76384"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45E18CA8"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1935" w:type="dxa"/>
                <w:shd w:val="clear" w:color="auto" w:fill="auto"/>
                <w:tcMar>
                  <w:left w:w="105" w:type="dxa"/>
                  <w:right w:w="105" w:type="dxa"/>
                </w:tcMar>
              </w:tcPr>
              <w:p w14:paraId="78DDD5DE"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r w:rsidR="00A4291C" w:rsidRPr="00A4291C" w14:paraId="43BF6C9A"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6F311D25"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2: Small household appliances containing POPs </w:t>
                </w:r>
              </w:p>
            </w:tc>
            <w:tc>
              <w:tcPr>
                <w:tcW w:w="2127" w:type="dxa"/>
                <w:shd w:val="clear" w:color="auto" w:fill="auto"/>
                <w:tcMar>
                  <w:left w:w="105" w:type="dxa"/>
                  <w:right w:w="105" w:type="dxa"/>
                </w:tcMar>
              </w:tcPr>
              <w:p w14:paraId="4A3811A5"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6409D4D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1935" w:type="dxa"/>
                <w:shd w:val="clear" w:color="auto" w:fill="auto"/>
                <w:tcMar>
                  <w:left w:w="105" w:type="dxa"/>
                  <w:right w:w="105" w:type="dxa"/>
                </w:tcMar>
              </w:tcPr>
              <w:p w14:paraId="6837E7AB"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r w:rsidR="00A4291C" w:rsidRPr="00A4291C" w14:paraId="11A3BD35"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21B635DA"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3: IT and telecommunication equipment containing POPs </w:t>
                </w:r>
              </w:p>
            </w:tc>
            <w:tc>
              <w:tcPr>
                <w:tcW w:w="2127" w:type="dxa"/>
                <w:shd w:val="clear" w:color="auto" w:fill="auto"/>
                <w:tcMar>
                  <w:left w:w="105" w:type="dxa"/>
                  <w:right w:w="105" w:type="dxa"/>
                </w:tcMar>
              </w:tcPr>
              <w:p w14:paraId="663CA0DE"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3EF4591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20-01-35*</w:t>
                </w:r>
              </w:p>
            </w:tc>
            <w:tc>
              <w:tcPr>
                <w:tcW w:w="1935" w:type="dxa"/>
                <w:shd w:val="clear" w:color="auto" w:fill="auto"/>
                <w:tcMar>
                  <w:left w:w="105" w:type="dxa"/>
                  <w:right w:w="105" w:type="dxa"/>
                </w:tcMar>
              </w:tcPr>
              <w:p w14:paraId="3F0A852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r w:rsidR="00A4291C" w:rsidRPr="00A4291C" w14:paraId="3D7EAC5D"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519E5406"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4: Consumer equipment containing POPs </w:t>
                </w:r>
              </w:p>
            </w:tc>
            <w:tc>
              <w:tcPr>
                <w:tcW w:w="2127" w:type="dxa"/>
                <w:shd w:val="clear" w:color="auto" w:fill="auto"/>
                <w:tcMar>
                  <w:left w:w="105" w:type="dxa"/>
                  <w:right w:w="105" w:type="dxa"/>
                </w:tcMar>
              </w:tcPr>
              <w:p w14:paraId="420A45BE"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1F226284"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1935" w:type="dxa"/>
                <w:shd w:val="clear" w:color="auto" w:fill="auto"/>
                <w:tcMar>
                  <w:left w:w="105" w:type="dxa"/>
                  <w:right w:w="105" w:type="dxa"/>
                </w:tcMar>
              </w:tcPr>
              <w:p w14:paraId="052A294A"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r w:rsidR="00A4291C" w:rsidRPr="00A4291C" w14:paraId="10F968EC"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3FA73344"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5: Lighting equipment containing POPs </w:t>
                </w:r>
              </w:p>
            </w:tc>
            <w:tc>
              <w:tcPr>
                <w:tcW w:w="2127" w:type="dxa"/>
                <w:shd w:val="clear" w:color="auto" w:fill="auto"/>
                <w:tcMar>
                  <w:left w:w="105" w:type="dxa"/>
                  <w:right w:w="105" w:type="dxa"/>
                </w:tcMar>
              </w:tcPr>
              <w:p w14:paraId="0C669C7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578E0049"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1935" w:type="dxa"/>
                <w:shd w:val="clear" w:color="auto" w:fill="auto"/>
                <w:tcMar>
                  <w:left w:w="105" w:type="dxa"/>
                  <w:right w:w="105" w:type="dxa"/>
                </w:tcMar>
              </w:tcPr>
              <w:p w14:paraId="7DADD60B"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r w:rsidR="00A4291C" w:rsidRPr="00A4291C" w14:paraId="25E95211"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4B3AE233"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6: Electronic and electrical tools containing POPs </w:t>
                </w:r>
              </w:p>
            </w:tc>
            <w:tc>
              <w:tcPr>
                <w:tcW w:w="2127" w:type="dxa"/>
                <w:shd w:val="clear" w:color="auto" w:fill="auto"/>
                <w:tcMar>
                  <w:left w:w="105" w:type="dxa"/>
                  <w:right w:w="105" w:type="dxa"/>
                </w:tcMar>
              </w:tcPr>
              <w:p w14:paraId="2D04AEC5"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27B19927"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1935" w:type="dxa"/>
                <w:shd w:val="clear" w:color="auto" w:fill="auto"/>
                <w:tcMar>
                  <w:left w:w="105" w:type="dxa"/>
                  <w:right w:w="105" w:type="dxa"/>
                </w:tcMar>
              </w:tcPr>
              <w:p w14:paraId="634D41F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r w:rsidR="00A4291C" w:rsidRPr="00A4291C" w14:paraId="711EC563"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Mar>
                  <w:left w:w="105" w:type="dxa"/>
                  <w:right w:w="105" w:type="dxa"/>
                </w:tcMar>
              </w:tcPr>
              <w:p w14:paraId="02FE10C6"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Cat 7: Toys, leisure and sporting equipment containing POPs </w:t>
                </w:r>
              </w:p>
            </w:tc>
            <w:tc>
              <w:tcPr>
                <w:tcW w:w="2127" w:type="dxa"/>
                <w:shd w:val="clear" w:color="auto" w:fill="auto"/>
                <w:tcMar>
                  <w:left w:w="105" w:type="dxa"/>
                  <w:right w:w="105" w:type="dxa"/>
                </w:tcMar>
              </w:tcPr>
              <w:p w14:paraId="67D6310D"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74" w:type="dxa"/>
                <w:shd w:val="clear" w:color="auto" w:fill="auto"/>
                <w:tcMar>
                  <w:left w:w="105" w:type="dxa"/>
                  <w:right w:w="105" w:type="dxa"/>
                </w:tcMar>
              </w:tcPr>
              <w:p w14:paraId="1F24B79D"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20-01-35* </w:t>
                </w:r>
              </w:p>
            </w:tc>
            <w:tc>
              <w:tcPr>
                <w:tcW w:w="1935" w:type="dxa"/>
                <w:shd w:val="clear" w:color="auto" w:fill="auto"/>
                <w:tcMar>
                  <w:left w:w="105" w:type="dxa"/>
                  <w:right w:w="105" w:type="dxa"/>
                </w:tcMar>
              </w:tcPr>
              <w:p w14:paraId="5EA4BE20"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n/a</w:t>
                </w:r>
              </w:p>
            </w:tc>
          </w:tr>
        </w:tbl>
        <w:p w14:paraId="44875928" w14:textId="77777777" w:rsidR="00A4291C" w:rsidRPr="00A4291C" w:rsidRDefault="00A4291C" w:rsidP="00A4291C">
          <w:pPr>
            <w:spacing w:after="160" w:line="259" w:lineRule="auto"/>
            <w:rPr>
              <w:rFonts w:ascii="Arial" w:eastAsia="Arial" w:hAnsi="Arial" w:cs="Arial"/>
              <w:color w:val="000000"/>
              <w:sz w:val="22"/>
              <w:szCs w:val="22"/>
            </w:rPr>
          </w:pPr>
        </w:p>
        <w:p w14:paraId="1774267B"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5DF4F314" w14:textId="77777777" w:rsidR="00A4291C" w:rsidRPr="00A4291C" w:rsidRDefault="00A4291C" w:rsidP="00EC018B">
          <w:pPr>
            <w:keepNext/>
            <w:keepLines/>
            <w:spacing w:after="120" w:line="276" w:lineRule="auto"/>
            <w:outlineLvl w:val="1"/>
            <w:rPr>
              <w:rFonts w:ascii="Arial" w:eastAsia="Arial" w:hAnsi="Arial" w:cstheme="majorBidi"/>
              <w:b/>
              <w:color w:val="016574" w:themeColor="accent2"/>
              <w:sz w:val="32"/>
              <w:szCs w:val="26"/>
            </w:rPr>
          </w:pPr>
          <w:bookmarkStart w:id="12" w:name="_Toc184980449"/>
          <w:r w:rsidRPr="00A4291C">
            <w:rPr>
              <w:rFonts w:ascii="Arial" w:eastAsia="Arial" w:hAnsi="Arial" w:cstheme="majorBidi"/>
              <w:b/>
              <w:color w:val="016574" w:themeColor="accent2"/>
              <w:sz w:val="32"/>
              <w:szCs w:val="26"/>
              <w:lang w:val="en"/>
            </w:rPr>
            <w:lastRenderedPageBreak/>
            <w:t>Lightbulbs and lamps</w:t>
          </w:r>
          <w:bookmarkEnd w:id="12"/>
        </w:p>
        <w:p w14:paraId="191E4186" w14:textId="77777777" w:rsidR="00A4291C" w:rsidRPr="00A4291C" w:rsidRDefault="00A4291C" w:rsidP="00A4291C">
          <w:pPr>
            <w:spacing w:after="240"/>
            <w:rPr>
              <w:rFonts w:eastAsia="Arial"/>
            </w:rPr>
          </w:pPr>
          <w:r w:rsidRPr="00A4291C">
            <w:rPr>
              <w:rFonts w:eastAsia="Arial"/>
              <w:lang w:val="en-US"/>
            </w:rPr>
            <w:t>Components such as circuit boards, plastic parts or casings may contain POPs and hazardous chemicals, such as flame retardants.</w:t>
          </w:r>
        </w:p>
        <w:p w14:paraId="38C483CD" w14:textId="77777777" w:rsidR="00A4291C" w:rsidRPr="00A4291C" w:rsidRDefault="00A4291C" w:rsidP="00A4291C">
          <w:pPr>
            <w:spacing w:after="240"/>
            <w:rPr>
              <w:rFonts w:eastAsia="Arial"/>
            </w:rPr>
          </w:pPr>
          <w:r w:rsidRPr="00A4291C">
            <w:rPr>
              <w:rFonts w:eastAsia="Arial"/>
              <w:lang w:val="en"/>
            </w:rPr>
            <w:t xml:space="preserve">You must check the levels of hazardous substances and POPs in the bulbs before you can classify the waste. </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tlightbulbs and lamps."/>
          </w:tblPr>
          <w:tblGrid>
            <w:gridCol w:w="3823"/>
            <w:gridCol w:w="2268"/>
            <w:gridCol w:w="1514"/>
            <w:gridCol w:w="1995"/>
          </w:tblGrid>
          <w:tr w:rsidR="00A4291C" w:rsidRPr="00A4291C" w14:paraId="3A07DFC5" w14:textId="77777777" w:rsidTr="00004F4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66012C4F"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Item</w:t>
                </w:r>
              </w:p>
            </w:tc>
            <w:tc>
              <w:tcPr>
                <w:tcW w:w="2268" w:type="dxa"/>
                <w:shd w:val="clear" w:color="auto" w:fill="auto"/>
                <w:tcMar>
                  <w:left w:w="105" w:type="dxa"/>
                  <w:right w:w="105" w:type="dxa"/>
                </w:tcMar>
              </w:tcPr>
              <w:p w14:paraId="560DAE8F"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514" w:type="dxa"/>
                <w:shd w:val="clear" w:color="auto" w:fill="auto"/>
                <w:tcMar>
                  <w:left w:w="105" w:type="dxa"/>
                  <w:right w:w="105" w:type="dxa"/>
                </w:tcMar>
              </w:tcPr>
              <w:p w14:paraId="65EE9850"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w:t>
                </w:r>
              </w:p>
            </w:tc>
            <w:tc>
              <w:tcPr>
                <w:tcW w:w="1995" w:type="dxa"/>
                <w:shd w:val="clear" w:color="auto" w:fill="auto"/>
                <w:tcMar>
                  <w:left w:w="105" w:type="dxa"/>
                  <w:right w:w="105" w:type="dxa"/>
                </w:tcMar>
              </w:tcPr>
              <w:p w14:paraId="0D561247"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59FEF3C1" w14:textId="77777777" w:rsidTr="00004F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5B206853"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Fluorescent tubes and low energy - excluding LED and other gas-discharge lamps</w:t>
                </w:r>
              </w:p>
            </w:tc>
            <w:tc>
              <w:tcPr>
                <w:tcW w:w="2268" w:type="dxa"/>
                <w:shd w:val="clear" w:color="auto" w:fill="auto"/>
                <w:tcMar>
                  <w:left w:w="105" w:type="dxa"/>
                  <w:right w:w="105" w:type="dxa"/>
                </w:tcMar>
              </w:tcPr>
              <w:p w14:paraId="054F173E"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Hazardous</w:t>
                </w:r>
              </w:p>
            </w:tc>
            <w:tc>
              <w:tcPr>
                <w:tcW w:w="1514" w:type="dxa"/>
                <w:shd w:val="clear" w:color="auto" w:fill="auto"/>
                <w:tcMar>
                  <w:left w:w="105" w:type="dxa"/>
                  <w:right w:w="105" w:type="dxa"/>
                </w:tcMar>
              </w:tcPr>
              <w:p w14:paraId="463B45E4"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20-01-21*</w:t>
                </w:r>
              </w:p>
            </w:tc>
            <w:tc>
              <w:tcPr>
                <w:tcW w:w="1995" w:type="dxa"/>
                <w:shd w:val="clear" w:color="auto" w:fill="auto"/>
                <w:tcMar>
                  <w:left w:w="105" w:type="dxa"/>
                  <w:right w:w="105" w:type="dxa"/>
                </w:tcMar>
              </w:tcPr>
              <w:p w14:paraId="6AF527A6"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16-02-13*</w:t>
                </w:r>
              </w:p>
            </w:tc>
          </w:tr>
          <w:tr w:rsidR="00A4291C" w:rsidRPr="00A4291C" w14:paraId="35E9E9C1" w14:textId="77777777" w:rsidTr="00004F43">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24DA150C"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LED, halogen and incandescent containing POPs </w:t>
                </w:r>
              </w:p>
            </w:tc>
            <w:tc>
              <w:tcPr>
                <w:tcW w:w="2268" w:type="dxa"/>
                <w:shd w:val="clear" w:color="auto" w:fill="auto"/>
                <w:tcMar>
                  <w:left w:w="105" w:type="dxa"/>
                  <w:right w:w="105" w:type="dxa"/>
                </w:tcMar>
              </w:tcPr>
              <w:p w14:paraId="5D663058"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514" w:type="dxa"/>
                <w:shd w:val="clear" w:color="auto" w:fill="auto"/>
                <w:tcMar>
                  <w:left w:w="105" w:type="dxa"/>
                  <w:right w:w="105" w:type="dxa"/>
                </w:tcMar>
              </w:tcPr>
              <w:p w14:paraId="345988A5"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20-01-35*</w:t>
                </w:r>
              </w:p>
            </w:tc>
            <w:tc>
              <w:tcPr>
                <w:tcW w:w="1995" w:type="dxa"/>
                <w:shd w:val="clear" w:color="auto" w:fill="auto"/>
                <w:tcMar>
                  <w:left w:w="105" w:type="dxa"/>
                  <w:right w:w="105" w:type="dxa"/>
                </w:tcMar>
              </w:tcPr>
              <w:p w14:paraId="69DBF243"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16-02-13*</w:t>
                </w:r>
              </w:p>
            </w:tc>
          </w:tr>
          <w:tr w:rsidR="00A4291C" w:rsidRPr="00A4291C" w14:paraId="5E7DCB29" w14:textId="77777777" w:rsidTr="00004F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69B95CCA"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LED, halogen and incandescent not containing hazardous components</w:t>
                </w:r>
              </w:p>
            </w:tc>
            <w:tc>
              <w:tcPr>
                <w:tcW w:w="2268" w:type="dxa"/>
                <w:shd w:val="clear" w:color="auto" w:fill="auto"/>
                <w:tcMar>
                  <w:left w:w="105" w:type="dxa"/>
                  <w:right w:w="105" w:type="dxa"/>
                </w:tcMar>
              </w:tcPr>
              <w:p w14:paraId="07299CC2"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Non-hazardous</w:t>
                </w:r>
              </w:p>
            </w:tc>
            <w:tc>
              <w:tcPr>
                <w:tcW w:w="1514" w:type="dxa"/>
                <w:shd w:val="clear" w:color="auto" w:fill="auto"/>
                <w:tcMar>
                  <w:left w:w="105" w:type="dxa"/>
                  <w:right w:w="105" w:type="dxa"/>
                </w:tcMar>
              </w:tcPr>
              <w:p w14:paraId="626F7D1D"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20-01-36</w:t>
                </w:r>
              </w:p>
            </w:tc>
            <w:tc>
              <w:tcPr>
                <w:tcW w:w="1995" w:type="dxa"/>
                <w:shd w:val="clear" w:color="auto" w:fill="auto"/>
                <w:tcMar>
                  <w:left w:w="105" w:type="dxa"/>
                  <w:right w:w="105" w:type="dxa"/>
                </w:tcMar>
              </w:tcPr>
              <w:p w14:paraId="6A1FBC0A"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16-02-14</w:t>
                </w:r>
              </w:p>
            </w:tc>
          </w:tr>
        </w:tbl>
        <w:p w14:paraId="1AE7C395" w14:textId="77777777" w:rsidR="00A4291C" w:rsidRPr="00A4291C" w:rsidRDefault="00A4291C" w:rsidP="00A4291C">
          <w:pPr>
            <w:spacing w:after="160" w:line="259" w:lineRule="auto"/>
            <w:rPr>
              <w:rFonts w:ascii="Arial" w:eastAsia="Arial" w:hAnsi="Arial" w:cs="Arial"/>
              <w:color w:val="000000"/>
              <w:sz w:val="22"/>
              <w:szCs w:val="22"/>
            </w:rPr>
          </w:pPr>
        </w:p>
        <w:p w14:paraId="4846DCE2"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619494F4" w14:textId="77777777" w:rsidR="00A4291C" w:rsidRPr="00A4291C" w:rsidRDefault="00A4291C" w:rsidP="00EC018B">
          <w:pPr>
            <w:keepNext/>
            <w:keepLines/>
            <w:spacing w:after="120" w:line="276" w:lineRule="auto"/>
            <w:outlineLvl w:val="1"/>
            <w:rPr>
              <w:rFonts w:ascii="Arial" w:eastAsia="Arial" w:hAnsi="Arial" w:cstheme="majorBidi"/>
              <w:b/>
              <w:color w:val="016574" w:themeColor="accent2"/>
              <w:sz w:val="32"/>
              <w:szCs w:val="26"/>
            </w:rPr>
          </w:pPr>
          <w:bookmarkStart w:id="13" w:name="_Toc184980450"/>
          <w:r w:rsidRPr="00A4291C">
            <w:rPr>
              <w:rFonts w:ascii="Arial" w:eastAsia="Arial" w:hAnsi="Arial" w:cstheme="majorBidi"/>
              <w:b/>
              <w:color w:val="016574" w:themeColor="accent2"/>
              <w:sz w:val="32"/>
              <w:szCs w:val="26"/>
              <w:lang w:val="en"/>
            </w:rPr>
            <w:t>Batteries</w:t>
          </w:r>
          <w:bookmarkEnd w:id="13"/>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batteries. "/>
          </w:tblPr>
          <w:tblGrid>
            <w:gridCol w:w="3823"/>
            <w:gridCol w:w="2268"/>
            <w:gridCol w:w="1559"/>
            <w:gridCol w:w="1965"/>
          </w:tblGrid>
          <w:tr w:rsidR="00A4291C" w:rsidRPr="00A4291C" w14:paraId="6B4671D4"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1C234017"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Item</w:t>
                </w:r>
              </w:p>
            </w:tc>
            <w:tc>
              <w:tcPr>
                <w:tcW w:w="2268" w:type="dxa"/>
                <w:shd w:val="clear" w:color="auto" w:fill="auto"/>
                <w:tcMar>
                  <w:left w:w="105" w:type="dxa"/>
                  <w:right w:w="105" w:type="dxa"/>
                </w:tcMar>
              </w:tcPr>
              <w:p w14:paraId="0F5E77F8"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559" w:type="dxa"/>
                <w:shd w:val="clear" w:color="auto" w:fill="auto"/>
                <w:tcMar>
                  <w:left w:w="105" w:type="dxa"/>
                  <w:right w:w="105" w:type="dxa"/>
                </w:tcMar>
              </w:tcPr>
              <w:p w14:paraId="362D0EC1"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w:t>
                </w:r>
              </w:p>
            </w:tc>
            <w:tc>
              <w:tcPr>
                <w:tcW w:w="1965" w:type="dxa"/>
                <w:shd w:val="clear" w:color="auto" w:fill="auto"/>
                <w:tcMar>
                  <w:left w:w="105" w:type="dxa"/>
                  <w:right w:w="105" w:type="dxa"/>
                </w:tcMar>
              </w:tcPr>
              <w:p w14:paraId="799BDBA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08C0C166"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0889BC0B"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Lead acid (vehicle)</w:t>
                </w:r>
              </w:p>
            </w:tc>
            <w:tc>
              <w:tcPr>
                <w:tcW w:w="2268" w:type="dxa"/>
                <w:shd w:val="clear" w:color="auto" w:fill="auto"/>
                <w:tcMar>
                  <w:left w:w="105" w:type="dxa"/>
                  <w:right w:w="105" w:type="dxa"/>
                </w:tcMar>
              </w:tcPr>
              <w:p w14:paraId="26FFA65F"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Hazardous</w:t>
                </w:r>
              </w:p>
            </w:tc>
            <w:tc>
              <w:tcPr>
                <w:tcW w:w="1559" w:type="dxa"/>
                <w:shd w:val="clear" w:color="auto" w:fill="auto"/>
                <w:tcMar>
                  <w:left w:w="105" w:type="dxa"/>
                  <w:right w:w="105" w:type="dxa"/>
                </w:tcMar>
              </w:tcPr>
              <w:p w14:paraId="389E6314"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16-06-01*</w:t>
                </w:r>
              </w:p>
            </w:tc>
            <w:tc>
              <w:tcPr>
                <w:tcW w:w="1965" w:type="dxa"/>
                <w:shd w:val="clear" w:color="auto" w:fill="auto"/>
                <w:tcMar>
                  <w:left w:w="105" w:type="dxa"/>
                  <w:right w:w="105" w:type="dxa"/>
                </w:tcMar>
              </w:tcPr>
              <w:p w14:paraId="2F4BC491"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16-06-01*</w:t>
                </w:r>
              </w:p>
            </w:tc>
          </w:tr>
          <w:tr w:rsidR="00A4291C" w:rsidRPr="00A4291C" w14:paraId="7ADBB318" w14:textId="77777777" w:rsidTr="00282C51">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65C82DE9"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Lead acid (other)</w:t>
                </w:r>
              </w:p>
            </w:tc>
            <w:tc>
              <w:tcPr>
                <w:tcW w:w="2268" w:type="dxa"/>
                <w:shd w:val="clear" w:color="auto" w:fill="auto"/>
                <w:tcMar>
                  <w:left w:w="105" w:type="dxa"/>
                  <w:right w:w="105" w:type="dxa"/>
                </w:tcMar>
              </w:tcPr>
              <w:p w14:paraId="4B9624E7"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Hazardous</w:t>
                </w:r>
              </w:p>
            </w:tc>
            <w:tc>
              <w:tcPr>
                <w:tcW w:w="1559" w:type="dxa"/>
                <w:shd w:val="clear" w:color="auto" w:fill="auto"/>
                <w:tcMar>
                  <w:left w:w="105" w:type="dxa"/>
                  <w:right w:w="105" w:type="dxa"/>
                </w:tcMar>
              </w:tcPr>
              <w:p w14:paraId="5A1282EA"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20-01-33*</w:t>
                </w:r>
              </w:p>
            </w:tc>
            <w:tc>
              <w:tcPr>
                <w:tcW w:w="1965" w:type="dxa"/>
                <w:shd w:val="clear" w:color="auto" w:fill="auto"/>
                <w:tcMar>
                  <w:left w:w="105" w:type="dxa"/>
                  <w:right w:w="105" w:type="dxa"/>
                </w:tcMar>
              </w:tcPr>
              <w:p w14:paraId="13353269"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16-06-01*</w:t>
                </w:r>
              </w:p>
            </w:tc>
          </w:tr>
          <w:tr w:rsidR="00A4291C" w:rsidRPr="00A4291C" w14:paraId="56F56DCC"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59728E76"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Nickel-Cadmium</w:t>
                </w:r>
              </w:p>
            </w:tc>
            <w:tc>
              <w:tcPr>
                <w:tcW w:w="2268" w:type="dxa"/>
                <w:shd w:val="clear" w:color="auto" w:fill="auto"/>
                <w:tcMar>
                  <w:left w:w="105" w:type="dxa"/>
                  <w:right w:w="105" w:type="dxa"/>
                </w:tcMar>
              </w:tcPr>
              <w:p w14:paraId="1AD030B1"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Hazardous</w:t>
                </w:r>
              </w:p>
            </w:tc>
            <w:tc>
              <w:tcPr>
                <w:tcW w:w="1559" w:type="dxa"/>
                <w:shd w:val="clear" w:color="auto" w:fill="auto"/>
                <w:tcMar>
                  <w:left w:w="105" w:type="dxa"/>
                  <w:right w:w="105" w:type="dxa"/>
                </w:tcMar>
              </w:tcPr>
              <w:p w14:paraId="3FE8B863"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20-01-33*</w:t>
                </w:r>
              </w:p>
            </w:tc>
            <w:tc>
              <w:tcPr>
                <w:tcW w:w="1965" w:type="dxa"/>
                <w:shd w:val="clear" w:color="auto" w:fill="auto"/>
                <w:tcMar>
                  <w:left w:w="105" w:type="dxa"/>
                  <w:right w:w="105" w:type="dxa"/>
                </w:tcMar>
              </w:tcPr>
              <w:p w14:paraId="5DF68FBF"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16-06-02*</w:t>
                </w:r>
              </w:p>
            </w:tc>
          </w:tr>
          <w:tr w:rsidR="00A4291C" w:rsidRPr="00A4291C" w14:paraId="53DB3BBC" w14:textId="77777777" w:rsidTr="00282C51">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20821C07"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Mercury containing</w:t>
                </w:r>
              </w:p>
            </w:tc>
            <w:tc>
              <w:tcPr>
                <w:tcW w:w="2268" w:type="dxa"/>
                <w:shd w:val="clear" w:color="auto" w:fill="auto"/>
                <w:tcMar>
                  <w:left w:w="105" w:type="dxa"/>
                  <w:right w:w="105" w:type="dxa"/>
                </w:tcMar>
              </w:tcPr>
              <w:p w14:paraId="3A7A081E"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Hazardous</w:t>
                </w:r>
              </w:p>
            </w:tc>
            <w:tc>
              <w:tcPr>
                <w:tcW w:w="1559" w:type="dxa"/>
                <w:shd w:val="clear" w:color="auto" w:fill="auto"/>
                <w:tcMar>
                  <w:left w:w="105" w:type="dxa"/>
                  <w:right w:w="105" w:type="dxa"/>
                </w:tcMar>
              </w:tcPr>
              <w:p w14:paraId="76963CFD"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20-01-33*</w:t>
                </w:r>
              </w:p>
            </w:tc>
            <w:tc>
              <w:tcPr>
                <w:tcW w:w="1965" w:type="dxa"/>
                <w:shd w:val="clear" w:color="auto" w:fill="auto"/>
                <w:tcMar>
                  <w:left w:w="105" w:type="dxa"/>
                  <w:right w:w="105" w:type="dxa"/>
                </w:tcMar>
              </w:tcPr>
              <w:p w14:paraId="7CAEAACB"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16-06-03*</w:t>
                </w:r>
              </w:p>
            </w:tc>
          </w:tr>
          <w:tr w:rsidR="00A4291C" w:rsidRPr="00A4291C" w14:paraId="734EE11F"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1C8F7D3B"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Alkaline</w:t>
                </w:r>
              </w:p>
            </w:tc>
            <w:tc>
              <w:tcPr>
                <w:tcW w:w="2268" w:type="dxa"/>
                <w:shd w:val="clear" w:color="auto" w:fill="auto"/>
                <w:tcMar>
                  <w:left w:w="105" w:type="dxa"/>
                  <w:right w:w="105" w:type="dxa"/>
                </w:tcMar>
              </w:tcPr>
              <w:p w14:paraId="47C4036B"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Non-hazardous</w:t>
                </w:r>
              </w:p>
            </w:tc>
            <w:tc>
              <w:tcPr>
                <w:tcW w:w="1559" w:type="dxa"/>
                <w:shd w:val="clear" w:color="auto" w:fill="auto"/>
                <w:tcMar>
                  <w:left w:w="105" w:type="dxa"/>
                  <w:right w:w="105" w:type="dxa"/>
                </w:tcMar>
              </w:tcPr>
              <w:p w14:paraId="45C4088C"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20-01-34</w:t>
                </w:r>
              </w:p>
            </w:tc>
            <w:tc>
              <w:tcPr>
                <w:tcW w:w="1965" w:type="dxa"/>
                <w:shd w:val="clear" w:color="auto" w:fill="auto"/>
                <w:tcMar>
                  <w:left w:w="105" w:type="dxa"/>
                  <w:right w:w="105" w:type="dxa"/>
                </w:tcMar>
              </w:tcPr>
              <w:p w14:paraId="0C88B33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16-06-04</w:t>
                </w:r>
              </w:p>
            </w:tc>
          </w:tr>
          <w:tr w:rsidR="00A4291C" w:rsidRPr="00A4291C" w14:paraId="22CB3285" w14:textId="77777777" w:rsidTr="00282C51">
            <w:trPr>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341F544E"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Other - Lithium or Lithium ion</w:t>
                </w:r>
              </w:p>
            </w:tc>
            <w:tc>
              <w:tcPr>
                <w:tcW w:w="2268" w:type="dxa"/>
                <w:shd w:val="clear" w:color="auto" w:fill="auto"/>
                <w:tcMar>
                  <w:left w:w="105" w:type="dxa"/>
                  <w:right w:w="105" w:type="dxa"/>
                </w:tcMar>
              </w:tcPr>
              <w:p w14:paraId="30F1F97F"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Non-hazardous</w:t>
                </w:r>
              </w:p>
            </w:tc>
            <w:tc>
              <w:tcPr>
                <w:tcW w:w="1559" w:type="dxa"/>
                <w:shd w:val="clear" w:color="auto" w:fill="auto"/>
                <w:tcMar>
                  <w:left w:w="105" w:type="dxa"/>
                  <w:right w:w="105" w:type="dxa"/>
                </w:tcMar>
              </w:tcPr>
              <w:p w14:paraId="4DFD49B7"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20-01-34</w:t>
                </w:r>
              </w:p>
            </w:tc>
            <w:tc>
              <w:tcPr>
                <w:tcW w:w="1965" w:type="dxa"/>
                <w:shd w:val="clear" w:color="auto" w:fill="auto"/>
                <w:tcMar>
                  <w:left w:w="105" w:type="dxa"/>
                  <w:right w:w="105" w:type="dxa"/>
                </w:tcMar>
              </w:tcPr>
              <w:p w14:paraId="0901BD63"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16-06-05</w:t>
                </w:r>
              </w:p>
            </w:tc>
          </w:tr>
          <w:tr w:rsidR="00A4291C" w:rsidRPr="00A4291C" w14:paraId="0EBBC666"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Mar>
                  <w:left w:w="105" w:type="dxa"/>
                  <w:right w:w="105" w:type="dxa"/>
                </w:tcMar>
              </w:tcPr>
              <w:p w14:paraId="685DCA97"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Mixed household-type batteries - separately collected</w:t>
                </w:r>
              </w:p>
            </w:tc>
            <w:tc>
              <w:tcPr>
                <w:tcW w:w="2268" w:type="dxa"/>
                <w:shd w:val="clear" w:color="auto" w:fill="auto"/>
                <w:tcMar>
                  <w:left w:w="105" w:type="dxa"/>
                  <w:right w:w="105" w:type="dxa"/>
                </w:tcMar>
              </w:tcPr>
              <w:p w14:paraId="7131FE7C"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Hazardous</w:t>
                </w:r>
              </w:p>
            </w:tc>
            <w:tc>
              <w:tcPr>
                <w:tcW w:w="1559" w:type="dxa"/>
                <w:shd w:val="clear" w:color="auto" w:fill="auto"/>
                <w:tcMar>
                  <w:left w:w="105" w:type="dxa"/>
                  <w:right w:w="105" w:type="dxa"/>
                </w:tcMar>
              </w:tcPr>
              <w:p w14:paraId="25FCD003"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20-01-33*</w:t>
                </w:r>
              </w:p>
            </w:tc>
            <w:tc>
              <w:tcPr>
                <w:tcW w:w="1965" w:type="dxa"/>
                <w:shd w:val="clear" w:color="auto" w:fill="auto"/>
                <w:tcMar>
                  <w:left w:w="105" w:type="dxa"/>
                  <w:right w:w="105" w:type="dxa"/>
                </w:tcMar>
              </w:tcPr>
              <w:p w14:paraId="6EC4CB65"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Not allowed</w:t>
                </w:r>
              </w:p>
            </w:tc>
          </w:tr>
        </w:tbl>
        <w:p w14:paraId="54B6EF53" w14:textId="77777777" w:rsidR="00A4291C" w:rsidRPr="00A4291C" w:rsidRDefault="00A4291C" w:rsidP="00DE0F8C">
          <w:pPr>
            <w:spacing w:line="259" w:lineRule="auto"/>
            <w:rPr>
              <w:rFonts w:ascii="Arial" w:eastAsia="Arial" w:hAnsi="Arial" w:cs="Arial"/>
              <w:color w:val="000000"/>
              <w:sz w:val="22"/>
              <w:szCs w:val="22"/>
            </w:rPr>
          </w:pPr>
        </w:p>
        <w:p w14:paraId="19AB92A9" w14:textId="5DF7A730" w:rsidR="00A4291C" w:rsidRPr="00CF6DF6" w:rsidRDefault="00A4291C" w:rsidP="00DE0F8C">
          <w:pPr>
            <w:spacing w:after="360" w:line="259" w:lineRule="auto"/>
            <w:rPr>
              <w:rFonts w:ascii="Arial" w:eastAsia="Arial" w:hAnsi="Arial" w:cs="Arial"/>
              <w:color w:val="000000"/>
            </w:rPr>
          </w:pPr>
          <w:r w:rsidRPr="00CF6DF6">
            <w:rPr>
              <w:rFonts w:ascii="Arial" w:eastAsia="Arial" w:hAnsi="Arial" w:cs="Arial"/>
              <w:color w:val="000000"/>
              <w:lang w:val="en"/>
            </w:rPr>
            <w:t>(*) An asterisk at the end of a code means the waste is hazardous.</w:t>
          </w:r>
        </w:p>
        <w:p w14:paraId="66261D3B" w14:textId="77777777" w:rsidR="00A4291C" w:rsidRPr="00A4291C" w:rsidRDefault="00A4291C" w:rsidP="00EC018B">
          <w:pPr>
            <w:keepNext/>
            <w:keepLines/>
            <w:spacing w:after="120" w:line="276" w:lineRule="auto"/>
            <w:outlineLvl w:val="0"/>
            <w:rPr>
              <w:rFonts w:asciiTheme="majorHAnsi" w:eastAsia="Arial" w:hAnsiTheme="majorHAnsi" w:cstheme="majorBidi"/>
              <w:b/>
              <w:color w:val="016574" w:themeColor="accent2"/>
              <w:sz w:val="40"/>
              <w:szCs w:val="32"/>
            </w:rPr>
          </w:pPr>
          <w:bookmarkStart w:id="14" w:name="_Toc184980451"/>
          <w:r w:rsidRPr="00A4291C">
            <w:rPr>
              <w:rFonts w:asciiTheme="majorHAnsi" w:eastAsia="Arial" w:hAnsiTheme="majorHAnsi" w:cstheme="majorBidi"/>
              <w:b/>
              <w:color w:val="016574" w:themeColor="accent2"/>
              <w:sz w:val="40"/>
              <w:szCs w:val="32"/>
              <w:lang w:val="en"/>
            </w:rPr>
            <w:lastRenderedPageBreak/>
            <w:t>Wastes from treating WEEE and WEEE components</w:t>
          </w:r>
          <w:bookmarkEnd w:id="14"/>
        </w:p>
        <w:p w14:paraId="28EFAEED" w14:textId="26AFA132" w:rsidR="00A4291C" w:rsidRPr="00A4291C" w:rsidRDefault="00A4291C" w:rsidP="00DE0F8C">
          <w:pPr>
            <w:spacing w:after="360"/>
            <w:rPr>
              <w:rFonts w:ascii="Arial" w:eastAsia="Arial" w:hAnsi="Arial" w:cs="Arial"/>
              <w:color w:val="000000"/>
              <w:sz w:val="22"/>
              <w:szCs w:val="22"/>
            </w:rPr>
          </w:pPr>
          <w:r w:rsidRPr="00A4291C">
            <w:rPr>
              <w:rFonts w:eastAsia="Arial"/>
            </w:rPr>
            <w:t xml:space="preserve">If you receive waste from another person, you should check that it is classified and described correctly. </w:t>
          </w:r>
          <w:r w:rsidRPr="00A4291C">
            <w:rPr>
              <w:rFonts w:eastAsia="Arial"/>
              <w:lang w:val="en"/>
            </w:rPr>
            <w:t xml:space="preserve">You must identify if any item of WEEE is POPs waste before you treat it. </w:t>
          </w:r>
        </w:p>
        <w:p w14:paraId="0E16796A" w14:textId="77777777" w:rsidR="00A4291C" w:rsidRPr="00A4291C" w:rsidRDefault="00A4291C" w:rsidP="00EC018B">
          <w:pPr>
            <w:keepNext/>
            <w:keepLines/>
            <w:spacing w:after="120" w:line="276" w:lineRule="auto"/>
            <w:outlineLvl w:val="1"/>
            <w:rPr>
              <w:rFonts w:ascii="Arial" w:eastAsia="Arial" w:hAnsi="Arial" w:cstheme="majorBidi"/>
              <w:b/>
              <w:color w:val="016574" w:themeColor="accent2"/>
              <w:sz w:val="32"/>
              <w:szCs w:val="26"/>
            </w:rPr>
          </w:pPr>
          <w:bookmarkStart w:id="15" w:name="_Toc184980452"/>
          <w:r w:rsidRPr="00A4291C">
            <w:rPr>
              <w:rFonts w:ascii="Arial" w:eastAsia="Arial" w:hAnsi="Arial" w:cstheme="majorBidi"/>
              <w:b/>
              <w:color w:val="016574" w:themeColor="accent2"/>
              <w:sz w:val="32"/>
              <w:szCs w:val="26"/>
              <w:lang w:val="en"/>
            </w:rPr>
            <w:t>When POPs affect the outputs from WEEE treatment</w:t>
          </w:r>
          <w:bookmarkEnd w:id="15"/>
        </w:p>
        <w:p w14:paraId="0F3C9DA5" w14:textId="5FCF8469" w:rsidR="00A4291C" w:rsidRPr="00A4291C" w:rsidRDefault="00A4291C" w:rsidP="00A4291C">
          <w:pPr>
            <w:spacing w:after="240"/>
            <w:rPr>
              <w:rFonts w:eastAsia="Arial"/>
            </w:rPr>
          </w:pPr>
          <w:r w:rsidRPr="00A4291C">
            <w:rPr>
              <w:rFonts w:eastAsia="Arial"/>
              <w:lang w:val="en-US"/>
            </w:rPr>
            <w:t xml:space="preserve">Where an item of WEEE is POPs waste, you must destroy or irreversibly transform the POPs. If you treat an item of WEEE containing POPs, unless the process destroys the POPs, the post-treatment output will still contain </w:t>
          </w:r>
          <w:r w:rsidR="00B04E6B" w:rsidRPr="00A4291C">
            <w:rPr>
              <w:rFonts w:eastAsia="Arial"/>
              <w:lang w:val="en-US"/>
            </w:rPr>
            <w:t>POPs,</w:t>
          </w:r>
          <w:r w:rsidRPr="00A4291C">
            <w:rPr>
              <w:rFonts w:eastAsia="Arial"/>
              <w:lang w:val="en-US"/>
            </w:rPr>
            <w:t xml:space="preserve"> and the outputs are classed as POPs waste. This applies even if the treatment has reduced the level of POPs to below the concentration limit.</w:t>
          </w:r>
        </w:p>
        <w:p w14:paraId="23787705" w14:textId="20935200" w:rsidR="00A4291C" w:rsidRPr="00A4291C" w:rsidRDefault="00A4291C" w:rsidP="00A4291C">
          <w:pPr>
            <w:spacing w:after="240"/>
            <w:rPr>
              <w:rFonts w:eastAsia="Arial"/>
            </w:rPr>
          </w:pPr>
          <w:r w:rsidRPr="00A4291C">
            <w:rPr>
              <w:rFonts w:eastAsia="Arial"/>
              <w:lang w:val="en-US"/>
            </w:rPr>
            <w:t xml:space="preserve">If you know the WEEE item is not POPs waste, it may still contain low levels of POPs. </w:t>
          </w:r>
          <w:r w:rsidR="001215E4" w:rsidRPr="00A4291C">
            <w:rPr>
              <w:rFonts w:eastAsia="Arial"/>
              <w:lang w:val="en-US"/>
            </w:rPr>
            <w:t>Therefore,</w:t>
          </w:r>
          <w:r w:rsidRPr="00A4291C">
            <w:rPr>
              <w:rFonts w:eastAsia="Arial"/>
              <w:lang w:val="en-US"/>
            </w:rPr>
            <w:t xml:space="preserve"> separating materials during treatment may result in increased concentrations of POPs in segregated outputs that contain plastics, cable or printed circuit boards. These segregated streams are POPs waste if the level of POPs is above the concentration limit. You must assess the concentration of POPs in these </w:t>
          </w:r>
          <w:r w:rsidR="001215E4" w:rsidRPr="00A4291C">
            <w:rPr>
              <w:rFonts w:eastAsia="Arial"/>
              <w:lang w:val="en-US"/>
            </w:rPr>
            <w:t>wastes or</w:t>
          </w:r>
          <w:r w:rsidRPr="00A4291C">
            <w:rPr>
              <w:rFonts w:eastAsia="Arial"/>
              <w:lang w:val="en-US"/>
            </w:rPr>
            <w:t xml:space="preserve"> manage it as POPs waste.  Therefore, assessment of waste items/articles is not an activity undertaken once only during the waste collection and treatment </w:t>
          </w:r>
          <w:r w:rsidR="00B04E6B" w:rsidRPr="00A4291C">
            <w:rPr>
              <w:rFonts w:eastAsia="Arial"/>
              <w:lang w:val="en-US"/>
            </w:rPr>
            <w:t>process but</w:t>
          </w:r>
          <w:r w:rsidRPr="00A4291C">
            <w:rPr>
              <w:rFonts w:eastAsia="Arial"/>
              <w:lang w:val="en-US"/>
            </w:rPr>
            <w:t xml:space="preserve"> may be required at several stages. </w:t>
          </w:r>
        </w:p>
        <w:p w14:paraId="5F7AB782" w14:textId="77777777" w:rsidR="00A4291C" w:rsidRPr="00A4291C" w:rsidRDefault="00A4291C" w:rsidP="00A4291C">
          <w:pPr>
            <w:spacing w:after="240"/>
            <w:rPr>
              <w:rFonts w:eastAsia="Arial"/>
            </w:rPr>
          </w:pPr>
          <w:r w:rsidRPr="00A4291C">
            <w:rPr>
              <w:rFonts w:eastAsia="Arial"/>
            </w:rPr>
            <w:t xml:space="preserve">Further guidance on identifying, classifying and disposing of POPs waste can be found at the following link:   </w:t>
          </w:r>
        </w:p>
        <w:p w14:paraId="01DED504" w14:textId="77777777" w:rsidR="00A4291C" w:rsidRPr="00A4291C" w:rsidRDefault="00A4291C" w:rsidP="00A4291C">
          <w:pPr>
            <w:spacing w:after="240"/>
            <w:rPr>
              <w:rFonts w:eastAsia="Arial"/>
              <w:color w:val="0000FF"/>
            </w:rPr>
          </w:pPr>
          <w:hyperlink r:id="rId18">
            <w:r w:rsidRPr="00CF6DF6">
              <w:rPr>
                <w:rFonts w:ascii="Arial" w:eastAsia="Arial" w:hAnsi="Arial" w:cs="Arial"/>
                <w:color w:val="016574" w:themeColor="hyperlink"/>
                <w:u w:val="single"/>
              </w:rPr>
              <w:t>https://www.gov.uk/guidance/dispose-of-waste-containing-persistent-organic-pollutants-pops</w:t>
            </w:r>
          </w:hyperlink>
        </w:p>
        <w:p w14:paraId="5C9EA550" w14:textId="77777777" w:rsidR="00A4291C" w:rsidRPr="00A4291C" w:rsidRDefault="00A4291C" w:rsidP="00A4291C">
          <w:pPr>
            <w:spacing w:after="240"/>
            <w:rPr>
              <w:rFonts w:eastAsia="Arial"/>
            </w:rPr>
          </w:pPr>
          <w:r w:rsidRPr="00A4291C">
            <w:rPr>
              <w:rFonts w:eastAsia="Arial"/>
              <w:lang w:val="en-US"/>
            </w:rPr>
            <w:t>If you treat an item of WEEE that has not been assessed to determine if it is POPs waste, you should manage the device and treatment outputs as POPs waste as a precaution.</w:t>
          </w:r>
        </w:p>
        <w:p w14:paraId="4D38C402" w14:textId="77777777" w:rsidR="00A4291C" w:rsidRPr="00A4291C" w:rsidRDefault="00A4291C" w:rsidP="001215E4">
          <w:pPr>
            <w:spacing w:after="240"/>
            <w:rPr>
              <w:rFonts w:eastAsia="Arial"/>
            </w:rPr>
          </w:pPr>
          <w:r w:rsidRPr="00A4291C">
            <w:rPr>
              <w:rFonts w:eastAsia="Arial"/>
              <w:lang w:val="en"/>
            </w:rPr>
            <w:t>If you have assessed your waste and are still not sure if a WEEE item is POPs waste, you should manage it as POPs waste.</w:t>
          </w:r>
        </w:p>
        <w:p w14:paraId="15C45852" w14:textId="77777777" w:rsidR="00A4291C" w:rsidRPr="00A4291C" w:rsidRDefault="00A4291C" w:rsidP="001215E4">
          <w:pPr>
            <w:spacing w:after="240"/>
            <w:rPr>
              <w:rFonts w:eastAsia="Arial"/>
            </w:rPr>
          </w:pPr>
          <w:r w:rsidRPr="00A4291C">
            <w:rPr>
              <w:rFonts w:eastAsia="Arial"/>
              <w:lang w:val="en"/>
            </w:rPr>
            <w:t>Here is some advice on how to classify some:</w:t>
          </w:r>
        </w:p>
        <w:p w14:paraId="287D023B" w14:textId="77777777" w:rsidR="00A4291C" w:rsidRPr="00A4291C" w:rsidRDefault="00A4291C" w:rsidP="001215E4">
          <w:pPr>
            <w:numPr>
              <w:ilvl w:val="0"/>
              <w:numId w:val="48"/>
            </w:numPr>
            <w:spacing w:after="240"/>
            <w:rPr>
              <w:rFonts w:eastAsia="Arial"/>
            </w:rPr>
          </w:pPr>
          <w:r w:rsidRPr="00A4291C">
            <w:rPr>
              <w:rFonts w:eastAsia="Arial"/>
              <w:lang w:val="en"/>
            </w:rPr>
            <w:t>components removed from WEEE before or after treatment</w:t>
          </w:r>
        </w:p>
        <w:p w14:paraId="5ECB4D00" w14:textId="77777777" w:rsidR="00A4291C" w:rsidRPr="00A4291C" w:rsidRDefault="00A4291C" w:rsidP="001215E4">
          <w:pPr>
            <w:numPr>
              <w:ilvl w:val="0"/>
              <w:numId w:val="48"/>
            </w:numPr>
            <w:spacing w:after="240"/>
            <w:rPr>
              <w:rFonts w:eastAsia="Arial"/>
            </w:rPr>
          </w:pPr>
          <w:r w:rsidRPr="00A4291C">
            <w:rPr>
              <w:rFonts w:eastAsia="Arial"/>
              <w:lang w:val="en-US"/>
            </w:rPr>
            <w:t xml:space="preserve">plastic containing </w:t>
          </w:r>
          <w:proofErr w:type="gramStart"/>
          <w:r w:rsidRPr="00A4291C">
            <w:rPr>
              <w:rFonts w:eastAsia="Arial"/>
              <w:lang w:val="en-US"/>
            </w:rPr>
            <w:t>wastes</w:t>
          </w:r>
          <w:proofErr w:type="gramEnd"/>
          <w:r w:rsidRPr="00A4291C">
            <w:rPr>
              <w:rFonts w:eastAsia="Arial"/>
              <w:lang w:val="en-US"/>
            </w:rPr>
            <w:t xml:space="preserve"> produced by the WEEE treatment</w:t>
          </w:r>
        </w:p>
        <w:p w14:paraId="3855E25A" w14:textId="77777777" w:rsidR="00A4291C" w:rsidRPr="00A4291C" w:rsidRDefault="00A4291C" w:rsidP="001215E4">
          <w:pPr>
            <w:spacing w:after="240"/>
            <w:rPr>
              <w:rFonts w:eastAsia="Arial"/>
            </w:rPr>
          </w:pPr>
          <w:r w:rsidRPr="00A4291C">
            <w:rPr>
              <w:rFonts w:eastAsia="Arial"/>
              <w:lang w:val="en"/>
            </w:rPr>
            <w:lastRenderedPageBreak/>
            <w:t>We have not provided advice on all waste streams from WEEE treatment.</w:t>
          </w:r>
        </w:p>
        <w:p w14:paraId="51D95902"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16" w:name="_Toc184980453"/>
          <w:r w:rsidRPr="00A4291C">
            <w:rPr>
              <w:rFonts w:ascii="Arial" w:eastAsia="Arial" w:hAnsi="Arial" w:cstheme="majorBidi"/>
              <w:b/>
              <w:color w:val="016574" w:themeColor="accent2"/>
              <w:sz w:val="32"/>
              <w:szCs w:val="26"/>
              <w:lang w:val="en"/>
            </w:rPr>
            <w:t>Printed circuit boards</w:t>
          </w:r>
          <w:bookmarkEnd w:id="16"/>
        </w:p>
        <w:p w14:paraId="1A38720D" w14:textId="77777777" w:rsidR="00A4291C" w:rsidRPr="00A4291C" w:rsidRDefault="00A4291C" w:rsidP="00A4291C">
          <w:pPr>
            <w:spacing w:after="240"/>
            <w:rPr>
              <w:rFonts w:eastAsia="Arial"/>
            </w:rPr>
          </w:pPr>
          <w:r w:rsidRPr="00A4291C">
            <w:rPr>
              <w:rFonts w:eastAsia="Arial"/>
              <w:lang w:val="en-US"/>
            </w:rPr>
            <w:t>We expect printed circuit boards to contain levels of POPs, hazardous brominated flame retardants and antimony trioxide above concentration limits. Nickel may also be present.</w:t>
          </w:r>
        </w:p>
        <w:p w14:paraId="027C2BC7" w14:textId="77777777" w:rsidR="00A4291C" w:rsidRPr="00A4291C" w:rsidRDefault="00A4291C" w:rsidP="00A4291C">
          <w:pPr>
            <w:spacing w:after="240"/>
            <w:rPr>
              <w:rFonts w:eastAsia="Arial"/>
            </w:rPr>
          </w:pPr>
          <w:r w:rsidRPr="00A4291C">
            <w:rPr>
              <w:rFonts w:eastAsia="Arial"/>
              <w:lang w:val="en"/>
            </w:rPr>
            <w:t xml:space="preserve">This advice also applies to printed circuit boards removed or separated during waste treatment. Use this code to classify </w:t>
          </w:r>
          <w:proofErr w:type="gramStart"/>
          <w:r w:rsidRPr="00A4291C">
            <w:rPr>
              <w:rFonts w:eastAsia="Arial"/>
              <w:lang w:val="en"/>
            </w:rPr>
            <w:t>the waste</w:t>
          </w:r>
          <w:proofErr w:type="gramEnd"/>
          <w:r w:rsidRPr="00A4291C">
            <w:rPr>
              <w:rFonts w:eastAsia="Arial"/>
              <w:lang w:val="en"/>
            </w:rPr>
            <w:t>.</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printed circuit boards."/>
          </w:tblPr>
          <w:tblGrid>
            <w:gridCol w:w="2580"/>
            <w:gridCol w:w="2205"/>
            <w:gridCol w:w="2160"/>
            <w:gridCol w:w="2805"/>
          </w:tblGrid>
          <w:tr w:rsidR="00A4291C" w:rsidRPr="00A4291C" w14:paraId="0D3A7219"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580" w:type="dxa"/>
                <w:shd w:val="clear" w:color="auto" w:fill="auto"/>
                <w:tcMar>
                  <w:left w:w="105" w:type="dxa"/>
                  <w:right w:w="105" w:type="dxa"/>
                </w:tcMar>
              </w:tcPr>
              <w:p w14:paraId="70A8169B"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205" w:type="dxa"/>
                <w:shd w:val="clear" w:color="auto" w:fill="auto"/>
                <w:tcMar>
                  <w:left w:w="105" w:type="dxa"/>
                  <w:right w:w="105" w:type="dxa"/>
                </w:tcMar>
              </w:tcPr>
              <w:p w14:paraId="7B7823AE"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2160" w:type="dxa"/>
                <w:shd w:val="clear" w:color="auto" w:fill="auto"/>
                <w:tcMar>
                  <w:left w:w="105" w:type="dxa"/>
                  <w:right w:w="105" w:type="dxa"/>
                </w:tcMar>
              </w:tcPr>
              <w:p w14:paraId="4AFDC638"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2805" w:type="dxa"/>
                <w:shd w:val="clear" w:color="auto" w:fill="auto"/>
                <w:tcMar>
                  <w:left w:w="105" w:type="dxa"/>
                  <w:right w:w="105" w:type="dxa"/>
                </w:tcMar>
              </w:tcPr>
              <w:p w14:paraId="04AA1D80"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10E24A70" w14:textId="77777777" w:rsidTr="00AE558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580" w:type="dxa"/>
                <w:shd w:val="clear" w:color="auto" w:fill="auto"/>
                <w:tcMar>
                  <w:left w:w="105" w:type="dxa"/>
                  <w:right w:w="105" w:type="dxa"/>
                </w:tcMar>
              </w:tcPr>
              <w:p w14:paraId="1637DE36"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Printed circuit boards</w:t>
                </w:r>
              </w:p>
            </w:tc>
            <w:tc>
              <w:tcPr>
                <w:tcW w:w="2205" w:type="dxa"/>
                <w:shd w:val="clear" w:color="auto" w:fill="auto"/>
                <w:tcMar>
                  <w:left w:w="105" w:type="dxa"/>
                  <w:right w:w="105" w:type="dxa"/>
                </w:tcMar>
              </w:tcPr>
              <w:p w14:paraId="785468C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2160" w:type="dxa"/>
                <w:shd w:val="clear" w:color="auto" w:fill="auto"/>
                <w:tcMar>
                  <w:left w:w="105" w:type="dxa"/>
                  <w:right w:w="105" w:type="dxa"/>
                </w:tcMar>
              </w:tcPr>
              <w:p w14:paraId="594465BF"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2805" w:type="dxa"/>
                <w:shd w:val="clear" w:color="auto" w:fill="auto"/>
                <w:tcMar>
                  <w:left w:w="105" w:type="dxa"/>
                  <w:right w:w="105" w:type="dxa"/>
                </w:tcMar>
              </w:tcPr>
              <w:p w14:paraId="300026EE"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16 02 15*</w:t>
                </w:r>
              </w:p>
            </w:tc>
          </w:tr>
        </w:tbl>
        <w:p w14:paraId="544E5339" w14:textId="77777777" w:rsidR="00A4291C" w:rsidRPr="00A4291C" w:rsidRDefault="00A4291C" w:rsidP="00A4291C">
          <w:pPr>
            <w:spacing w:after="160" w:line="259" w:lineRule="auto"/>
            <w:rPr>
              <w:rFonts w:ascii="Arial" w:eastAsia="Arial" w:hAnsi="Arial" w:cs="Arial"/>
              <w:color w:val="000000"/>
              <w:sz w:val="22"/>
              <w:szCs w:val="22"/>
            </w:rPr>
          </w:pPr>
        </w:p>
        <w:p w14:paraId="5BDB95CF"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120F19D1"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17" w:name="_Toc184980454"/>
          <w:r w:rsidRPr="00A4291C">
            <w:rPr>
              <w:rFonts w:ascii="Arial" w:eastAsia="Arial" w:hAnsi="Arial" w:cstheme="majorBidi"/>
              <w:b/>
              <w:color w:val="016574" w:themeColor="accent2"/>
              <w:sz w:val="32"/>
              <w:szCs w:val="26"/>
              <w:lang w:val="en"/>
            </w:rPr>
            <w:t>Cables and granulated cable plastics</w:t>
          </w:r>
          <w:bookmarkEnd w:id="17"/>
        </w:p>
        <w:p w14:paraId="685E24D0" w14:textId="77777777" w:rsidR="00A4291C" w:rsidRPr="00A4291C" w:rsidRDefault="00A4291C" w:rsidP="00A4291C">
          <w:pPr>
            <w:spacing w:after="240"/>
            <w:rPr>
              <w:rFonts w:eastAsia="Arial"/>
            </w:rPr>
          </w:pPr>
          <w:r w:rsidRPr="00A4291C">
            <w:rPr>
              <w:rFonts w:eastAsia="Arial"/>
              <w:lang w:val="en-US"/>
            </w:rPr>
            <w:t xml:space="preserve">We expect internal and external cables and wiring to contain levels of POPs, hazardous brominated flame retardants, antimony trioxide, </w:t>
          </w:r>
          <w:proofErr w:type="spellStart"/>
          <w:r w:rsidRPr="00A4291C">
            <w:rPr>
              <w:rFonts w:eastAsia="Arial"/>
              <w:lang w:val="en-US"/>
            </w:rPr>
            <w:t>plasticisers</w:t>
          </w:r>
          <w:proofErr w:type="spellEnd"/>
          <w:r w:rsidRPr="00A4291C">
            <w:rPr>
              <w:rFonts w:eastAsia="Arial"/>
              <w:lang w:val="en-US"/>
            </w:rPr>
            <w:t>, and other chemicals above concentration limits.</w:t>
          </w:r>
        </w:p>
        <w:p w14:paraId="7EB7411C" w14:textId="77777777" w:rsidR="00A4291C" w:rsidRPr="00A4291C" w:rsidRDefault="00A4291C" w:rsidP="00A4291C">
          <w:pPr>
            <w:spacing w:after="240"/>
            <w:rPr>
              <w:rFonts w:eastAsia="Arial"/>
            </w:rPr>
          </w:pPr>
          <w:r w:rsidRPr="00A4291C">
            <w:rPr>
              <w:rFonts w:eastAsia="Arial"/>
              <w:lang w:val="en"/>
            </w:rPr>
            <w:t>This advice also applies to cables or wiring removed from devices or separated during waste treatment.</w:t>
          </w:r>
        </w:p>
        <w:p w14:paraId="5749D18C" w14:textId="77777777" w:rsidR="00A4291C" w:rsidRPr="00A4291C" w:rsidRDefault="00A4291C" w:rsidP="00A4291C">
          <w:pPr>
            <w:spacing w:after="240"/>
            <w:rPr>
              <w:rFonts w:eastAsia="Arial"/>
            </w:rPr>
          </w:pPr>
          <w:r w:rsidRPr="00A4291C">
            <w:rPr>
              <w:rFonts w:eastAsia="Arial"/>
              <w:lang w:val="en"/>
            </w:rPr>
            <w:t xml:space="preserve">Use this code to classify </w:t>
          </w:r>
          <w:proofErr w:type="gramStart"/>
          <w:r w:rsidRPr="00A4291C">
            <w:rPr>
              <w:rFonts w:eastAsia="Arial"/>
              <w:lang w:val="en"/>
            </w:rPr>
            <w:t>the waste</w:t>
          </w:r>
          <w:proofErr w:type="gramEnd"/>
          <w:r w:rsidRPr="00A4291C">
            <w:rPr>
              <w:rFonts w:eastAsia="Arial"/>
              <w:lang w:val="en"/>
            </w:rPr>
            <w:t>.</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cables from WEEE."/>
          </w:tblPr>
          <w:tblGrid>
            <w:gridCol w:w="2400"/>
            <w:gridCol w:w="2205"/>
            <w:gridCol w:w="2160"/>
            <w:gridCol w:w="3060"/>
          </w:tblGrid>
          <w:tr w:rsidR="00A4291C" w:rsidRPr="00A4291C" w14:paraId="67D3E509"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tcMar>
                  <w:left w:w="105" w:type="dxa"/>
                  <w:right w:w="105" w:type="dxa"/>
                </w:tcMar>
              </w:tcPr>
              <w:p w14:paraId="45F8C3CC"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205" w:type="dxa"/>
                <w:shd w:val="clear" w:color="auto" w:fill="auto"/>
                <w:tcMar>
                  <w:left w:w="105" w:type="dxa"/>
                  <w:right w:w="105" w:type="dxa"/>
                </w:tcMar>
              </w:tcPr>
              <w:p w14:paraId="737C3E13"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2160" w:type="dxa"/>
                <w:shd w:val="clear" w:color="auto" w:fill="auto"/>
                <w:tcMar>
                  <w:left w:w="105" w:type="dxa"/>
                  <w:right w:w="105" w:type="dxa"/>
                </w:tcMar>
              </w:tcPr>
              <w:p w14:paraId="00665E5C"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3060" w:type="dxa"/>
                <w:shd w:val="clear" w:color="auto" w:fill="auto"/>
                <w:tcMar>
                  <w:left w:w="105" w:type="dxa"/>
                  <w:right w:w="105" w:type="dxa"/>
                </w:tcMar>
              </w:tcPr>
              <w:p w14:paraId="723EA1D9"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5F48D564"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tcMar>
                  <w:left w:w="105" w:type="dxa"/>
                  <w:right w:w="105" w:type="dxa"/>
                </w:tcMar>
              </w:tcPr>
              <w:p w14:paraId="47068560"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Cables from WEEE </w:t>
                </w:r>
              </w:p>
            </w:tc>
            <w:tc>
              <w:tcPr>
                <w:tcW w:w="2205" w:type="dxa"/>
                <w:shd w:val="clear" w:color="auto" w:fill="auto"/>
                <w:tcMar>
                  <w:left w:w="105" w:type="dxa"/>
                  <w:right w:w="105" w:type="dxa"/>
                </w:tcMar>
              </w:tcPr>
              <w:p w14:paraId="60379E6C"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2160" w:type="dxa"/>
                <w:shd w:val="clear" w:color="auto" w:fill="auto"/>
                <w:tcMar>
                  <w:left w:w="105" w:type="dxa"/>
                  <w:right w:w="105" w:type="dxa"/>
                </w:tcMar>
              </w:tcPr>
              <w:p w14:paraId="50C57A5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3060" w:type="dxa"/>
                <w:shd w:val="clear" w:color="auto" w:fill="auto"/>
                <w:tcMar>
                  <w:left w:w="105" w:type="dxa"/>
                  <w:right w:w="105" w:type="dxa"/>
                </w:tcMar>
              </w:tcPr>
              <w:p w14:paraId="42F22A2D"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 02 15*</w:t>
                </w:r>
              </w:p>
            </w:tc>
          </w:tr>
        </w:tbl>
        <w:p w14:paraId="082F3D64" w14:textId="77777777" w:rsidR="00A4291C" w:rsidRPr="00A4291C" w:rsidRDefault="00A4291C" w:rsidP="00A4291C">
          <w:pPr>
            <w:spacing w:after="240"/>
            <w:rPr>
              <w:rFonts w:eastAsia="Arial"/>
              <w:lang w:val="en"/>
            </w:rPr>
          </w:pPr>
        </w:p>
        <w:p w14:paraId="1752D390" w14:textId="77777777" w:rsidR="00A4291C" w:rsidRPr="00A4291C" w:rsidRDefault="00A4291C" w:rsidP="00A4291C">
          <w:pPr>
            <w:spacing w:after="240"/>
            <w:rPr>
              <w:rFonts w:eastAsia="Arial"/>
            </w:rPr>
          </w:pPr>
          <w:r w:rsidRPr="00A4291C">
            <w:rPr>
              <w:rFonts w:eastAsia="Arial"/>
              <w:lang w:val="en"/>
            </w:rPr>
            <w:t>Use this code to classify waste granulated cable plastics, from which copper and other non-plastic materials have been removed.</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cable plastic from WEEE. "/>
          </w:tblPr>
          <w:tblGrid>
            <w:gridCol w:w="2405"/>
            <w:gridCol w:w="2126"/>
            <w:gridCol w:w="2268"/>
            <w:gridCol w:w="2977"/>
          </w:tblGrid>
          <w:tr w:rsidR="00A4291C" w:rsidRPr="00A4291C" w14:paraId="2A596815"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Mar>
                  <w:left w:w="105" w:type="dxa"/>
                  <w:right w:w="105" w:type="dxa"/>
                </w:tcMar>
              </w:tcPr>
              <w:p w14:paraId="5F8AF18F"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126" w:type="dxa"/>
                <w:shd w:val="clear" w:color="auto" w:fill="auto"/>
                <w:tcMar>
                  <w:left w:w="105" w:type="dxa"/>
                  <w:right w:w="105" w:type="dxa"/>
                </w:tcMar>
              </w:tcPr>
              <w:p w14:paraId="7061E844"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2268" w:type="dxa"/>
                <w:shd w:val="clear" w:color="auto" w:fill="auto"/>
                <w:tcMar>
                  <w:left w:w="105" w:type="dxa"/>
                  <w:right w:w="105" w:type="dxa"/>
                </w:tcMar>
              </w:tcPr>
              <w:p w14:paraId="7718796D"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2977" w:type="dxa"/>
                <w:shd w:val="clear" w:color="auto" w:fill="auto"/>
                <w:tcMar>
                  <w:left w:w="105" w:type="dxa"/>
                  <w:right w:w="105" w:type="dxa"/>
                </w:tcMar>
              </w:tcPr>
              <w:p w14:paraId="00F74D34"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05A47A30"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Mar>
                  <w:left w:w="105" w:type="dxa"/>
                  <w:right w:w="105" w:type="dxa"/>
                </w:tcMar>
              </w:tcPr>
              <w:p w14:paraId="42FABD34"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lastRenderedPageBreak/>
                  <w:t xml:space="preserve">Cable plastics from WEEE </w:t>
                </w:r>
              </w:p>
            </w:tc>
            <w:tc>
              <w:tcPr>
                <w:tcW w:w="2126" w:type="dxa"/>
                <w:shd w:val="clear" w:color="auto" w:fill="auto"/>
                <w:tcMar>
                  <w:left w:w="105" w:type="dxa"/>
                  <w:right w:w="105" w:type="dxa"/>
                </w:tcMar>
              </w:tcPr>
              <w:p w14:paraId="2839557D"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Non-hazardous/POPs </w:t>
                </w:r>
              </w:p>
            </w:tc>
            <w:tc>
              <w:tcPr>
                <w:tcW w:w="2268" w:type="dxa"/>
                <w:shd w:val="clear" w:color="auto" w:fill="auto"/>
                <w:tcMar>
                  <w:left w:w="105" w:type="dxa"/>
                  <w:right w:w="105" w:type="dxa"/>
                </w:tcMar>
              </w:tcPr>
              <w:p w14:paraId="3A915342"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2977" w:type="dxa"/>
                <w:shd w:val="clear" w:color="auto" w:fill="auto"/>
                <w:tcMar>
                  <w:left w:w="105" w:type="dxa"/>
                  <w:right w:w="105" w:type="dxa"/>
                </w:tcMar>
              </w:tcPr>
              <w:p w14:paraId="7433E35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19 12 04</w:t>
                </w:r>
              </w:p>
            </w:tc>
          </w:tr>
        </w:tbl>
        <w:p w14:paraId="11F03C50" w14:textId="77777777" w:rsidR="00A4291C" w:rsidRPr="00A4291C" w:rsidRDefault="00A4291C" w:rsidP="00A4291C">
          <w:pPr>
            <w:spacing w:after="160" w:line="259" w:lineRule="auto"/>
            <w:rPr>
              <w:rFonts w:ascii="Arial" w:eastAsia="Arial" w:hAnsi="Arial" w:cs="Arial"/>
              <w:color w:val="000000"/>
              <w:sz w:val="22"/>
              <w:szCs w:val="22"/>
            </w:rPr>
          </w:pPr>
        </w:p>
        <w:p w14:paraId="4846775E"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525E34BA" w14:textId="77777777" w:rsidR="00A4291C" w:rsidRPr="00A4291C" w:rsidRDefault="00A4291C" w:rsidP="00A4291C">
          <w:pPr>
            <w:spacing w:after="240"/>
            <w:rPr>
              <w:rFonts w:eastAsia="Arial"/>
            </w:rPr>
          </w:pPr>
          <w:r w:rsidRPr="00A4291C">
            <w:rPr>
              <w:rFonts w:eastAsia="Arial"/>
              <w:lang w:val="en-US"/>
            </w:rPr>
            <w:t xml:space="preserve">If the cable plastics contain non-plastic materials, like copper, the waste is mixed. You must also check the concentration of hazardous chemicals and use the appropriate 19 12 11* or 19 12 12 </w:t>
          </w:r>
          <w:proofErr w:type="gramStart"/>
          <w:r w:rsidRPr="00A4291C">
            <w:rPr>
              <w:rFonts w:eastAsia="Arial"/>
              <w:lang w:val="en-US"/>
            </w:rPr>
            <w:t>code</w:t>
          </w:r>
          <w:proofErr w:type="gramEnd"/>
          <w:r w:rsidRPr="00A4291C">
            <w:rPr>
              <w:rFonts w:eastAsia="Arial"/>
              <w:lang w:val="en-US"/>
            </w:rPr>
            <w:t xml:space="preserve"> instead of 19 12 04.</w:t>
          </w:r>
        </w:p>
        <w:p w14:paraId="0319ACC6"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18" w:name="_Toc184980455"/>
          <w:r w:rsidRPr="00A4291C">
            <w:rPr>
              <w:rFonts w:ascii="Arial" w:eastAsia="Arial" w:hAnsi="Arial" w:cstheme="majorBidi"/>
              <w:b/>
              <w:color w:val="016574" w:themeColor="accent2"/>
              <w:sz w:val="32"/>
              <w:szCs w:val="26"/>
              <w:lang w:val="en"/>
            </w:rPr>
            <w:t>Plastic cases removed from display devices</w:t>
          </w:r>
          <w:bookmarkEnd w:id="18"/>
        </w:p>
        <w:p w14:paraId="0B05DC4F" w14:textId="77777777" w:rsidR="00A4291C" w:rsidRPr="00A4291C" w:rsidRDefault="00A4291C" w:rsidP="00A4291C">
          <w:pPr>
            <w:spacing w:after="240"/>
            <w:rPr>
              <w:rFonts w:eastAsia="Arial"/>
            </w:rPr>
          </w:pPr>
          <w:r w:rsidRPr="00A4291C">
            <w:rPr>
              <w:rFonts w:eastAsia="Arial"/>
              <w:lang w:val="en-US"/>
            </w:rPr>
            <w:t>Plastic cases from display devices, including both flat panel displays and cathode ray tubes, will contain hazardous chemicals and POPs above concentration limits. These are hazardous and POPs waste.</w:t>
          </w:r>
        </w:p>
        <w:p w14:paraId="7AE174E6" w14:textId="77777777" w:rsidR="00A4291C" w:rsidRPr="00A4291C" w:rsidRDefault="00A4291C" w:rsidP="00A4291C">
          <w:pPr>
            <w:spacing w:after="240"/>
            <w:rPr>
              <w:rFonts w:eastAsia="Arial"/>
            </w:rPr>
          </w:pPr>
          <w:r w:rsidRPr="00A4291C">
            <w:rPr>
              <w:rFonts w:eastAsia="Arial"/>
              <w:lang w:val="en-US"/>
            </w:rPr>
            <w:t xml:space="preserve">This advice also applies to compact, </w:t>
          </w:r>
          <w:proofErr w:type="gramStart"/>
          <w:r w:rsidRPr="00A4291C">
            <w:rPr>
              <w:rFonts w:eastAsia="Arial"/>
              <w:lang w:val="en-US"/>
            </w:rPr>
            <w:t>baled</w:t>
          </w:r>
          <w:proofErr w:type="gramEnd"/>
          <w:r w:rsidRPr="00A4291C">
            <w:rPr>
              <w:rFonts w:eastAsia="Arial"/>
              <w:lang w:val="en-US"/>
            </w:rPr>
            <w:t xml:space="preserve"> or shredded plastics from display devices.</w:t>
          </w:r>
        </w:p>
        <w:p w14:paraId="364EA736" w14:textId="77777777" w:rsidR="00A4291C" w:rsidRPr="00A4291C" w:rsidRDefault="00A4291C" w:rsidP="00A4291C">
          <w:pPr>
            <w:spacing w:after="240"/>
            <w:rPr>
              <w:rFonts w:eastAsia="Arial"/>
            </w:rPr>
          </w:pPr>
          <w:r w:rsidRPr="00A4291C">
            <w:rPr>
              <w:rFonts w:eastAsia="Arial"/>
              <w:lang w:val="en"/>
            </w:rPr>
            <w:t xml:space="preserve">Use this code to classify </w:t>
          </w:r>
          <w:proofErr w:type="gramStart"/>
          <w:r w:rsidRPr="00A4291C">
            <w:rPr>
              <w:rFonts w:eastAsia="Arial"/>
              <w:lang w:val="en"/>
            </w:rPr>
            <w:t>the waste</w:t>
          </w:r>
          <w:proofErr w:type="gramEnd"/>
          <w:r w:rsidRPr="00A4291C">
            <w:rPr>
              <w:rFonts w:eastAsia="Arial"/>
              <w:lang w:val="en"/>
            </w:rPr>
            <w:t>.</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plastics from display devices. "/>
          </w:tblPr>
          <w:tblGrid>
            <w:gridCol w:w="2689"/>
            <w:gridCol w:w="2231"/>
            <w:gridCol w:w="1860"/>
            <w:gridCol w:w="3280"/>
          </w:tblGrid>
          <w:tr w:rsidR="00A4291C" w:rsidRPr="00A4291C" w14:paraId="08A9AA34"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0271A381"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231" w:type="dxa"/>
                <w:shd w:val="clear" w:color="auto" w:fill="auto"/>
                <w:tcMar>
                  <w:left w:w="105" w:type="dxa"/>
                  <w:right w:w="105" w:type="dxa"/>
                </w:tcMar>
              </w:tcPr>
              <w:p w14:paraId="5C9A3A05"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860" w:type="dxa"/>
                <w:shd w:val="clear" w:color="auto" w:fill="auto"/>
                <w:tcMar>
                  <w:left w:w="105" w:type="dxa"/>
                  <w:right w:w="105" w:type="dxa"/>
                </w:tcMar>
              </w:tcPr>
              <w:p w14:paraId="23B0A777"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3280" w:type="dxa"/>
                <w:shd w:val="clear" w:color="auto" w:fill="auto"/>
                <w:tcMar>
                  <w:left w:w="105" w:type="dxa"/>
                  <w:right w:w="105" w:type="dxa"/>
                </w:tcMar>
              </w:tcPr>
              <w:p w14:paraId="4B153BF3"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136889B2"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6FF346F5"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Plastics from display devices</w:t>
                </w:r>
              </w:p>
            </w:tc>
            <w:tc>
              <w:tcPr>
                <w:tcW w:w="2231" w:type="dxa"/>
                <w:shd w:val="clear" w:color="auto" w:fill="auto"/>
                <w:tcMar>
                  <w:left w:w="105" w:type="dxa"/>
                  <w:right w:w="105" w:type="dxa"/>
                </w:tcMar>
              </w:tcPr>
              <w:p w14:paraId="62F61C7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860" w:type="dxa"/>
                <w:shd w:val="clear" w:color="auto" w:fill="auto"/>
                <w:tcMar>
                  <w:left w:w="105" w:type="dxa"/>
                  <w:right w:w="105" w:type="dxa"/>
                </w:tcMar>
              </w:tcPr>
              <w:p w14:paraId="16ADE336"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3280" w:type="dxa"/>
                <w:shd w:val="clear" w:color="auto" w:fill="auto"/>
                <w:tcMar>
                  <w:left w:w="105" w:type="dxa"/>
                  <w:right w:w="105" w:type="dxa"/>
                </w:tcMar>
              </w:tcPr>
              <w:p w14:paraId="27F23F06"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16-02-15*</w:t>
                </w:r>
              </w:p>
            </w:tc>
          </w:tr>
        </w:tbl>
        <w:p w14:paraId="2C773434" w14:textId="77777777" w:rsidR="00A4291C" w:rsidRPr="00A4291C" w:rsidRDefault="00A4291C" w:rsidP="00A4291C">
          <w:pPr>
            <w:spacing w:after="160" w:line="259" w:lineRule="auto"/>
            <w:rPr>
              <w:rFonts w:ascii="Arial" w:eastAsia="Arial" w:hAnsi="Arial" w:cs="Arial"/>
              <w:color w:val="000000"/>
              <w:sz w:val="22"/>
              <w:szCs w:val="22"/>
            </w:rPr>
          </w:pPr>
        </w:p>
        <w:p w14:paraId="741A6DC1"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34F16E2A" w14:textId="6A738B55" w:rsidR="00A4291C" w:rsidRPr="00A4291C" w:rsidRDefault="00A4291C" w:rsidP="00A4291C">
          <w:pPr>
            <w:spacing w:after="240"/>
            <w:rPr>
              <w:rFonts w:eastAsia="Arial"/>
            </w:rPr>
          </w:pPr>
          <w:r w:rsidRPr="00A4291C">
            <w:rPr>
              <w:rFonts w:eastAsia="Arial"/>
              <w:lang w:val="en-US"/>
            </w:rPr>
            <w:t xml:space="preserve">Mixed </w:t>
          </w:r>
          <w:proofErr w:type="gramStart"/>
          <w:r w:rsidRPr="00A4291C">
            <w:rPr>
              <w:rFonts w:eastAsia="Arial"/>
              <w:lang w:val="en-US"/>
            </w:rPr>
            <w:t>wastes</w:t>
          </w:r>
          <w:proofErr w:type="gramEnd"/>
          <w:r w:rsidRPr="00A4291C">
            <w:rPr>
              <w:rFonts w:eastAsia="Arial"/>
              <w:lang w:val="en-US"/>
            </w:rPr>
            <w:t xml:space="preserve">, containing plastic from the treatment of WEEE devices that are hazardous and POPs </w:t>
          </w:r>
          <w:r w:rsidR="003E27DE" w:rsidRPr="00A4291C">
            <w:rPr>
              <w:rFonts w:eastAsia="Arial"/>
              <w:lang w:val="en-US"/>
            </w:rPr>
            <w:t>waste.</w:t>
          </w:r>
        </w:p>
        <w:p w14:paraId="2D1C0E36" w14:textId="77777777" w:rsidR="00A4291C" w:rsidRPr="00A4291C" w:rsidRDefault="00A4291C" w:rsidP="00A4291C">
          <w:pPr>
            <w:spacing w:after="240"/>
            <w:rPr>
              <w:rFonts w:eastAsia="Arial"/>
            </w:rPr>
          </w:pPr>
          <w:r w:rsidRPr="00A4291C">
            <w:rPr>
              <w:rFonts w:eastAsia="Arial"/>
              <w:lang w:val="en-US"/>
            </w:rPr>
            <w:t xml:space="preserve">This waste type, which includes </w:t>
          </w:r>
          <w:proofErr w:type="gramStart"/>
          <w:r w:rsidRPr="00A4291C">
            <w:rPr>
              <w:rFonts w:eastAsia="Arial"/>
              <w:lang w:val="en-US"/>
            </w:rPr>
            <w:t>wastes</w:t>
          </w:r>
          <w:proofErr w:type="gramEnd"/>
          <w:r w:rsidRPr="00A4291C">
            <w:rPr>
              <w:rFonts w:eastAsia="Arial"/>
              <w:lang w:val="en-US"/>
            </w:rPr>
            <w:t xml:space="preserve"> produced from treating devices that are hazardous and POPs waste, remains </w:t>
          </w:r>
          <w:proofErr w:type="gramStart"/>
          <w:r w:rsidRPr="00A4291C">
            <w:rPr>
              <w:rFonts w:eastAsia="Arial"/>
              <w:lang w:val="en-US"/>
            </w:rPr>
            <w:t>a hazardous</w:t>
          </w:r>
          <w:proofErr w:type="gramEnd"/>
          <w:r w:rsidRPr="00A4291C">
            <w:rPr>
              <w:rFonts w:eastAsia="Arial"/>
              <w:lang w:val="en-US"/>
            </w:rPr>
            <w:t xml:space="preserve"> and POPs waste.</w:t>
          </w:r>
        </w:p>
        <w:p w14:paraId="2859F600" w14:textId="77777777" w:rsidR="00A4291C" w:rsidRPr="00A4291C" w:rsidRDefault="00A4291C" w:rsidP="00A4291C">
          <w:pPr>
            <w:spacing w:after="240"/>
            <w:rPr>
              <w:rFonts w:eastAsia="Arial"/>
            </w:rPr>
          </w:pPr>
          <w:r w:rsidRPr="00A4291C">
            <w:rPr>
              <w:rFonts w:eastAsia="Arial"/>
              <w:lang w:val="en-US"/>
            </w:rPr>
            <w:t xml:space="preserve">An example of a hazardous and POPs waste is mixed waste from treating small mixed WEEE. This is because it contains </w:t>
          </w:r>
          <w:proofErr w:type="gramStart"/>
          <w:r w:rsidRPr="00A4291C">
            <w:rPr>
              <w:rFonts w:eastAsia="Arial"/>
              <w:lang w:val="en-US"/>
            </w:rPr>
            <w:t>the contaminated</w:t>
          </w:r>
          <w:proofErr w:type="gramEnd"/>
          <w:r w:rsidRPr="00A4291C">
            <w:rPr>
              <w:rFonts w:eastAsia="Arial"/>
              <w:lang w:val="en-US"/>
            </w:rPr>
            <w:t xml:space="preserve"> plastics.</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mixed waste from treating WEEE containing hazardous components and POPs. "/>
          </w:tblPr>
          <w:tblGrid>
            <w:gridCol w:w="2689"/>
            <w:gridCol w:w="2126"/>
            <w:gridCol w:w="1843"/>
            <w:gridCol w:w="3402"/>
          </w:tblGrid>
          <w:tr w:rsidR="00A4291C" w:rsidRPr="00A4291C" w14:paraId="37A4C2FE"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1E3F2350"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126" w:type="dxa"/>
                <w:shd w:val="clear" w:color="auto" w:fill="auto"/>
                <w:tcMar>
                  <w:left w:w="105" w:type="dxa"/>
                  <w:right w:w="105" w:type="dxa"/>
                </w:tcMar>
              </w:tcPr>
              <w:p w14:paraId="773A6836"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843" w:type="dxa"/>
                <w:shd w:val="clear" w:color="auto" w:fill="auto"/>
                <w:tcMar>
                  <w:left w:w="105" w:type="dxa"/>
                  <w:right w:w="105" w:type="dxa"/>
                </w:tcMar>
              </w:tcPr>
              <w:p w14:paraId="16BCC9A5"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3402" w:type="dxa"/>
                <w:shd w:val="clear" w:color="auto" w:fill="auto"/>
                <w:tcMar>
                  <w:left w:w="105" w:type="dxa"/>
                  <w:right w:w="105" w:type="dxa"/>
                </w:tcMar>
              </w:tcPr>
              <w:p w14:paraId="63907350"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3C75268C"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46D95893"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lastRenderedPageBreak/>
                  <w:t xml:space="preserve">Mixed waste from treating WEEE containing hazardous components and POPs </w:t>
                </w:r>
              </w:p>
            </w:tc>
            <w:tc>
              <w:tcPr>
                <w:tcW w:w="2126" w:type="dxa"/>
                <w:shd w:val="clear" w:color="auto" w:fill="auto"/>
                <w:tcMar>
                  <w:left w:w="105" w:type="dxa"/>
                  <w:right w:w="105" w:type="dxa"/>
                </w:tcMar>
              </w:tcPr>
              <w:p w14:paraId="1B27D22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843" w:type="dxa"/>
                <w:shd w:val="clear" w:color="auto" w:fill="auto"/>
                <w:tcMar>
                  <w:left w:w="105" w:type="dxa"/>
                  <w:right w:w="105" w:type="dxa"/>
                </w:tcMar>
              </w:tcPr>
              <w:p w14:paraId="61B4DD7B"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3402" w:type="dxa"/>
                <w:shd w:val="clear" w:color="auto" w:fill="auto"/>
                <w:tcMar>
                  <w:left w:w="105" w:type="dxa"/>
                  <w:right w:w="105" w:type="dxa"/>
                </w:tcMar>
              </w:tcPr>
              <w:p w14:paraId="72A198F0"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19-02-04*</w:t>
                </w:r>
              </w:p>
            </w:tc>
          </w:tr>
        </w:tbl>
        <w:p w14:paraId="7554B055" w14:textId="77777777" w:rsidR="00A4291C" w:rsidRPr="00A4291C" w:rsidRDefault="00A4291C" w:rsidP="00A4291C">
          <w:pPr>
            <w:spacing w:after="160" w:line="259" w:lineRule="auto"/>
            <w:rPr>
              <w:rFonts w:ascii="Arial" w:eastAsia="Arial" w:hAnsi="Arial" w:cs="Arial"/>
              <w:color w:val="000000"/>
              <w:sz w:val="22"/>
              <w:szCs w:val="22"/>
            </w:rPr>
          </w:pPr>
        </w:p>
        <w:p w14:paraId="4CFDA729"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3A02BA85"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19" w:name="_Toc184980456"/>
          <w:r w:rsidRPr="00A4291C">
            <w:rPr>
              <w:rFonts w:ascii="Arial" w:eastAsia="Arial" w:hAnsi="Arial" w:cstheme="majorBidi"/>
              <w:b/>
              <w:color w:val="016574" w:themeColor="accent2"/>
              <w:sz w:val="32"/>
              <w:szCs w:val="26"/>
              <w:lang w:val="en"/>
            </w:rPr>
            <w:t xml:space="preserve">Plastic </w:t>
          </w:r>
          <w:proofErr w:type="gramStart"/>
          <w:r w:rsidRPr="00A4291C">
            <w:rPr>
              <w:rFonts w:ascii="Arial" w:eastAsia="Arial" w:hAnsi="Arial" w:cstheme="majorBidi"/>
              <w:b/>
              <w:color w:val="016574" w:themeColor="accent2"/>
              <w:sz w:val="32"/>
              <w:szCs w:val="26"/>
              <w:lang w:val="en"/>
            </w:rPr>
            <w:t>wastes</w:t>
          </w:r>
          <w:proofErr w:type="gramEnd"/>
          <w:r w:rsidRPr="00A4291C">
            <w:rPr>
              <w:rFonts w:ascii="Arial" w:eastAsia="Arial" w:hAnsi="Arial" w:cstheme="majorBidi"/>
              <w:b/>
              <w:color w:val="016574" w:themeColor="accent2"/>
              <w:sz w:val="32"/>
              <w:szCs w:val="26"/>
              <w:lang w:val="en"/>
            </w:rPr>
            <w:t xml:space="preserve"> from treating fridges and freezers</w:t>
          </w:r>
          <w:bookmarkEnd w:id="19"/>
        </w:p>
        <w:p w14:paraId="15BA4601" w14:textId="77777777" w:rsidR="00A4291C" w:rsidRPr="00A4291C" w:rsidRDefault="00A4291C" w:rsidP="00A4291C">
          <w:pPr>
            <w:spacing w:after="240"/>
            <w:rPr>
              <w:rFonts w:eastAsia="Arial"/>
            </w:rPr>
          </w:pPr>
          <w:r w:rsidRPr="00A4291C">
            <w:rPr>
              <w:rFonts w:eastAsia="Arial"/>
              <w:lang w:val="en-US"/>
            </w:rPr>
            <w:t>Fridges and freezers have plastic components containing POPs, hazardous flame retardants and antimony trioxide. These will be present in the treated waste.</w:t>
          </w:r>
        </w:p>
        <w:p w14:paraId="261C44FE" w14:textId="77777777" w:rsidR="00A4291C" w:rsidRPr="00A4291C" w:rsidRDefault="00A4291C" w:rsidP="00A4291C">
          <w:pPr>
            <w:spacing w:after="240"/>
            <w:rPr>
              <w:rFonts w:eastAsia="Arial"/>
            </w:rPr>
          </w:pPr>
          <w:r w:rsidRPr="00A4291C">
            <w:rPr>
              <w:rFonts w:eastAsia="Arial"/>
              <w:lang w:val="en-US"/>
            </w:rPr>
            <w:t>You must check the concentration of POPs in the plastic to determine if the waste is POPs waste.</w:t>
          </w:r>
        </w:p>
        <w:p w14:paraId="258F99B2" w14:textId="77777777" w:rsidR="00A4291C" w:rsidRPr="00A4291C" w:rsidRDefault="00A4291C" w:rsidP="00A4291C">
          <w:pPr>
            <w:spacing w:after="240"/>
            <w:rPr>
              <w:rFonts w:eastAsia="Arial"/>
            </w:rPr>
          </w:pPr>
          <w:r w:rsidRPr="00A4291C">
            <w:rPr>
              <w:rFonts w:eastAsia="Arial"/>
              <w:lang w:val="en"/>
            </w:rPr>
            <w:t>Use these codes to classify pure plastic fractions from treating fridges and freezers.</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tplastic wastes from treating fridges and freezers. "/>
          </w:tblPr>
          <w:tblGrid>
            <w:gridCol w:w="2689"/>
            <w:gridCol w:w="2126"/>
            <w:gridCol w:w="1843"/>
            <w:gridCol w:w="3402"/>
          </w:tblGrid>
          <w:tr w:rsidR="00A4291C" w:rsidRPr="00A4291C" w14:paraId="4096163E"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1107F7D7"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126" w:type="dxa"/>
                <w:shd w:val="clear" w:color="auto" w:fill="auto"/>
                <w:tcMar>
                  <w:left w:w="105" w:type="dxa"/>
                  <w:right w:w="105" w:type="dxa"/>
                </w:tcMar>
              </w:tcPr>
              <w:p w14:paraId="79BBB317"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843" w:type="dxa"/>
                <w:shd w:val="clear" w:color="auto" w:fill="auto"/>
                <w:tcMar>
                  <w:left w:w="105" w:type="dxa"/>
                  <w:right w:w="105" w:type="dxa"/>
                </w:tcMar>
              </w:tcPr>
              <w:p w14:paraId="30D27E34"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3402" w:type="dxa"/>
                <w:shd w:val="clear" w:color="auto" w:fill="auto"/>
                <w:tcMar>
                  <w:left w:w="105" w:type="dxa"/>
                  <w:right w:w="105" w:type="dxa"/>
                </w:tcMar>
              </w:tcPr>
              <w:p w14:paraId="16406CAE"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2617E886"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58E029DB"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Plastics from treating fridges and freezers containing POPs </w:t>
                </w:r>
              </w:p>
            </w:tc>
            <w:tc>
              <w:tcPr>
                <w:tcW w:w="2126" w:type="dxa"/>
                <w:shd w:val="clear" w:color="auto" w:fill="auto"/>
                <w:tcMar>
                  <w:left w:w="105" w:type="dxa"/>
                  <w:right w:w="105" w:type="dxa"/>
                </w:tcMar>
              </w:tcPr>
              <w:p w14:paraId="2AB28E87"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Non-hazardous/POPs </w:t>
                </w:r>
              </w:p>
            </w:tc>
            <w:tc>
              <w:tcPr>
                <w:tcW w:w="1843" w:type="dxa"/>
                <w:shd w:val="clear" w:color="auto" w:fill="auto"/>
                <w:tcMar>
                  <w:left w:w="105" w:type="dxa"/>
                  <w:right w:w="105" w:type="dxa"/>
                </w:tcMar>
              </w:tcPr>
              <w:p w14:paraId="1F128DF6"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3402" w:type="dxa"/>
                <w:shd w:val="clear" w:color="auto" w:fill="auto"/>
                <w:tcMar>
                  <w:left w:w="105" w:type="dxa"/>
                  <w:right w:w="105" w:type="dxa"/>
                </w:tcMar>
              </w:tcPr>
              <w:p w14:paraId="25DCE3B2"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19-12-04</w:t>
                </w:r>
              </w:p>
            </w:tc>
          </w:tr>
          <w:tr w:rsidR="00A4291C" w:rsidRPr="00A4291C" w14:paraId="0CD7AB28" w14:textId="77777777" w:rsidTr="00282C51">
            <w:trPr>
              <w:trHeight w:val="30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Mar>
                  <w:left w:w="105" w:type="dxa"/>
                  <w:right w:w="105" w:type="dxa"/>
                </w:tcMar>
              </w:tcPr>
              <w:p w14:paraId="7E4033BE"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 xml:space="preserve">Plastics from treating fridges and freezers not containing POPs </w:t>
                </w:r>
              </w:p>
            </w:tc>
            <w:tc>
              <w:tcPr>
                <w:tcW w:w="2126" w:type="dxa"/>
                <w:shd w:val="clear" w:color="auto" w:fill="auto"/>
                <w:tcMar>
                  <w:left w:w="105" w:type="dxa"/>
                  <w:right w:w="105" w:type="dxa"/>
                </w:tcMar>
              </w:tcPr>
              <w:p w14:paraId="000E02C7"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Non-hazardous/non-POPs </w:t>
                </w:r>
              </w:p>
            </w:tc>
            <w:tc>
              <w:tcPr>
                <w:tcW w:w="1843" w:type="dxa"/>
                <w:shd w:val="clear" w:color="auto" w:fill="auto"/>
                <w:tcMar>
                  <w:left w:w="105" w:type="dxa"/>
                  <w:right w:w="105" w:type="dxa"/>
                </w:tcMar>
              </w:tcPr>
              <w:p w14:paraId="348D3E6C"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3402" w:type="dxa"/>
                <w:shd w:val="clear" w:color="auto" w:fill="auto"/>
                <w:tcMar>
                  <w:left w:w="105" w:type="dxa"/>
                  <w:right w:w="105" w:type="dxa"/>
                </w:tcMar>
              </w:tcPr>
              <w:p w14:paraId="29A07C92"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19-12-04</w:t>
                </w:r>
              </w:p>
            </w:tc>
          </w:tr>
        </w:tbl>
        <w:p w14:paraId="48CDE743" w14:textId="77777777" w:rsidR="00A4291C" w:rsidRPr="00A4291C" w:rsidRDefault="00A4291C" w:rsidP="00A4291C">
          <w:pPr>
            <w:spacing w:after="160" w:line="259" w:lineRule="auto"/>
            <w:rPr>
              <w:rFonts w:ascii="Arial" w:eastAsia="Arial" w:hAnsi="Arial" w:cs="Arial"/>
              <w:color w:val="000000"/>
              <w:sz w:val="22"/>
              <w:szCs w:val="22"/>
            </w:rPr>
          </w:pPr>
        </w:p>
        <w:p w14:paraId="1E2DC4FE"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5CEAFAF8" w14:textId="77777777" w:rsidR="00A4291C" w:rsidRPr="00A4291C" w:rsidRDefault="00A4291C" w:rsidP="00A4291C">
          <w:pPr>
            <w:spacing w:after="240"/>
            <w:rPr>
              <w:rFonts w:eastAsia="Arial"/>
            </w:rPr>
          </w:pPr>
          <w:r w:rsidRPr="00A4291C">
            <w:rPr>
              <w:rFonts w:eastAsia="Arial"/>
              <w:lang w:val="en-US"/>
            </w:rPr>
            <w:t xml:space="preserve">If your plastic fraction contains other materials like foam or cable it is a mixed waste. You must also check the concentration of hazardous chemicals and use the appropriate 19 12 11* or 19 12 12 </w:t>
          </w:r>
          <w:proofErr w:type="gramStart"/>
          <w:r w:rsidRPr="00A4291C">
            <w:rPr>
              <w:rFonts w:eastAsia="Arial"/>
              <w:lang w:val="en-US"/>
            </w:rPr>
            <w:t>code</w:t>
          </w:r>
          <w:proofErr w:type="gramEnd"/>
          <w:r w:rsidRPr="00A4291C">
            <w:rPr>
              <w:rFonts w:eastAsia="Arial"/>
              <w:lang w:val="en-US"/>
            </w:rPr>
            <w:t xml:space="preserve"> instead of 19 12 04.</w:t>
          </w:r>
        </w:p>
        <w:p w14:paraId="3DAAECDC"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20" w:name="_Toc184980457"/>
          <w:r w:rsidRPr="00A4291C">
            <w:rPr>
              <w:rFonts w:ascii="Arial" w:eastAsia="Arial" w:hAnsi="Arial" w:cstheme="majorBidi"/>
              <w:b/>
              <w:color w:val="016574" w:themeColor="accent2"/>
              <w:sz w:val="32"/>
              <w:szCs w:val="26"/>
              <w:lang w:val="en-US"/>
            </w:rPr>
            <w:lastRenderedPageBreak/>
            <w:t>Plastic containing residues from treating certain large domestic appliances (LDA)</w:t>
          </w:r>
          <w:bookmarkEnd w:id="20"/>
        </w:p>
        <w:p w14:paraId="614D9BEC" w14:textId="77777777" w:rsidR="00A4291C" w:rsidRPr="00A4291C" w:rsidRDefault="00A4291C" w:rsidP="00A4291C">
          <w:pPr>
            <w:spacing w:after="240"/>
            <w:rPr>
              <w:rFonts w:eastAsia="Arial"/>
            </w:rPr>
          </w:pPr>
          <w:r w:rsidRPr="00A4291C">
            <w:rPr>
              <w:rFonts w:eastAsia="Arial"/>
              <w:lang w:val="en"/>
            </w:rPr>
            <w:t>White goods like household type washing machines, tumble driers, dishwashers and cookers are not hazardous or POPs waste.</w:t>
          </w:r>
        </w:p>
        <w:p w14:paraId="79638B11" w14:textId="7F079C7E" w:rsidR="00A4291C" w:rsidRPr="00A4291C" w:rsidRDefault="001215E4" w:rsidP="00A4291C">
          <w:pPr>
            <w:spacing w:after="240"/>
            <w:rPr>
              <w:rFonts w:eastAsia="Arial"/>
            </w:rPr>
          </w:pPr>
          <w:r w:rsidRPr="00A4291C">
            <w:rPr>
              <w:rFonts w:eastAsia="Arial"/>
              <w:lang w:val="en-US"/>
            </w:rPr>
            <w:t>However,</w:t>
          </w:r>
          <w:r w:rsidR="00A4291C" w:rsidRPr="00A4291C">
            <w:rPr>
              <w:rFonts w:eastAsia="Arial"/>
              <w:lang w:val="en-US"/>
            </w:rPr>
            <w:t xml:space="preserve"> they include plastic components and printed circuit boards which may contain POPs, hazardous flame retardants, and antimony trioxide. The concentration of these chemicals may be increased in the treatment outputs that contain these components.</w:t>
          </w:r>
        </w:p>
        <w:p w14:paraId="7ADAFF50" w14:textId="77777777" w:rsidR="00A4291C" w:rsidRPr="00A4291C" w:rsidRDefault="00A4291C" w:rsidP="00A4291C">
          <w:pPr>
            <w:spacing w:after="240"/>
            <w:rPr>
              <w:rFonts w:eastAsia="Arial"/>
            </w:rPr>
          </w:pPr>
          <w:r w:rsidRPr="00A4291C">
            <w:rPr>
              <w:rFonts w:eastAsia="Arial"/>
              <w:lang w:val="en-US"/>
            </w:rPr>
            <w:t>You must check the concentration of hazardous chemicals and POPs in these treatment residues to determine if the waste is hazardous or POPs waste.</w:t>
          </w:r>
        </w:p>
        <w:p w14:paraId="3E818EE2" w14:textId="77777777" w:rsidR="00A4291C" w:rsidRPr="00A4291C" w:rsidRDefault="00A4291C" w:rsidP="00A4291C">
          <w:pPr>
            <w:spacing w:after="240"/>
            <w:rPr>
              <w:rFonts w:eastAsia="Arial"/>
            </w:rPr>
          </w:pPr>
          <w:r w:rsidRPr="00A4291C">
            <w:rPr>
              <w:rFonts w:eastAsia="Arial"/>
              <w:lang w:val="en"/>
            </w:rPr>
            <w:t>The code you select will also depend on the process you use to produce the waste and the output from that. Here are some examples.</w:t>
          </w:r>
        </w:p>
        <w:tbl>
          <w:tblPr>
            <w:tblStyle w:val="ListTable6Colo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details of the waste status and waste codes for tplastic containing residues from treating certain large domestic appliances. "/>
          </w:tblPr>
          <w:tblGrid>
            <w:gridCol w:w="3681"/>
            <w:gridCol w:w="2126"/>
            <w:gridCol w:w="1418"/>
            <w:gridCol w:w="2409"/>
          </w:tblGrid>
          <w:tr w:rsidR="00A4291C" w:rsidRPr="00A4291C" w14:paraId="093B7909" w14:textId="77777777" w:rsidTr="00282C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Mar>
                  <w:left w:w="105" w:type="dxa"/>
                  <w:right w:w="105" w:type="dxa"/>
                </w:tcMar>
              </w:tcPr>
              <w:p w14:paraId="0B534075" w14:textId="77777777" w:rsidR="00A4291C" w:rsidRPr="00A4291C" w:rsidRDefault="00A4291C" w:rsidP="00A4291C">
                <w:pPr>
                  <w:spacing w:after="160" w:line="259" w:lineRule="auto"/>
                  <w:rPr>
                    <w:rFonts w:ascii="Arial" w:eastAsia="Arial" w:hAnsi="Arial" w:cs="Arial"/>
                    <w:color w:val="016574" w:themeColor="accent1"/>
                  </w:rPr>
                </w:pPr>
                <w:r w:rsidRPr="00A4291C">
                  <w:rPr>
                    <w:rFonts w:ascii="Arial" w:eastAsia="Arial" w:hAnsi="Arial" w:cs="Arial"/>
                    <w:color w:val="016574" w:themeColor="accent1"/>
                  </w:rPr>
                  <w:t>Waste type</w:t>
                </w:r>
              </w:p>
            </w:tc>
            <w:tc>
              <w:tcPr>
                <w:tcW w:w="2126" w:type="dxa"/>
                <w:shd w:val="clear" w:color="auto" w:fill="auto"/>
                <w:tcMar>
                  <w:left w:w="105" w:type="dxa"/>
                  <w:right w:w="105" w:type="dxa"/>
                </w:tcMar>
              </w:tcPr>
              <w:p w14:paraId="13DC7F81"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Waste status</w:t>
                </w:r>
              </w:p>
            </w:tc>
            <w:tc>
              <w:tcPr>
                <w:tcW w:w="1418" w:type="dxa"/>
                <w:shd w:val="clear" w:color="auto" w:fill="auto"/>
                <w:tcMar>
                  <w:left w:w="105" w:type="dxa"/>
                  <w:right w:w="105" w:type="dxa"/>
                </w:tcMar>
              </w:tcPr>
              <w:p w14:paraId="0D1437C8"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Household type</w:t>
                </w:r>
              </w:p>
            </w:tc>
            <w:tc>
              <w:tcPr>
                <w:tcW w:w="2409" w:type="dxa"/>
                <w:shd w:val="clear" w:color="auto" w:fill="auto"/>
                <w:tcMar>
                  <w:left w:w="105" w:type="dxa"/>
                  <w:right w:w="105" w:type="dxa"/>
                </w:tcMar>
              </w:tcPr>
              <w:p w14:paraId="5BACA4CF" w14:textId="77777777" w:rsidR="00A4291C" w:rsidRPr="00A4291C" w:rsidRDefault="00A4291C" w:rsidP="00A4291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16574" w:themeColor="accent1"/>
                  </w:rPr>
                </w:pPr>
                <w:r w:rsidRPr="00A4291C">
                  <w:rPr>
                    <w:rFonts w:ascii="Arial" w:eastAsia="Arial" w:hAnsi="Arial" w:cs="Arial"/>
                    <w:color w:val="016574" w:themeColor="accent1"/>
                  </w:rPr>
                  <w:t>Industrial or commercial</w:t>
                </w:r>
              </w:p>
            </w:tc>
          </w:tr>
          <w:tr w:rsidR="00A4291C" w:rsidRPr="00A4291C" w14:paraId="6CA1B5C6" w14:textId="77777777" w:rsidTr="00282C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Mar>
                  <w:left w:w="105" w:type="dxa"/>
                  <w:right w:w="105" w:type="dxa"/>
                </w:tcMar>
              </w:tcPr>
              <w:p w14:paraId="499F0DF5"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Metal shredding light fraction containing POPs and hazardous chemicals</w:t>
                </w:r>
              </w:p>
            </w:tc>
            <w:tc>
              <w:tcPr>
                <w:tcW w:w="2126" w:type="dxa"/>
                <w:shd w:val="clear" w:color="auto" w:fill="auto"/>
                <w:tcMar>
                  <w:left w:w="105" w:type="dxa"/>
                  <w:right w:w="105" w:type="dxa"/>
                </w:tcMar>
              </w:tcPr>
              <w:p w14:paraId="75E758FA"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 xml:space="preserve">Hazardous/POPs </w:t>
                </w:r>
              </w:p>
            </w:tc>
            <w:tc>
              <w:tcPr>
                <w:tcW w:w="1418" w:type="dxa"/>
                <w:shd w:val="clear" w:color="auto" w:fill="auto"/>
                <w:tcMar>
                  <w:left w:w="105" w:type="dxa"/>
                  <w:right w:w="105" w:type="dxa"/>
                </w:tcMar>
              </w:tcPr>
              <w:p w14:paraId="474D5B04"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2409" w:type="dxa"/>
                <w:shd w:val="clear" w:color="auto" w:fill="auto"/>
                <w:tcMar>
                  <w:left w:w="105" w:type="dxa"/>
                  <w:right w:w="105" w:type="dxa"/>
                </w:tcMar>
              </w:tcPr>
              <w:p w14:paraId="7DA98D61" w14:textId="77777777" w:rsidR="00A4291C" w:rsidRPr="00A4291C" w:rsidRDefault="00A4291C" w:rsidP="00A4291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A4291C">
                  <w:rPr>
                    <w:rFonts w:ascii="Arial" w:eastAsia="Arial" w:hAnsi="Arial" w:cs="Arial"/>
                  </w:rPr>
                  <w:t>19 10 03*</w:t>
                </w:r>
              </w:p>
            </w:tc>
          </w:tr>
          <w:tr w:rsidR="00A4291C" w:rsidRPr="00A4291C" w14:paraId="58C1C75E" w14:textId="77777777" w:rsidTr="00282C51">
            <w:trPr>
              <w:trHeight w:val="30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Mar>
                  <w:left w:w="105" w:type="dxa"/>
                  <w:right w:w="105" w:type="dxa"/>
                </w:tcMar>
              </w:tcPr>
              <w:p w14:paraId="12C770BB" w14:textId="77777777" w:rsidR="00A4291C" w:rsidRPr="00A4291C" w:rsidRDefault="00A4291C" w:rsidP="00A4291C">
                <w:pPr>
                  <w:spacing w:after="160" w:line="259" w:lineRule="auto"/>
                  <w:rPr>
                    <w:rFonts w:ascii="Arial" w:eastAsia="Arial" w:hAnsi="Arial" w:cs="Arial"/>
                  </w:rPr>
                </w:pPr>
                <w:r w:rsidRPr="00A4291C">
                  <w:rPr>
                    <w:rFonts w:ascii="Arial" w:eastAsia="Arial" w:hAnsi="Arial" w:cs="Arial"/>
                  </w:rPr>
                  <w:t>Metal shredding light fraction not containing POPs and hazardous chemicals</w:t>
                </w:r>
              </w:p>
            </w:tc>
            <w:tc>
              <w:tcPr>
                <w:tcW w:w="2126" w:type="dxa"/>
                <w:shd w:val="clear" w:color="auto" w:fill="auto"/>
                <w:tcMar>
                  <w:left w:w="105" w:type="dxa"/>
                  <w:right w:w="105" w:type="dxa"/>
                </w:tcMar>
              </w:tcPr>
              <w:p w14:paraId="083C7CE5"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 xml:space="preserve">Non-hazardous </w:t>
                </w:r>
              </w:p>
            </w:tc>
            <w:tc>
              <w:tcPr>
                <w:tcW w:w="1418" w:type="dxa"/>
                <w:shd w:val="clear" w:color="auto" w:fill="auto"/>
                <w:tcMar>
                  <w:left w:w="105" w:type="dxa"/>
                  <w:right w:w="105" w:type="dxa"/>
                </w:tcMar>
              </w:tcPr>
              <w:p w14:paraId="13901132"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Does not apply</w:t>
                </w:r>
              </w:p>
            </w:tc>
            <w:tc>
              <w:tcPr>
                <w:tcW w:w="2409" w:type="dxa"/>
                <w:shd w:val="clear" w:color="auto" w:fill="auto"/>
                <w:tcMar>
                  <w:left w:w="105" w:type="dxa"/>
                  <w:right w:w="105" w:type="dxa"/>
                </w:tcMar>
              </w:tcPr>
              <w:p w14:paraId="18F060E4" w14:textId="77777777" w:rsidR="00A4291C" w:rsidRPr="00A4291C" w:rsidRDefault="00A4291C" w:rsidP="00A4291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4291C">
                  <w:rPr>
                    <w:rFonts w:ascii="Arial" w:eastAsia="Arial" w:hAnsi="Arial" w:cs="Arial"/>
                  </w:rPr>
                  <w:t>19 10 04</w:t>
                </w:r>
              </w:p>
            </w:tc>
          </w:tr>
        </w:tbl>
        <w:p w14:paraId="1D0A585D" w14:textId="77777777" w:rsidR="00A4291C" w:rsidRPr="00A4291C" w:rsidRDefault="00A4291C" w:rsidP="00A4291C">
          <w:pPr>
            <w:spacing w:after="160" w:line="259" w:lineRule="auto"/>
            <w:rPr>
              <w:rFonts w:ascii="Arial" w:eastAsia="Arial" w:hAnsi="Arial" w:cs="Arial"/>
              <w:color w:val="000000"/>
              <w:sz w:val="22"/>
              <w:szCs w:val="22"/>
            </w:rPr>
          </w:pPr>
        </w:p>
        <w:p w14:paraId="30EC9AE3" w14:textId="77777777" w:rsidR="00A4291C" w:rsidRPr="00A4291C" w:rsidRDefault="00A4291C" w:rsidP="00A4291C">
          <w:pPr>
            <w:spacing w:after="240"/>
            <w:rPr>
              <w:rFonts w:eastAsia="Arial"/>
            </w:rPr>
          </w:pPr>
          <w:r w:rsidRPr="00A4291C">
            <w:rPr>
              <w:rFonts w:eastAsia="Arial"/>
              <w:lang w:val="en"/>
            </w:rPr>
            <w:t>(*) An asterisk at the end of a code means the waste is hazardous.</w:t>
          </w:r>
        </w:p>
        <w:p w14:paraId="7FFECBA8" w14:textId="77777777" w:rsidR="00A4291C" w:rsidRPr="00A4291C" w:rsidRDefault="00A4291C" w:rsidP="00A4291C">
          <w:pPr>
            <w:spacing w:after="240"/>
            <w:rPr>
              <w:rFonts w:eastAsia="Arial"/>
            </w:rPr>
          </w:pPr>
          <w:r w:rsidRPr="00A4291C">
            <w:rPr>
              <w:rFonts w:eastAsia="Arial"/>
              <w:lang w:val="en-US"/>
            </w:rPr>
            <w:t>If other types of devices are present in the LDA waste stream, you should remove those that are hazardous or POPs waste before processing. If you process a WEEE device that is POPs waste, the outputs containing those POPs will remain POPs waste – even if diluted below concentration limits by the treatment process.</w:t>
          </w:r>
        </w:p>
        <w:p w14:paraId="6CD7DA06"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21" w:name="_Toc184980458"/>
          <w:r w:rsidRPr="00A4291C">
            <w:rPr>
              <w:rFonts w:ascii="Arial" w:eastAsia="Arial" w:hAnsi="Arial" w:cstheme="majorBidi"/>
              <w:b/>
              <w:color w:val="016574" w:themeColor="accent2"/>
              <w:sz w:val="32"/>
              <w:szCs w:val="26"/>
              <w:lang w:val="en"/>
            </w:rPr>
            <w:t>Wastes from treating outputs from other WEEE treatments by density separation</w:t>
          </w:r>
          <w:bookmarkEnd w:id="21"/>
        </w:p>
        <w:p w14:paraId="2FD40AE5" w14:textId="77777777" w:rsidR="00A4291C" w:rsidRPr="00A4291C" w:rsidRDefault="00A4291C" w:rsidP="00A4291C">
          <w:pPr>
            <w:spacing w:after="240"/>
            <w:rPr>
              <w:rFonts w:eastAsia="Arial"/>
            </w:rPr>
          </w:pPr>
          <w:r w:rsidRPr="00A4291C">
            <w:rPr>
              <w:rFonts w:eastAsia="Arial"/>
              <w:lang w:val="en-US"/>
            </w:rPr>
            <w:t xml:space="preserve">There are currently no density separation plants operating in Scotland. Density separation treatment is used to separate plastics containing brominated flame retardants (including </w:t>
          </w:r>
          <w:r w:rsidRPr="00A4291C">
            <w:rPr>
              <w:rFonts w:eastAsia="Arial"/>
              <w:lang w:val="en-US"/>
            </w:rPr>
            <w:lastRenderedPageBreak/>
            <w:t>hazardous chemicals and POPs) from uncontaminated plastics. The brominated (heavy) fraction is POPs waste.</w:t>
          </w:r>
        </w:p>
        <w:p w14:paraId="74B2D0A0" w14:textId="77777777" w:rsidR="00A4291C" w:rsidRPr="00A4291C" w:rsidRDefault="00A4291C" w:rsidP="00A4291C">
          <w:pPr>
            <w:spacing w:after="240"/>
            <w:rPr>
              <w:rFonts w:eastAsia="Arial"/>
            </w:rPr>
          </w:pPr>
          <w:r w:rsidRPr="00A4291C">
            <w:rPr>
              <w:rFonts w:eastAsia="Arial"/>
              <w:lang w:val="en-US"/>
            </w:rPr>
            <w:t>Further advice can be sought from the appropriate regulator for the density separation plant. For England, the regulator is the Environment Agency and advice is available here:</w:t>
          </w:r>
        </w:p>
        <w:p w14:paraId="0AFA7760" w14:textId="77777777" w:rsidR="00A4291C" w:rsidRPr="00A4291C" w:rsidRDefault="00A4291C" w:rsidP="00A4291C">
          <w:pPr>
            <w:spacing w:after="240"/>
            <w:rPr>
              <w:rFonts w:eastAsia="Arial"/>
            </w:rPr>
          </w:pPr>
          <w:hyperlink r:id="rId19">
            <w:r w:rsidRPr="00CF6DF6">
              <w:rPr>
                <w:rFonts w:ascii="Arial" w:eastAsia="Arial" w:hAnsi="Arial" w:cs="Arial"/>
                <w:color w:val="016574" w:themeColor="hyperlink"/>
                <w:u w:val="single"/>
                <w:lang w:val="en"/>
              </w:rPr>
              <w:t>https://www.gov.uk/guidance/classify-some-waste-electrical-devices-components-and-wastes-from-their-treatment</w:t>
            </w:r>
          </w:hyperlink>
          <w:r w:rsidRPr="00A4291C">
            <w:rPr>
              <w:rFonts w:eastAsia="Arial"/>
              <w:lang w:val="en"/>
            </w:rPr>
            <w:t xml:space="preserve"> </w:t>
          </w:r>
        </w:p>
        <w:p w14:paraId="45C24B0F"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22" w:name="_Toc184980459"/>
          <w:r w:rsidRPr="00A4291C">
            <w:rPr>
              <w:rFonts w:ascii="Arial" w:eastAsia="Arial" w:hAnsi="Arial" w:cstheme="majorBidi"/>
              <w:b/>
              <w:color w:val="016574" w:themeColor="accent2"/>
              <w:sz w:val="32"/>
              <w:szCs w:val="26"/>
              <w:lang w:val="en"/>
            </w:rPr>
            <w:t>Mixed batteries from treating WEEE</w:t>
          </w:r>
          <w:bookmarkEnd w:id="22"/>
          <w:r w:rsidRPr="00A4291C">
            <w:rPr>
              <w:rFonts w:ascii="Arial" w:eastAsia="Arial" w:hAnsi="Arial" w:cstheme="majorBidi"/>
              <w:b/>
              <w:color w:val="016574" w:themeColor="accent2"/>
              <w:sz w:val="32"/>
              <w:szCs w:val="26"/>
              <w:lang w:val="en"/>
            </w:rPr>
            <w:t xml:space="preserve"> </w:t>
          </w:r>
        </w:p>
        <w:p w14:paraId="49C6463B" w14:textId="77777777" w:rsidR="00A4291C" w:rsidRPr="00A4291C" w:rsidRDefault="00A4291C" w:rsidP="00A4291C">
          <w:pPr>
            <w:spacing w:after="240"/>
            <w:rPr>
              <w:rFonts w:eastAsia="Arial"/>
            </w:rPr>
          </w:pPr>
          <w:r w:rsidRPr="00A4291C">
            <w:rPr>
              <w:rFonts w:eastAsia="Arial"/>
              <w:lang w:val="en"/>
            </w:rPr>
            <w:t>See the guidance above for the codes you can use for batteries.</w:t>
          </w:r>
        </w:p>
        <w:p w14:paraId="56811FB9" w14:textId="77777777" w:rsidR="00A4291C" w:rsidRPr="00A4291C" w:rsidRDefault="00A4291C" w:rsidP="00A4291C">
          <w:pPr>
            <w:spacing w:after="240"/>
            <w:rPr>
              <w:rFonts w:eastAsia="Arial"/>
            </w:rPr>
          </w:pPr>
          <w:r w:rsidRPr="00A4291C">
            <w:rPr>
              <w:rFonts w:eastAsia="Arial"/>
              <w:lang w:val="en-US"/>
            </w:rPr>
            <w:t>You must give the appropriate 16 06 XX code(s) for each type of battery present.</w:t>
          </w:r>
        </w:p>
        <w:p w14:paraId="32AAD154" w14:textId="77777777" w:rsidR="00A4291C" w:rsidRPr="00A4291C" w:rsidRDefault="00A4291C" w:rsidP="00A4291C">
          <w:pPr>
            <w:spacing w:after="240"/>
            <w:rPr>
              <w:rFonts w:eastAsia="Arial"/>
            </w:rPr>
          </w:pPr>
          <w:r w:rsidRPr="00A4291C">
            <w:rPr>
              <w:rFonts w:eastAsia="Arial"/>
              <w:lang w:val="en"/>
            </w:rPr>
            <w:t>You must not use the 20 01 33* code for separately collected municipal fractions of mixed batteries for batteries you have separated during waste treatment.</w:t>
          </w:r>
        </w:p>
        <w:p w14:paraId="5E2D442D"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23" w:name="_Toc184980460"/>
          <w:r w:rsidRPr="00A4291C">
            <w:rPr>
              <w:rFonts w:ascii="Arial" w:eastAsia="Arial" w:hAnsi="Arial" w:cstheme="majorBidi"/>
              <w:b/>
              <w:color w:val="016574" w:themeColor="accent2"/>
              <w:sz w:val="32"/>
              <w:szCs w:val="26"/>
            </w:rPr>
            <w:t>Hazardous Waste Controls</w:t>
          </w:r>
          <w:bookmarkEnd w:id="23"/>
        </w:p>
        <w:p w14:paraId="099D6930" w14:textId="77777777" w:rsidR="00A4291C" w:rsidRPr="00A4291C" w:rsidRDefault="00A4291C" w:rsidP="00A4291C">
          <w:pPr>
            <w:spacing w:after="240"/>
            <w:rPr>
              <w:rFonts w:eastAsia="Arial"/>
            </w:rPr>
          </w:pPr>
          <w:r w:rsidRPr="00A4291C">
            <w:rPr>
              <w:rFonts w:eastAsia="Arial"/>
            </w:rPr>
            <w:t>Wastes classified as Special Waste (as indicated in the Table above) are subject to specific waste controls within Scotland:</w:t>
          </w:r>
        </w:p>
        <w:p w14:paraId="76D90D0F" w14:textId="77777777" w:rsidR="00A4291C" w:rsidRPr="00A4291C" w:rsidRDefault="00A4291C" w:rsidP="00A4291C">
          <w:pPr>
            <w:numPr>
              <w:ilvl w:val="0"/>
              <w:numId w:val="49"/>
            </w:numPr>
            <w:spacing w:after="240"/>
            <w:contextualSpacing/>
            <w:rPr>
              <w:rFonts w:eastAsia="Arial"/>
            </w:rPr>
          </w:pPr>
          <w:r w:rsidRPr="00A4291C">
            <w:rPr>
              <w:rFonts w:eastAsia="Arial"/>
            </w:rPr>
            <w:t xml:space="preserve">the movement of Special Waste must be accompanied by a Special Waste Consignment </w:t>
          </w:r>
          <w:proofErr w:type="gramStart"/>
          <w:r w:rsidRPr="00A4291C">
            <w:rPr>
              <w:rFonts w:eastAsia="Arial"/>
            </w:rPr>
            <w:t>Note;</w:t>
          </w:r>
          <w:proofErr w:type="gramEnd"/>
        </w:p>
        <w:p w14:paraId="7FD6E23F" w14:textId="77777777" w:rsidR="00A4291C" w:rsidRPr="00A4291C" w:rsidRDefault="00A4291C" w:rsidP="00A4291C">
          <w:pPr>
            <w:numPr>
              <w:ilvl w:val="0"/>
              <w:numId w:val="49"/>
            </w:numPr>
            <w:spacing w:after="240"/>
            <w:contextualSpacing/>
            <w:rPr>
              <w:rFonts w:eastAsia="Arial"/>
            </w:rPr>
          </w:pPr>
          <w:r w:rsidRPr="00A4291C">
            <w:rPr>
              <w:rFonts w:eastAsia="Arial"/>
            </w:rPr>
            <w:t xml:space="preserve">records must be kept by all </w:t>
          </w:r>
          <w:proofErr w:type="gramStart"/>
          <w:r w:rsidRPr="00A4291C">
            <w:rPr>
              <w:rFonts w:eastAsia="Arial"/>
            </w:rPr>
            <w:t>parties;</w:t>
          </w:r>
          <w:proofErr w:type="gramEnd"/>
        </w:p>
        <w:p w14:paraId="71B27701" w14:textId="77777777" w:rsidR="00A4291C" w:rsidRPr="00A4291C" w:rsidRDefault="00A4291C" w:rsidP="00A4291C">
          <w:pPr>
            <w:numPr>
              <w:ilvl w:val="0"/>
              <w:numId w:val="49"/>
            </w:numPr>
            <w:spacing w:after="240"/>
            <w:contextualSpacing/>
            <w:rPr>
              <w:rFonts w:eastAsia="Arial"/>
            </w:rPr>
          </w:pPr>
          <w:r w:rsidRPr="00A4291C">
            <w:rPr>
              <w:rFonts w:eastAsia="Arial"/>
            </w:rPr>
            <w:t>a site (permitted or exempt) receiving them must:</w:t>
          </w:r>
        </w:p>
        <w:p w14:paraId="668C65C2" w14:textId="77777777" w:rsidR="00A4291C" w:rsidRPr="00A4291C" w:rsidRDefault="00A4291C" w:rsidP="00A4291C">
          <w:pPr>
            <w:numPr>
              <w:ilvl w:val="1"/>
              <w:numId w:val="49"/>
            </w:numPr>
            <w:spacing w:after="240"/>
            <w:contextualSpacing/>
            <w:rPr>
              <w:rFonts w:eastAsia="Arial"/>
            </w:rPr>
          </w:pPr>
          <w:r w:rsidRPr="00A4291C">
            <w:rPr>
              <w:rFonts w:eastAsia="Arial"/>
            </w:rPr>
            <w:t xml:space="preserve">report waste data to SEPA on a quarterly or annual basis as specified in their licence, permit or the terms of the </w:t>
          </w:r>
          <w:proofErr w:type="gramStart"/>
          <w:r w:rsidRPr="00A4291C">
            <w:rPr>
              <w:rFonts w:eastAsia="Arial"/>
            </w:rPr>
            <w:t>exemption;</w:t>
          </w:r>
          <w:proofErr w:type="gramEnd"/>
        </w:p>
        <w:p w14:paraId="3328C22E" w14:textId="77777777" w:rsidR="00A4291C" w:rsidRPr="00A4291C" w:rsidRDefault="00A4291C" w:rsidP="00A4291C">
          <w:pPr>
            <w:numPr>
              <w:ilvl w:val="1"/>
              <w:numId w:val="49"/>
            </w:numPr>
            <w:spacing w:after="240"/>
            <w:contextualSpacing/>
            <w:rPr>
              <w:rFonts w:eastAsia="Arial"/>
            </w:rPr>
          </w:pPr>
          <w:r w:rsidRPr="00A4291C">
            <w:rPr>
              <w:rFonts w:eastAsia="Arial"/>
            </w:rPr>
            <w:t xml:space="preserve">reject any waste arriving without a consignment note, and report this to </w:t>
          </w:r>
          <w:proofErr w:type="gramStart"/>
          <w:r w:rsidRPr="00A4291C">
            <w:rPr>
              <w:rFonts w:eastAsia="Arial"/>
            </w:rPr>
            <w:t>SEPA;</w:t>
          </w:r>
          <w:proofErr w:type="gramEnd"/>
        </w:p>
        <w:p w14:paraId="3DAE3E78" w14:textId="77777777" w:rsidR="00A4291C" w:rsidRPr="00A4291C" w:rsidRDefault="00A4291C" w:rsidP="00A4291C">
          <w:pPr>
            <w:numPr>
              <w:ilvl w:val="1"/>
              <w:numId w:val="49"/>
            </w:numPr>
            <w:spacing w:after="240"/>
            <w:contextualSpacing/>
            <w:rPr>
              <w:rFonts w:eastAsia="Arial"/>
            </w:rPr>
          </w:pPr>
          <w:r w:rsidRPr="00A4291C">
            <w:rPr>
              <w:rFonts w:eastAsia="Arial"/>
            </w:rPr>
            <w:t>be authorised to accept the waste.</w:t>
          </w:r>
        </w:p>
        <w:p w14:paraId="609F60AD" w14:textId="77777777" w:rsidR="00A4291C" w:rsidRPr="00A4291C" w:rsidRDefault="00A4291C" w:rsidP="00A4291C">
          <w:pPr>
            <w:spacing w:after="240"/>
            <w:rPr>
              <w:rFonts w:eastAsia="Arial"/>
            </w:rPr>
          </w:pPr>
          <w:r w:rsidRPr="00A4291C">
            <w:rPr>
              <w:rFonts w:eastAsia="Arial"/>
            </w:rPr>
            <w:t>Only the initial movement of WEEE from a domestic household to its first destination (for example to a household waste recycling centre - HWRC) is exempt from these controls. Subsequent movements, for example collections from HWRCs, are not exempt.</w:t>
          </w:r>
        </w:p>
        <w:p w14:paraId="5D4CB9F1" w14:textId="77777777" w:rsidR="00A4291C" w:rsidRPr="00A4291C" w:rsidRDefault="00A4291C" w:rsidP="00A4291C">
          <w:pPr>
            <w:spacing w:after="240"/>
            <w:rPr>
              <w:rFonts w:eastAsia="Arial"/>
            </w:rPr>
          </w:pPr>
          <w:r w:rsidRPr="00A4291C">
            <w:rPr>
              <w:rFonts w:eastAsia="Arial"/>
            </w:rPr>
            <w:t xml:space="preserve">In Scotland, the Special Waste Regulations 1996 set out procedures to be followed when disposing of, carrying and receiving special waste. </w:t>
          </w:r>
        </w:p>
        <w:p w14:paraId="63863E5F" w14:textId="77777777" w:rsidR="00A4291C" w:rsidRPr="00A4291C" w:rsidRDefault="00A4291C" w:rsidP="00A4291C">
          <w:pPr>
            <w:spacing w:after="240"/>
            <w:rPr>
              <w:rFonts w:eastAsia="Arial"/>
            </w:rPr>
          </w:pPr>
          <w:r w:rsidRPr="00A4291C">
            <w:rPr>
              <w:rFonts w:eastAsia="Arial"/>
            </w:rPr>
            <w:lastRenderedPageBreak/>
            <w:t>Further information on regulations and other requirements relating to the management of special waste, such as classification and assessment, can be found on SEPA’s website:</w:t>
          </w:r>
        </w:p>
        <w:p w14:paraId="3013AAF7" w14:textId="77777777" w:rsidR="00A4291C" w:rsidRPr="00A4291C" w:rsidRDefault="00A4291C" w:rsidP="00A4291C">
          <w:pPr>
            <w:spacing w:after="240"/>
            <w:rPr>
              <w:rFonts w:ascii="Arial" w:eastAsia="Arial" w:hAnsi="Arial"/>
              <w:color w:val="000000"/>
            </w:rPr>
          </w:pPr>
          <w:hyperlink r:id="rId20">
            <w:r w:rsidRPr="00CF6DF6">
              <w:rPr>
                <w:rFonts w:ascii="Arial" w:eastAsia="Arial" w:hAnsi="Arial" w:cs="Arial"/>
                <w:color w:val="016574" w:themeColor="hyperlink"/>
                <w:u w:val="single"/>
              </w:rPr>
              <w:t>https://www.sepa.org.uk/regulations/waste/special-waste/</w:t>
            </w:r>
          </w:hyperlink>
        </w:p>
        <w:p w14:paraId="7D928125" w14:textId="77777777" w:rsidR="00A4291C" w:rsidRPr="00A4291C" w:rsidRDefault="00A4291C" w:rsidP="00A4291C">
          <w:pPr>
            <w:spacing w:after="240"/>
            <w:rPr>
              <w:rFonts w:eastAsia="Arial"/>
            </w:rPr>
          </w:pPr>
          <w:r w:rsidRPr="00A4291C">
            <w:rPr>
              <w:rFonts w:eastAsia="Arial"/>
            </w:rPr>
            <w:t xml:space="preserve">Further guidance on how to consign special waste can be found in the SEPA guidance document ‘Consigning Special Waste’: </w:t>
          </w:r>
        </w:p>
        <w:p w14:paraId="78716A37" w14:textId="77777777" w:rsidR="00A4291C" w:rsidRPr="00A4291C" w:rsidRDefault="00A4291C" w:rsidP="00A4291C">
          <w:pPr>
            <w:spacing w:after="240"/>
            <w:rPr>
              <w:rFonts w:ascii="Arial" w:eastAsia="Arial" w:hAnsi="Arial"/>
              <w:color w:val="000000"/>
            </w:rPr>
          </w:pPr>
          <w:hyperlink r:id="rId21">
            <w:r w:rsidRPr="00CF6DF6">
              <w:rPr>
                <w:rFonts w:ascii="Arial" w:eastAsia="Arial" w:hAnsi="Arial" w:cs="Arial"/>
                <w:color w:val="016574" w:themeColor="hyperlink"/>
                <w:u w:val="single"/>
              </w:rPr>
              <w:t>https://www.sepa.org.uk/media/36660/consigning_special_waste_guidance.pdf</w:t>
            </w:r>
          </w:hyperlink>
        </w:p>
        <w:p w14:paraId="3204B0E6"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24" w:name="_Toc184980461"/>
          <w:r w:rsidRPr="00A4291C">
            <w:rPr>
              <w:rFonts w:ascii="Arial" w:eastAsia="Arial" w:hAnsi="Arial" w:cstheme="majorBidi"/>
              <w:b/>
              <w:color w:val="016574" w:themeColor="accent2"/>
              <w:sz w:val="32"/>
              <w:szCs w:val="26"/>
            </w:rPr>
            <w:t>Management of waste containing Persistent Organic Pollutants (POPs)</w:t>
          </w:r>
          <w:bookmarkEnd w:id="24"/>
          <w:r w:rsidRPr="00A4291C">
            <w:rPr>
              <w:rFonts w:ascii="Arial" w:eastAsia="Arial" w:hAnsi="Arial" w:cstheme="majorBidi"/>
              <w:b/>
              <w:color w:val="016574" w:themeColor="accent2"/>
              <w:sz w:val="32"/>
              <w:szCs w:val="26"/>
            </w:rPr>
            <w:t xml:space="preserve"> </w:t>
          </w:r>
        </w:p>
        <w:p w14:paraId="79033733" w14:textId="77777777" w:rsidR="00A4291C" w:rsidRPr="00A4291C" w:rsidRDefault="00A4291C" w:rsidP="00A4291C">
          <w:pPr>
            <w:spacing w:after="240"/>
            <w:rPr>
              <w:rFonts w:eastAsia="Arial"/>
            </w:rPr>
          </w:pPr>
          <w:r w:rsidRPr="00A4291C">
            <w:rPr>
              <w:rFonts w:eastAsia="Arial"/>
            </w:rPr>
            <w:t>The waste management of WEEE devices containing levels of POPs that are above legal limits is controlled by the Persistent Organic Pollutants Regulations 2007.</w:t>
          </w:r>
        </w:p>
        <w:p w14:paraId="0B69A2F5" w14:textId="77777777" w:rsidR="00A4291C" w:rsidRPr="00A4291C" w:rsidRDefault="00A4291C" w:rsidP="00A4291C">
          <w:pPr>
            <w:spacing w:after="240"/>
            <w:rPr>
              <w:rFonts w:eastAsia="Arial"/>
            </w:rPr>
          </w:pPr>
          <w:r w:rsidRPr="00A4291C">
            <w:rPr>
              <w:rFonts w:eastAsia="Arial"/>
            </w:rPr>
            <w:t>The POPs present in the plastics of waste display devices and small mixed WEEE must be destroyed (or irreversibly transformed). Recycling these plastics is prohibited.</w:t>
          </w:r>
        </w:p>
        <w:p w14:paraId="6E9D3531" w14:textId="77777777" w:rsidR="00A4291C" w:rsidRPr="00A4291C" w:rsidRDefault="00A4291C" w:rsidP="00A4291C">
          <w:pPr>
            <w:spacing w:after="240"/>
            <w:rPr>
              <w:rFonts w:eastAsia="Arial"/>
            </w:rPr>
          </w:pPr>
          <w:r w:rsidRPr="00A4291C">
            <w:rPr>
              <w:rFonts w:eastAsia="Arial"/>
            </w:rPr>
            <w:t>In practice, this means the plastics containing the POPs must be destroyed by incineration (or potentially other high temperature processes like a cement kiln). Bromine separation technologies may be used to separate these POP containing plastics from other plastics and wastes. The latter may then be suitable for recycling.</w:t>
          </w:r>
        </w:p>
        <w:p w14:paraId="200E8EBD" w14:textId="77777777" w:rsidR="00A4291C" w:rsidRPr="00A4291C" w:rsidRDefault="00A4291C" w:rsidP="00A4291C">
          <w:pPr>
            <w:spacing w:after="240"/>
            <w:rPr>
              <w:rFonts w:eastAsia="Arial"/>
            </w:rPr>
          </w:pPr>
          <w:r w:rsidRPr="00A4291C">
            <w:rPr>
              <w:rFonts w:eastAsia="Arial"/>
            </w:rPr>
            <w:t>Further information on the requirements for POPs can be found on gov.uk:</w:t>
          </w:r>
        </w:p>
        <w:p w14:paraId="6986BEE7" w14:textId="77777777" w:rsidR="00A4291C" w:rsidRPr="00A4291C" w:rsidRDefault="00A4291C" w:rsidP="00A4291C">
          <w:pPr>
            <w:spacing w:after="240"/>
            <w:rPr>
              <w:rFonts w:ascii="Arial" w:eastAsia="Arial" w:hAnsi="Arial"/>
              <w:color w:val="000000"/>
            </w:rPr>
          </w:pPr>
          <w:hyperlink r:id="rId22">
            <w:r w:rsidRPr="00CF6DF6">
              <w:rPr>
                <w:rFonts w:ascii="Arial" w:eastAsia="Arial" w:hAnsi="Arial" w:cs="Arial"/>
                <w:color w:val="016574" w:themeColor="hyperlink"/>
                <w:u w:val="single"/>
              </w:rPr>
              <w:t>https://www.gov.uk/guidance/dispose-of-waste-containing-persistent-organic-pollutants-pops</w:t>
            </w:r>
          </w:hyperlink>
        </w:p>
        <w:p w14:paraId="71568060" w14:textId="77777777" w:rsidR="00A4291C" w:rsidRPr="00A4291C" w:rsidRDefault="00A4291C" w:rsidP="00A4291C">
          <w:pPr>
            <w:spacing w:after="240"/>
            <w:rPr>
              <w:rFonts w:eastAsia="Arial"/>
            </w:rPr>
          </w:pPr>
          <w:r w:rsidRPr="00A4291C">
            <w:rPr>
              <w:rFonts w:eastAsia="Arial"/>
            </w:rPr>
            <w:t xml:space="preserve">Please note that this website is managed by the Environment Agency and although the content is relevant to the UK, please contact SEPA if you require further assistance. </w:t>
          </w:r>
        </w:p>
        <w:p w14:paraId="1E87E8A0" w14:textId="77777777" w:rsidR="00A4291C" w:rsidRPr="00A4291C" w:rsidRDefault="00A4291C" w:rsidP="001215E4">
          <w:pPr>
            <w:keepNext/>
            <w:keepLines/>
            <w:spacing w:after="120" w:line="276" w:lineRule="auto"/>
            <w:outlineLvl w:val="1"/>
            <w:rPr>
              <w:rFonts w:ascii="Arial" w:eastAsia="Arial" w:hAnsi="Arial" w:cstheme="majorBidi"/>
              <w:b/>
              <w:color w:val="016574" w:themeColor="accent2"/>
              <w:sz w:val="32"/>
              <w:szCs w:val="26"/>
            </w:rPr>
          </w:pPr>
          <w:bookmarkStart w:id="25" w:name="_Toc184980462"/>
          <w:r w:rsidRPr="00A4291C">
            <w:rPr>
              <w:rFonts w:ascii="Arial" w:eastAsia="Arial" w:hAnsi="Arial" w:cstheme="majorBidi"/>
              <w:b/>
              <w:color w:val="016574" w:themeColor="accent2"/>
              <w:sz w:val="32"/>
              <w:szCs w:val="26"/>
            </w:rPr>
            <w:t>Export of Waste</w:t>
          </w:r>
          <w:bookmarkEnd w:id="25"/>
        </w:p>
        <w:p w14:paraId="5EF3FE71" w14:textId="77777777" w:rsidR="00A4291C" w:rsidRPr="00A4291C" w:rsidRDefault="00A4291C" w:rsidP="00A4291C">
          <w:pPr>
            <w:spacing w:after="240"/>
            <w:rPr>
              <w:rFonts w:eastAsia="Arial"/>
            </w:rPr>
          </w:pPr>
          <w:r w:rsidRPr="00A4291C">
            <w:rPr>
              <w:rFonts w:eastAsia="Arial"/>
            </w:rPr>
            <w:t>The export of the waste from Scotland, to outside the UK, is always subject to notification controls under the Transfrontier Shipment of Waste Regulations 2007. Further information can be found on the SEPA website:</w:t>
          </w:r>
        </w:p>
        <w:p w14:paraId="5175175B" w14:textId="77777777" w:rsidR="00A4291C" w:rsidRPr="00A4291C" w:rsidRDefault="00A4291C" w:rsidP="00A4291C">
          <w:pPr>
            <w:spacing w:after="240"/>
            <w:rPr>
              <w:rFonts w:ascii="Arial" w:eastAsia="Arial" w:hAnsi="Arial"/>
              <w:color w:val="000000"/>
            </w:rPr>
          </w:pPr>
          <w:hyperlink r:id="rId23">
            <w:r w:rsidRPr="00CF6DF6">
              <w:rPr>
                <w:rFonts w:ascii="Arial" w:eastAsia="Arial" w:hAnsi="Arial" w:cs="Arial"/>
                <w:color w:val="016574" w:themeColor="hyperlink"/>
                <w:u w:val="single"/>
              </w:rPr>
              <w:t>https://www.sepa.org.uk/regulations/waste/transfrontier-shipment-of-waste/</w:t>
            </w:r>
          </w:hyperlink>
        </w:p>
        <w:p w14:paraId="140DE3E4" w14:textId="77777777" w:rsidR="00A4291C" w:rsidRPr="00A4291C" w:rsidRDefault="00A4291C" w:rsidP="00A4291C">
          <w:pPr>
            <w:spacing w:after="240"/>
            <w:rPr>
              <w:rFonts w:eastAsia="Arial"/>
            </w:rPr>
          </w:pPr>
          <w:r w:rsidRPr="00A4291C">
            <w:rPr>
              <w:rFonts w:eastAsia="Arial"/>
            </w:rPr>
            <w:lastRenderedPageBreak/>
            <w:t>You must apply to the SEPA to obtain consent to export the waste. You must not move wastes containing POPs under ‘green list’ controls.</w:t>
          </w:r>
        </w:p>
        <w:p w14:paraId="73EC4F88" w14:textId="77777777" w:rsidR="00A4291C" w:rsidRPr="00A4291C" w:rsidRDefault="00A4291C" w:rsidP="00A4291C">
          <w:pPr>
            <w:spacing w:after="240"/>
            <w:rPr>
              <w:rFonts w:eastAsia="Arial"/>
            </w:rPr>
          </w:pPr>
          <w:r w:rsidRPr="00A4291C">
            <w:rPr>
              <w:rFonts w:eastAsia="Arial"/>
            </w:rPr>
            <w:t>The fact that a waste containers POPs severely restricts both destination countries and waste management options.</w:t>
          </w:r>
        </w:p>
        <w:p w14:paraId="4BB40CF7" w14:textId="77777777" w:rsidR="00A4291C" w:rsidRPr="00A4291C" w:rsidRDefault="00A4291C" w:rsidP="00A4291C">
          <w:pPr>
            <w:spacing w:after="240"/>
            <w:rPr>
              <w:rFonts w:eastAsia="Arial"/>
            </w:rPr>
          </w:pPr>
          <w:r w:rsidRPr="00A4291C">
            <w:rPr>
              <w:rFonts w:eastAsia="Arial"/>
            </w:rPr>
            <w:t>These wastes can however be notified for export to the OECD (Organisation for Economic Co-operation and Development) for incineration with energy recovery. This may include pre-treatment using bromine separation techniques to separate the contaminated plastics which must be destroyed from the uncontaminated plastics that could then be recycled.</w:t>
          </w:r>
        </w:p>
        <w:p w14:paraId="5562439C" w14:textId="77777777" w:rsidR="00A4291C" w:rsidRPr="00A4291C" w:rsidRDefault="00A4291C" w:rsidP="00A4291C">
          <w:pPr>
            <w:spacing w:after="240"/>
            <w:rPr>
              <w:rFonts w:eastAsia="Arial"/>
            </w:rPr>
          </w:pPr>
          <w:r w:rsidRPr="00A4291C">
            <w:rPr>
              <w:rFonts w:eastAsia="Arial"/>
            </w:rPr>
            <w:t>With respect to other destinations and waste management options:</w:t>
          </w:r>
        </w:p>
        <w:p w14:paraId="35C89662" w14:textId="77777777" w:rsidR="00A4291C" w:rsidRPr="00A4291C" w:rsidRDefault="00A4291C" w:rsidP="00A4291C">
          <w:pPr>
            <w:spacing w:after="240"/>
            <w:rPr>
              <w:rFonts w:eastAsia="Arial"/>
            </w:rPr>
          </w:pPr>
          <w:r w:rsidRPr="00A4291C">
            <w:rPr>
              <w:rFonts w:eastAsia="Arial"/>
            </w:rPr>
            <w:t xml:space="preserve">Export to non-OECD countries is prohibited. A list of the 36 OECD countries is available at: </w:t>
          </w:r>
          <w:hyperlink r:id="rId24">
            <w:r w:rsidRPr="00A4291C">
              <w:rPr>
                <w:rFonts w:eastAsia="Arial" w:cs="Arial"/>
                <w:color w:val="016574" w:themeColor="hyperlink"/>
                <w:sz w:val="22"/>
                <w:szCs w:val="22"/>
                <w:u w:val="single"/>
              </w:rPr>
              <w:t>https://www.oecd.org/about/members-and-partners/</w:t>
            </w:r>
          </w:hyperlink>
        </w:p>
        <w:p w14:paraId="6B3DF7DA" w14:textId="50459A79" w:rsidR="00A4291C" w:rsidRPr="00A4291C" w:rsidRDefault="00A4291C" w:rsidP="00A4291C">
          <w:pPr>
            <w:spacing w:after="240"/>
            <w:rPr>
              <w:rFonts w:eastAsia="Arial"/>
            </w:rPr>
          </w:pPr>
          <w:r w:rsidRPr="00A4291C">
            <w:rPr>
              <w:rFonts w:eastAsia="Arial"/>
            </w:rPr>
            <w:t xml:space="preserve">Export for disposal is prohibited to OECD countries that are not EU/EFTA </w:t>
          </w:r>
          <w:r w:rsidR="005E0E57" w:rsidRPr="00A4291C">
            <w:rPr>
              <w:rFonts w:eastAsia="Arial"/>
            </w:rPr>
            <w:t>countries and</w:t>
          </w:r>
          <w:r w:rsidRPr="00A4291C">
            <w:rPr>
              <w:rFonts w:eastAsia="Arial"/>
            </w:rPr>
            <w:t xml:space="preserve"> restricted to EU/EFTA countries.</w:t>
          </w:r>
        </w:p>
        <w:p w14:paraId="435A669F" w14:textId="77777777" w:rsidR="00A4291C" w:rsidRPr="00A4291C" w:rsidRDefault="00A4291C" w:rsidP="00A4291C">
          <w:pPr>
            <w:spacing w:after="240"/>
            <w:rPr>
              <w:rFonts w:eastAsia="Arial"/>
            </w:rPr>
          </w:pPr>
          <w:r w:rsidRPr="00A4291C">
            <w:rPr>
              <w:rFonts w:eastAsia="Arial"/>
            </w:rPr>
            <w:t xml:space="preserve">Export for recovery, </w:t>
          </w:r>
          <w:proofErr w:type="gramStart"/>
          <w:r w:rsidRPr="00A4291C">
            <w:rPr>
              <w:rFonts w:eastAsia="Arial"/>
            </w:rPr>
            <w:t>with the exception of</w:t>
          </w:r>
          <w:proofErr w:type="gramEnd"/>
          <w:r w:rsidRPr="00A4291C">
            <w:rPr>
              <w:rFonts w:eastAsia="Arial"/>
            </w:rPr>
            <w:t xml:space="preserve"> destructive technologies like incineration with energy recovery, is prohibited for waste containing POPs. </w:t>
          </w:r>
        </w:p>
        <w:p w14:paraId="7E1FC87C" w14:textId="77777777" w:rsidR="00A4291C" w:rsidRPr="00A4291C" w:rsidRDefault="00A4291C" w:rsidP="00A4291C">
          <w:pPr>
            <w:spacing w:after="240"/>
            <w:rPr>
              <w:rFonts w:eastAsia="Arial"/>
            </w:rPr>
          </w:pPr>
          <w:r w:rsidRPr="00A4291C">
            <w:rPr>
              <w:rFonts w:eastAsia="Arial"/>
            </w:rPr>
            <w:t>Imports of this waste are also subject to Notification controls and disposal is normally prohibited.</w:t>
          </w:r>
        </w:p>
        <w:p w14:paraId="72DD2D7C" w14:textId="77777777" w:rsidR="00A4291C" w:rsidRPr="00A4291C" w:rsidRDefault="00A4291C" w:rsidP="00A4291C">
          <w:pPr>
            <w:keepNext/>
            <w:keepLines/>
            <w:spacing w:after="240" w:line="276" w:lineRule="auto"/>
            <w:outlineLvl w:val="0"/>
            <w:rPr>
              <w:rFonts w:ascii="Arial" w:eastAsia="Arial" w:hAnsi="Arial" w:cs="Arial"/>
              <w:b/>
              <w:bCs/>
              <w:color w:val="000000"/>
            </w:rPr>
          </w:pPr>
          <w:bookmarkStart w:id="26" w:name="_Toc184980463"/>
          <w:r w:rsidRPr="00A4291C">
            <w:rPr>
              <w:rFonts w:asciiTheme="majorHAnsi" w:eastAsiaTheme="majorEastAsia" w:hAnsiTheme="majorHAnsi" w:cstheme="majorBidi"/>
              <w:b/>
              <w:color w:val="016574" w:themeColor="accent2"/>
              <w:sz w:val="40"/>
              <w:szCs w:val="32"/>
            </w:rPr>
            <w:t>Appendix I</w:t>
          </w:r>
          <w:bookmarkEnd w:id="26"/>
        </w:p>
        <w:p w14:paraId="316B1C16" w14:textId="77777777" w:rsidR="00A4291C" w:rsidRPr="00A4291C" w:rsidRDefault="00A4291C" w:rsidP="00A4291C">
          <w:pPr>
            <w:keepNext/>
            <w:keepLines/>
            <w:spacing w:after="240" w:line="276" w:lineRule="auto"/>
            <w:outlineLvl w:val="1"/>
            <w:rPr>
              <w:rFonts w:ascii="Arial" w:eastAsia="Arial" w:hAnsi="Arial" w:cs="Arial"/>
              <w:b/>
              <w:bCs/>
              <w:color w:val="00394B"/>
              <w:sz w:val="22"/>
              <w:szCs w:val="22"/>
            </w:rPr>
          </w:pPr>
          <w:bookmarkStart w:id="27" w:name="_Toc184980464"/>
          <w:proofErr w:type="gramStart"/>
          <w:r w:rsidRPr="00A4291C">
            <w:rPr>
              <w:rFonts w:ascii="Arial" w:eastAsiaTheme="majorEastAsia" w:hAnsi="Arial" w:cstheme="majorBidi"/>
              <w:b/>
              <w:color w:val="016574" w:themeColor="accent2"/>
              <w:sz w:val="32"/>
              <w:szCs w:val="26"/>
              <w:lang w:val="en-US"/>
            </w:rPr>
            <w:t>POPs</w:t>
          </w:r>
          <w:proofErr w:type="gramEnd"/>
          <w:r w:rsidRPr="00A4291C">
            <w:rPr>
              <w:rFonts w:ascii="Arial" w:eastAsiaTheme="majorEastAsia" w:hAnsi="Arial" w:cstheme="majorBidi"/>
              <w:b/>
              <w:color w:val="016574" w:themeColor="accent2"/>
              <w:sz w:val="32"/>
              <w:szCs w:val="26"/>
              <w:lang w:val="en-US"/>
            </w:rPr>
            <w:t xml:space="preserve"> Concentration limit table</w:t>
          </w:r>
          <w:bookmarkEnd w:id="27"/>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POPS Concentration limit table"/>
            <w:tblDescription w:val="This table provides details of POPS and their associated concentration thresholds. "/>
          </w:tblPr>
          <w:tblGrid>
            <w:gridCol w:w="6105"/>
            <w:gridCol w:w="3930"/>
          </w:tblGrid>
          <w:tr w:rsidR="00A4291C" w:rsidRPr="00A4291C" w14:paraId="78A54ACE" w14:textId="77777777" w:rsidTr="0056337A">
            <w:trPr>
              <w:trHeight w:val="300"/>
              <w:tblHeader/>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1A334B38" w14:textId="77777777" w:rsidR="00A4291C" w:rsidRPr="00A4291C" w:rsidRDefault="00A4291C" w:rsidP="00A4291C">
                <w:pPr>
                  <w:spacing w:before="120" w:after="120"/>
                  <w:rPr>
                    <w:rFonts w:ascii="Arial" w:eastAsia="Arial" w:hAnsi="Arial" w:cs="Arial"/>
                    <w:b/>
                    <w:bCs/>
                    <w:color w:val="016574" w:themeColor="accent6"/>
                  </w:rPr>
                </w:pPr>
                <w:r w:rsidRPr="00A4291C">
                  <w:rPr>
                    <w:rFonts w:ascii="Arial" w:eastAsia="Arial" w:hAnsi="Arial" w:cs="Arial"/>
                    <w:b/>
                    <w:bCs/>
                    <w:color w:val="016574" w:themeColor="accent6"/>
                  </w:rPr>
                  <w:t>Persistent organic pollutant (POP)</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3CD9552C" w14:textId="77777777" w:rsidR="00A4291C" w:rsidRPr="00A4291C" w:rsidRDefault="00A4291C" w:rsidP="00A4291C">
                <w:pPr>
                  <w:spacing w:before="120" w:after="120"/>
                  <w:rPr>
                    <w:rFonts w:ascii="Arial" w:eastAsia="Arial" w:hAnsi="Arial" w:cs="Arial"/>
                    <w:b/>
                    <w:bCs/>
                    <w:color w:val="016574" w:themeColor="accent6"/>
                  </w:rPr>
                </w:pPr>
                <w:r w:rsidRPr="00A4291C">
                  <w:rPr>
                    <w:rFonts w:ascii="Arial" w:eastAsia="Arial" w:hAnsi="Arial" w:cs="Arial"/>
                    <w:b/>
                    <w:bCs/>
                    <w:color w:val="016574" w:themeColor="accent6"/>
                  </w:rPr>
                  <w:t>Concentration threshold</w:t>
                </w:r>
              </w:p>
            </w:tc>
          </w:tr>
          <w:tr w:rsidR="00A4291C" w:rsidRPr="00A4291C" w14:paraId="21230BF9"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7833A829"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Aldrin</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70C71950"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7969CFC9"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588F1750"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 xml:space="preserve">Alkanes C10 – C13, </w:t>
                </w:r>
                <w:proofErr w:type="spellStart"/>
                <w:r w:rsidRPr="00A4291C">
                  <w:rPr>
                    <w:rFonts w:ascii="Arial" w:eastAsia="Arial" w:hAnsi="Arial" w:cs="Arial"/>
                  </w:rPr>
                  <w:t>chloro</w:t>
                </w:r>
                <w:proofErr w:type="spellEnd"/>
                <w:r w:rsidRPr="00A4291C">
                  <w:rPr>
                    <w:rFonts w:ascii="Arial" w:eastAsia="Arial" w:hAnsi="Arial" w:cs="Arial"/>
                  </w:rPr>
                  <w:t xml:space="preserve"> (short-chain chlorinated </w:t>
                </w:r>
                <w:proofErr w:type="spellStart"/>
                <w:r w:rsidRPr="00A4291C">
                  <w:rPr>
                    <w:rFonts w:ascii="Arial" w:eastAsia="Arial" w:hAnsi="Arial" w:cs="Arial"/>
                  </w:rPr>
                  <w:t>parafins</w:t>
                </w:r>
                <w:proofErr w:type="spellEnd"/>
                <w:r w:rsidRPr="00A4291C">
                  <w:rPr>
                    <w:rFonts w:ascii="Arial" w:eastAsia="Arial" w:hAnsi="Arial" w:cs="Arial"/>
                  </w:rPr>
                  <w:t>) (SCCPs)</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047E395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10,000 mg per kg</w:t>
                </w:r>
              </w:p>
            </w:tc>
          </w:tr>
          <w:tr w:rsidR="00A4291C" w:rsidRPr="00A4291C" w14:paraId="7A0246E4"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B55396B"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lastRenderedPageBreak/>
                  <w:t>Chlordane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3F88B130"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26927DB0"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44668B78"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Dieldrin</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D01512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711DE215"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5CEC97D6"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Endosulfan</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7B89D0D8"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7A31ECA7"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27723F6"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Endrin</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4FAB503C"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2272F73E"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850C138"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Heptachlor</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7D11799A"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1FA538E2"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F83C76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Hexabromobiphenyl</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D84EDD7"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0F22D1EF"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083FF9C"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Hexachlorobutadiene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02F1BE6B"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100 mg per kg</w:t>
                </w:r>
              </w:p>
            </w:tc>
          </w:tr>
          <w:tr w:rsidR="00A4291C" w:rsidRPr="00A4291C" w14:paraId="567F31CF"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45DC871B"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Hexabromocyclododecane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3837FA04"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1,000 mg per kg</w:t>
                </w:r>
              </w:p>
            </w:tc>
          </w:tr>
          <w:tr w:rsidR="00A4291C" w:rsidRPr="00A4291C" w14:paraId="3C1BB959"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8A6C18A"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Hexachlorobenzene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05BC830"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49719469"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0EA251FE" w14:textId="77777777" w:rsidR="00A4291C" w:rsidRPr="00A4291C" w:rsidRDefault="00A4291C" w:rsidP="00A4291C">
                <w:pPr>
                  <w:spacing w:before="120" w:after="120"/>
                  <w:rPr>
                    <w:rFonts w:ascii="Arial" w:eastAsia="Arial" w:hAnsi="Arial" w:cs="Arial"/>
                  </w:rPr>
                </w:pPr>
                <w:proofErr w:type="spellStart"/>
                <w:r w:rsidRPr="00A4291C">
                  <w:rPr>
                    <w:rFonts w:ascii="Arial" w:eastAsia="Arial" w:hAnsi="Arial" w:cs="Arial"/>
                  </w:rPr>
                  <w:t>Mirex</w:t>
                </w:r>
                <w:proofErr w:type="spellEnd"/>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04303BC5"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35A506B1"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557618E"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Toxaphene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4463D29"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4AEFB8DA"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16FE8201"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Polychlorinated Biphenyls (PCB)</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3CCE21B4"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 xml:space="preserve">50 mg per kg (if you are not sure whether your waste contains PCBs, use the </w:t>
                </w:r>
                <w:r w:rsidRPr="00A4291C">
                  <w:rPr>
                    <w:rFonts w:ascii="Arial" w:eastAsia="Arial" w:hAnsi="Arial" w:cs="Arial"/>
                  </w:rPr>
                  <w:lastRenderedPageBreak/>
                  <w:t>calculation method given in European standards EN 12766-1 and EN 12766-2, which you can buy online)</w:t>
                </w:r>
              </w:p>
            </w:tc>
          </w:tr>
          <w:tr w:rsidR="00A4291C" w:rsidRPr="00A4291C" w14:paraId="0729A57E"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9936174"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lastRenderedPageBreak/>
                  <w:t xml:space="preserve">Polychlorinated </w:t>
                </w:r>
                <w:proofErr w:type="spellStart"/>
                <w:r w:rsidRPr="00A4291C">
                  <w:rPr>
                    <w:rFonts w:ascii="Arial" w:eastAsia="Arial" w:hAnsi="Arial" w:cs="Arial"/>
                  </w:rPr>
                  <w:t>napthalenes</w:t>
                </w:r>
                <w:proofErr w:type="spellEnd"/>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560E8C4F"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10 mg per kg</w:t>
                </w:r>
              </w:p>
            </w:tc>
          </w:tr>
          <w:tr w:rsidR="00A4291C" w:rsidRPr="00A4291C" w14:paraId="07CB1DD2"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63BE90BD"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DDT (1,1,1-trichloro-2,2-bis (4-chlorophenyl) ethane)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0C384D2"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36C1D528"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1643B73E"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Chlordecone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3ED9709C"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2930DE5F"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451B3A1F"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Polychlorinated dibenzo-p-dioxins (PCDDs) and polychlorinated dibenzofurans (PCDFs)</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409181E4"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 xml:space="preserve">15 </w:t>
                </w:r>
                <w:proofErr w:type="spellStart"/>
                <w:r w:rsidRPr="00A4291C">
                  <w:rPr>
                    <w:rFonts w:ascii="Arial" w:eastAsia="Arial" w:hAnsi="Arial" w:cs="Arial"/>
                  </w:rPr>
                  <w:t>μg</w:t>
                </w:r>
                <w:proofErr w:type="spellEnd"/>
                <w:r w:rsidRPr="00A4291C">
                  <w:rPr>
                    <w:rFonts w:ascii="Arial" w:eastAsia="Arial" w:hAnsi="Arial" w:cs="Arial"/>
                  </w:rPr>
                  <w:t xml:space="preserve"> (micrograms) per kg, meaning 0.000015g of PCDD or PCDF per kg of waste (you need to use the </w:t>
                </w:r>
                <w:hyperlink r:id="rId25" w:anchor="eel-decline">
                  <w:r w:rsidRPr="00A4291C">
                    <w:rPr>
                      <w:rFonts w:ascii="Arial" w:eastAsia="Arial" w:hAnsi="Arial" w:cs="Arial"/>
                      <w:color w:val="016574" w:themeColor="hyperlink"/>
                      <w:u w:val="single"/>
                    </w:rPr>
                    <w:t>toxic equivalency factor of each PCDD or PCDF</w:t>
                  </w:r>
                </w:hyperlink>
                <w:r w:rsidRPr="00A4291C">
                  <w:rPr>
                    <w:rFonts w:ascii="Arial" w:eastAsia="Arial" w:hAnsi="Arial" w:cs="Arial"/>
                  </w:rPr>
                  <w:t>, to calculate concentration)</w:t>
                </w:r>
              </w:p>
            </w:tc>
          </w:tr>
          <w:tr w:rsidR="00A4291C" w:rsidRPr="00A4291C" w14:paraId="47427305"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52CFB47C"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Hexachlorocyclohexanes (HCH), including lindane</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054BC7F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4339FB26"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5B435411"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 xml:space="preserve">Total of tetra-, penta-, hexa-, hepta- and </w:t>
                </w:r>
                <w:proofErr w:type="spellStart"/>
                <w:r w:rsidRPr="00A4291C">
                  <w:rPr>
                    <w:rFonts w:ascii="Arial" w:eastAsia="Arial" w:hAnsi="Arial" w:cs="Arial"/>
                  </w:rPr>
                  <w:t>deca</w:t>
                </w:r>
                <w:proofErr w:type="spellEnd"/>
                <w:r w:rsidRPr="00A4291C">
                  <w:rPr>
                    <w:rFonts w:ascii="Arial" w:eastAsia="Arial" w:hAnsi="Arial" w:cs="Arial"/>
                  </w:rPr>
                  <w:t xml:space="preserve">- </w:t>
                </w:r>
                <w:proofErr w:type="spellStart"/>
                <w:r w:rsidRPr="00A4291C">
                  <w:rPr>
                    <w:rFonts w:ascii="Arial" w:eastAsia="Arial" w:hAnsi="Arial" w:cs="Arial"/>
                  </w:rPr>
                  <w:t>bromodiphenyl</w:t>
                </w:r>
                <w:proofErr w:type="spellEnd"/>
                <w:r w:rsidRPr="00A4291C">
                  <w:rPr>
                    <w:rFonts w:ascii="Arial" w:eastAsia="Arial" w:hAnsi="Arial" w:cs="Arial"/>
                  </w:rPr>
                  <w:t xml:space="preserve"> ether</w:t>
                </w:r>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40FCF46E"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Sum of concentrations: 1,000 mg per kg</w:t>
                </w:r>
              </w:p>
            </w:tc>
          </w:tr>
          <w:tr w:rsidR="00A4291C" w:rsidRPr="00A4291C" w14:paraId="2CCBE841"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264BCD2" w14:textId="77777777" w:rsidR="00A4291C" w:rsidRPr="00A4291C" w:rsidRDefault="00A4291C" w:rsidP="00A4291C">
                <w:pPr>
                  <w:spacing w:before="120" w:after="120"/>
                  <w:rPr>
                    <w:rFonts w:ascii="Arial" w:eastAsia="Arial" w:hAnsi="Arial" w:cs="Arial"/>
                  </w:rPr>
                </w:pPr>
                <w:proofErr w:type="spellStart"/>
                <w:r w:rsidRPr="00A4291C">
                  <w:rPr>
                    <w:rFonts w:ascii="Arial" w:eastAsia="Arial" w:hAnsi="Arial" w:cs="Arial"/>
                  </w:rPr>
                  <w:t>Perfluorooctane</w:t>
                </w:r>
                <w:proofErr w:type="spellEnd"/>
                <w:r w:rsidRPr="00A4291C">
                  <w:rPr>
                    <w:rFonts w:ascii="Arial" w:eastAsia="Arial" w:hAnsi="Arial" w:cs="Arial"/>
                  </w:rPr>
                  <w:t xml:space="preserve"> sulfonic acid (PFOS) and </w:t>
                </w:r>
                <w:hyperlink r:id="rId26">
                  <w:r w:rsidRPr="00A4291C">
                    <w:rPr>
                      <w:rFonts w:ascii="Arial" w:eastAsia="Arial" w:hAnsi="Arial" w:cs="Arial"/>
                      <w:color w:val="016574" w:themeColor="hyperlink"/>
                      <w:u w:val="single"/>
                    </w:rPr>
                    <w:t>PFOS derivatives</w:t>
                  </w:r>
                </w:hyperlink>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0DAC79DE"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r w:rsidR="00A4291C" w:rsidRPr="00A4291C" w14:paraId="2269800C" w14:textId="77777777" w:rsidTr="0056337A">
            <w:trPr>
              <w:trHeight w:val="300"/>
            </w:trPr>
            <w:tc>
              <w:tcPr>
                <w:tcW w:w="6105"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2599DEB4" w14:textId="77777777" w:rsidR="00A4291C" w:rsidRPr="00A4291C" w:rsidRDefault="00A4291C" w:rsidP="00A4291C">
                <w:pPr>
                  <w:spacing w:before="120" w:after="120"/>
                  <w:rPr>
                    <w:rFonts w:ascii="Arial" w:eastAsia="Arial" w:hAnsi="Arial" w:cs="Arial"/>
                  </w:rPr>
                </w:pPr>
                <w:proofErr w:type="spellStart"/>
                <w:r w:rsidRPr="00A4291C">
                  <w:rPr>
                    <w:rFonts w:ascii="Arial" w:eastAsia="Arial" w:hAnsi="Arial" w:cs="Arial"/>
                  </w:rPr>
                  <w:lastRenderedPageBreak/>
                  <w:t>Pentachlorobenzene</w:t>
                </w:r>
                <w:proofErr w:type="spellEnd"/>
              </w:p>
            </w:tc>
            <w:tc>
              <w:tcPr>
                <w:tcW w:w="3930" w:type="dxa"/>
                <w:tcBorders>
                  <w:top w:val="single" w:sz="6" w:space="0" w:color="auto"/>
                  <w:left w:val="single" w:sz="6" w:space="0" w:color="auto"/>
                  <w:bottom w:val="single" w:sz="6" w:space="0" w:color="auto"/>
                  <w:right w:val="single" w:sz="6" w:space="0" w:color="auto"/>
                </w:tcBorders>
                <w:shd w:val="clear" w:color="auto" w:fill="FFFFFF" w:themeFill="background1"/>
                <w:tcMar>
                  <w:top w:w="135" w:type="dxa"/>
                  <w:bottom w:w="135" w:type="dxa"/>
                  <w:right w:w="135" w:type="dxa"/>
                </w:tcMar>
              </w:tcPr>
              <w:p w14:paraId="1B01781C"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50 mg per kg</w:t>
                </w:r>
              </w:p>
            </w:tc>
          </w:tr>
        </w:tbl>
        <w:p w14:paraId="15DC9909" w14:textId="77777777" w:rsidR="00A4291C" w:rsidRPr="00A4291C" w:rsidRDefault="00A4291C" w:rsidP="00A4291C">
          <w:pPr>
            <w:spacing w:before="120" w:after="120"/>
            <w:rPr>
              <w:rFonts w:ascii="Arial" w:eastAsia="Arial" w:hAnsi="Arial" w:cs="Arial"/>
              <w:color w:val="000000"/>
              <w:sz w:val="20"/>
              <w:szCs w:val="20"/>
            </w:rPr>
          </w:pPr>
        </w:p>
        <w:p w14:paraId="4AE7A3B1" w14:textId="77777777" w:rsidR="00A4291C" w:rsidRPr="00A4291C" w:rsidRDefault="00A4291C" w:rsidP="00A4291C">
          <w:pPr>
            <w:spacing w:after="240"/>
            <w:rPr>
              <w:rFonts w:ascii="Arial" w:eastAsia="Arial" w:hAnsi="Arial" w:cs="Arial"/>
              <w:color w:val="000000"/>
              <w:sz w:val="20"/>
              <w:szCs w:val="20"/>
            </w:rPr>
          </w:pPr>
          <w:r w:rsidRPr="00A4291C">
            <w:t>You can find the chemical formulae, European Community (EC) numbers and Chemical Abstract Service (CAS) numbers for each of the POPs in this table in the </w:t>
          </w:r>
          <w:hyperlink r:id="rId27" w:anchor="list-of-pops">
            <w:r w:rsidRPr="00A4291C">
              <w:rPr>
                <w:color w:val="016574" w:themeColor="hyperlink"/>
                <w:u w:val="single"/>
              </w:rPr>
              <w:t>list of POPs</w:t>
            </w:r>
          </w:hyperlink>
          <w:r w:rsidRPr="00A4291C">
            <w:t>.</w:t>
          </w:r>
        </w:p>
        <w:p w14:paraId="337FAAB2" w14:textId="77777777" w:rsidR="00A4291C" w:rsidRDefault="00A4291C" w:rsidP="00A4291C">
          <w:pPr>
            <w:spacing w:after="240"/>
          </w:pPr>
          <w:r w:rsidRPr="00A4291C">
            <w:t xml:space="preserve">Your laboratory analysis for </w:t>
          </w:r>
          <w:proofErr w:type="spellStart"/>
          <w:r w:rsidRPr="00A4291C">
            <w:t>polybromodiphenyl</w:t>
          </w:r>
          <w:proofErr w:type="spellEnd"/>
          <w:r w:rsidRPr="00A4291C">
            <w:t xml:space="preserve"> ethers (PBDEs) in plastic may significantly underestimate the concentration present because the extraction efficiency may be poor. You must measure the extraction efficiency and adjust the results accordingly.</w:t>
          </w:r>
        </w:p>
        <w:p w14:paraId="101C6547" w14:textId="77777777" w:rsidR="00552B62" w:rsidRPr="00A4291C" w:rsidRDefault="00552B62" w:rsidP="00A4291C">
          <w:pPr>
            <w:spacing w:after="240"/>
            <w:rPr>
              <w:rFonts w:ascii="Arial" w:eastAsia="Arial" w:hAnsi="Arial" w:cs="Arial"/>
              <w:color w:val="000000"/>
              <w:sz w:val="20"/>
              <w:szCs w:val="20"/>
            </w:rPr>
          </w:pPr>
        </w:p>
        <w:p w14:paraId="19C9C266" w14:textId="77777777" w:rsidR="00A4291C" w:rsidRPr="00A4291C" w:rsidRDefault="00A4291C" w:rsidP="00A4291C">
          <w:pPr>
            <w:keepNext/>
            <w:keepLines/>
            <w:spacing w:after="240" w:line="276" w:lineRule="auto"/>
            <w:outlineLvl w:val="0"/>
            <w:rPr>
              <w:rFonts w:ascii="Arial" w:eastAsia="Arial" w:hAnsi="Arial" w:cs="Arial"/>
              <w:b/>
              <w:bCs/>
              <w:color w:val="000000"/>
            </w:rPr>
          </w:pPr>
          <w:bookmarkStart w:id="28" w:name="_Toc184980465"/>
          <w:r w:rsidRPr="00A4291C">
            <w:rPr>
              <w:rFonts w:asciiTheme="majorHAnsi" w:eastAsiaTheme="majorEastAsia" w:hAnsiTheme="majorHAnsi" w:cstheme="majorBidi"/>
              <w:b/>
              <w:color w:val="016574" w:themeColor="accent2"/>
              <w:sz w:val="40"/>
              <w:szCs w:val="32"/>
            </w:rPr>
            <w:t>Appendix II</w:t>
          </w:r>
          <w:bookmarkEnd w:id="28"/>
        </w:p>
        <w:p w14:paraId="0FF1F314" w14:textId="77777777" w:rsidR="00A4291C" w:rsidRPr="00A4291C" w:rsidRDefault="00A4291C" w:rsidP="00A4291C">
          <w:pPr>
            <w:keepNext/>
            <w:keepLines/>
            <w:spacing w:after="240" w:line="276" w:lineRule="auto"/>
            <w:outlineLvl w:val="1"/>
            <w:rPr>
              <w:rFonts w:ascii="Arial" w:eastAsia="Arial" w:hAnsi="Arial" w:cs="Arial"/>
              <w:b/>
              <w:bCs/>
              <w:color w:val="00394B"/>
              <w:sz w:val="22"/>
              <w:szCs w:val="22"/>
            </w:rPr>
          </w:pPr>
          <w:bookmarkStart w:id="29" w:name="_Toc184980466"/>
          <w:r w:rsidRPr="00A4291C">
            <w:rPr>
              <w:rFonts w:ascii="Arial" w:eastAsiaTheme="majorEastAsia" w:hAnsi="Arial" w:cstheme="majorBidi"/>
              <w:b/>
              <w:color w:val="016574" w:themeColor="accent2"/>
              <w:sz w:val="32"/>
              <w:szCs w:val="26"/>
              <w:lang w:val="en-US"/>
            </w:rPr>
            <w:t>Toxic equivalency factors of PCDDs and PCDFs</w:t>
          </w:r>
          <w:bookmarkEnd w:id="29"/>
        </w:p>
        <w:p w14:paraId="370F3B0A" w14:textId="77777777" w:rsidR="00A4291C" w:rsidRPr="00A4291C" w:rsidRDefault="00A4291C" w:rsidP="00A4291C">
          <w:pPr>
            <w:spacing w:after="240"/>
            <w:rPr>
              <w:rFonts w:ascii="Arial" w:eastAsia="Arial" w:hAnsi="Arial" w:cs="Arial"/>
              <w:color w:val="000000"/>
              <w:sz w:val="20"/>
              <w:szCs w:val="20"/>
            </w:rPr>
          </w:pPr>
          <w:r w:rsidRPr="00A4291C">
            <w:t>To find out the concentration of PCDDs and PCDFs in your waste, you need to multiply the concentration of the specific PCDD or PCDF in your waste by its toxic equivalency factor (TEF).</w:t>
          </w:r>
        </w:p>
        <w:p w14:paraId="5E58CD1E" w14:textId="77777777" w:rsidR="00A4291C" w:rsidRPr="00A4291C" w:rsidRDefault="00A4291C" w:rsidP="00A4291C">
          <w:pPr>
            <w:spacing w:after="240"/>
            <w:rPr>
              <w:rFonts w:ascii="Arial" w:eastAsia="Arial" w:hAnsi="Arial" w:cs="Arial"/>
              <w:color w:val="000000"/>
              <w:sz w:val="20"/>
              <w:szCs w:val="20"/>
            </w:rPr>
          </w:pPr>
          <w:r w:rsidRPr="00A4291C">
            <w:t>We have provided the TEFs of each PCDD or PCDF in this section if you want to make calculations yourself.</w:t>
          </w:r>
        </w:p>
        <w:p w14:paraId="0FC1D39D" w14:textId="77777777" w:rsidR="00A4291C" w:rsidRPr="00A4291C" w:rsidRDefault="00A4291C" w:rsidP="00A4291C">
          <w:pPr>
            <w:spacing w:after="240"/>
            <w:rPr>
              <w:b/>
              <w:bCs/>
            </w:rPr>
          </w:pPr>
          <w:r w:rsidRPr="00A4291C">
            <w:rPr>
              <w:b/>
              <w:bCs/>
            </w:rPr>
            <w:t>Table 1: Toxic equivalency factor (TEF) for each type of PCDD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Toxic equivalency factor (TEF) for each type of PCDD"/>
            <w:tblDescription w:val="This table provides a list of PCDDs and their associated toxic equivalency factor. "/>
          </w:tblPr>
          <w:tblGrid>
            <w:gridCol w:w="5115"/>
            <w:gridCol w:w="1635"/>
          </w:tblGrid>
          <w:tr w:rsidR="00A4291C" w:rsidRPr="00A4291C" w14:paraId="1E0CD15D" w14:textId="77777777" w:rsidTr="00282C51">
            <w:trPr>
              <w:trHeight w:val="300"/>
            </w:trPr>
            <w:tc>
              <w:tcPr>
                <w:tcW w:w="5115" w:type="dxa"/>
                <w:shd w:val="clear" w:color="auto" w:fill="FFFFFF" w:themeFill="background1"/>
                <w:tcMar>
                  <w:top w:w="135" w:type="dxa"/>
                  <w:bottom w:w="135" w:type="dxa"/>
                  <w:right w:w="135" w:type="dxa"/>
                </w:tcMar>
              </w:tcPr>
              <w:p w14:paraId="19DFEE1A" w14:textId="77777777" w:rsidR="00A4291C" w:rsidRPr="00A4291C" w:rsidRDefault="00A4291C" w:rsidP="00A4291C">
                <w:pPr>
                  <w:spacing w:before="120" w:after="120"/>
                  <w:rPr>
                    <w:rFonts w:ascii="Arial" w:eastAsia="Arial" w:hAnsi="Arial" w:cs="Arial"/>
                    <w:b/>
                    <w:bCs/>
                    <w:color w:val="016574" w:themeColor="accent6"/>
                  </w:rPr>
                </w:pPr>
                <w:r w:rsidRPr="00A4291C">
                  <w:rPr>
                    <w:rFonts w:ascii="Arial" w:eastAsia="Arial" w:hAnsi="Arial" w:cs="Arial"/>
                    <w:b/>
                    <w:bCs/>
                    <w:color w:val="016574" w:themeColor="accent6"/>
                  </w:rPr>
                  <w:t>PCDD</w:t>
                </w:r>
              </w:p>
            </w:tc>
            <w:tc>
              <w:tcPr>
                <w:tcW w:w="1635" w:type="dxa"/>
                <w:shd w:val="clear" w:color="auto" w:fill="FFFFFF" w:themeFill="background1"/>
                <w:tcMar>
                  <w:top w:w="135" w:type="dxa"/>
                  <w:bottom w:w="135" w:type="dxa"/>
                  <w:right w:w="135" w:type="dxa"/>
                </w:tcMar>
              </w:tcPr>
              <w:p w14:paraId="3EBE1A89" w14:textId="77777777" w:rsidR="00A4291C" w:rsidRPr="00A4291C" w:rsidRDefault="00A4291C" w:rsidP="00A4291C">
                <w:pPr>
                  <w:spacing w:before="120" w:after="120"/>
                  <w:jc w:val="center"/>
                  <w:rPr>
                    <w:rFonts w:ascii="Arial" w:eastAsia="Arial" w:hAnsi="Arial" w:cs="Arial"/>
                    <w:b/>
                    <w:bCs/>
                    <w:color w:val="016574" w:themeColor="accent6"/>
                  </w:rPr>
                </w:pPr>
                <w:r w:rsidRPr="00A4291C">
                  <w:rPr>
                    <w:rFonts w:ascii="Arial" w:eastAsia="Arial" w:hAnsi="Arial" w:cs="Arial"/>
                    <w:b/>
                    <w:bCs/>
                    <w:color w:val="016574" w:themeColor="accent6"/>
                  </w:rPr>
                  <w:t>TEF</w:t>
                </w:r>
              </w:p>
            </w:tc>
          </w:tr>
          <w:tr w:rsidR="00A4291C" w:rsidRPr="00A4291C" w14:paraId="4861D7A4" w14:textId="77777777" w:rsidTr="00282C51">
            <w:trPr>
              <w:trHeight w:val="300"/>
            </w:trPr>
            <w:tc>
              <w:tcPr>
                <w:tcW w:w="5115" w:type="dxa"/>
                <w:shd w:val="clear" w:color="auto" w:fill="FFFFFF" w:themeFill="background1"/>
                <w:tcMar>
                  <w:top w:w="135" w:type="dxa"/>
                  <w:bottom w:w="135" w:type="dxa"/>
                  <w:right w:w="135" w:type="dxa"/>
                </w:tcMar>
              </w:tcPr>
              <w:p w14:paraId="6CC89D39"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2,3,7,8-TeCDD</w:t>
                </w:r>
              </w:p>
            </w:tc>
            <w:tc>
              <w:tcPr>
                <w:tcW w:w="1635" w:type="dxa"/>
                <w:shd w:val="clear" w:color="auto" w:fill="FFFFFF" w:themeFill="background1"/>
                <w:tcMar>
                  <w:top w:w="135" w:type="dxa"/>
                  <w:bottom w:w="135" w:type="dxa"/>
                  <w:right w:w="135" w:type="dxa"/>
                </w:tcMar>
              </w:tcPr>
              <w:p w14:paraId="674475A3"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1</w:t>
                </w:r>
              </w:p>
            </w:tc>
          </w:tr>
          <w:tr w:rsidR="00A4291C" w:rsidRPr="00A4291C" w14:paraId="5DEC3E1F" w14:textId="77777777" w:rsidTr="00282C51">
            <w:trPr>
              <w:trHeight w:val="300"/>
            </w:trPr>
            <w:tc>
              <w:tcPr>
                <w:tcW w:w="5115" w:type="dxa"/>
                <w:shd w:val="clear" w:color="auto" w:fill="FFFFFF" w:themeFill="background1"/>
                <w:tcMar>
                  <w:top w:w="135" w:type="dxa"/>
                  <w:bottom w:w="135" w:type="dxa"/>
                  <w:right w:w="135" w:type="dxa"/>
                </w:tcMar>
              </w:tcPr>
              <w:p w14:paraId="6C9A77DB"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1,2,3,7,8-PeCDD</w:t>
                </w:r>
              </w:p>
            </w:tc>
            <w:tc>
              <w:tcPr>
                <w:tcW w:w="1635" w:type="dxa"/>
                <w:shd w:val="clear" w:color="auto" w:fill="FFFFFF" w:themeFill="background1"/>
                <w:tcMar>
                  <w:top w:w="135" w:type="dxa"/>
                  <w:bottom w:w="135" w:type="dxa"/>
                  <w:right w:w="135" w:type="dxa"/>
                </w:tcMar>
              </w:tcPr>
              <w:p w14:paraId="7CF4FF1F"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1</w:t>
                </w:r>
              </w:p>
            </w:tc>
          </w:tr>
          <w:tr w:rsidR="00A4291C" w:rsidRPr="00A4291C" w14:paraId="399FCBD5" w14:textId="77777777" w:rsidTr="00282C51">
            <w:trPr>
              <w:trHeight w:val="300"/>
            </w:trPr>
            <w:tc>
              <w:tcPr>
                <w:tcW w:w="5115" w:type="dxa"/>
                <w:shd w:val="clear" w:color="auto" w:fill="FFFFFF" w:themeFill="background1"/>
                <w:tcMar>
                  <w:top w:w="135" w:type="dxa"/>
                  <w:bottom w:w="135" w:type="dxa"/>
                  <w:right w:w="135" w:type="dxa"/>
                </w:tcMar>
              </w:tcPr>
              <w:p w14:paraId="4B1820D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lastRenderedPageBreak/>
                  <w:t>1,2,3,4,7,8-HxCDD</w:t>
                </w:r>
              </w:p>
            </w:tc>
            <w:tc>
              <w:tcPr>
                <w:tcW w:w="1635" w:type="dxa"/>
                <w:shd w:val="clear" w:color="auto" w:fill="FFFFFF" w:themeFill="background1"/>
                <w:tcMar>
                  <w:top w:w="135" w:type="dxa"/>
                  <w:bottom w:w="135" w:type="dxa"/>
                  <w:right w:w="135" w:type="dxa"/>
                </w:tcMar>
              </w:tcPr>
              <w:p w14:paraId="77B01843"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2A16E35A" w14:textId="77777777" w:rsidTr="00282C51">
            <w:trPr>
              <w:trHeight w:val="300"/>
            </w:trPr>
            <w:tc>
              <w:tcPr>
                <w:tcW w:w="5115" w:type="dxa"/>
                <w:shd w:val="clear" w:color="auto" w:fill="FFFFFF" w:themeFill="background1"/>
                <w:tcMar>
                  <w:top w:w="135" w:type="dxa"/>
                  <w:bottom w:w="135" w:type="dxa"/>
                  <w:right w:w="135" w:type="dxa"/>
                </w:tcMar>
              </w:tcPr>
              <w:p w14:paraId="425B9035"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1,2,3,6,7,8-HxCDD</w:t>
                </w:r>
              </w:p>
            </w:tc>
            <w:tc>
              <w:tcPr>
                <w:tcW w:w="1635" w:type="dxa"/>
                <w:shd w:val="clear" w:color="auto" w:fill="FFFFFF" w:themeFill="background1"/>
                <w:tcMar>
                  <w:top w:w="135" w:type="dxa"/>
                  <w:bottom w:w="135" w:type="dxa"/>
                  <w:right w:w="135" w:type="dxa"/>
                </w:tcMar>
              </w:tcPr>
              <w:p w14:paraId="4DB81553"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57284DE1" w14:textId="77777777" w:rsidTr="00282C51">
            <w:trPr>
              <w:trHeight w:val="300"/>
            </w:trPr>
            <w:tc>
              <w:tcPr>
                <w:tcW w:w="5115" w:type="dxa"/>
                <w:shd w:val="clear" w:color="auto" w:fill="FFFFFF" w:themeFill="background1"/>
                <w:tcMar>
                  <w:top w:w="135" w:type="dxa"/>
                  <w:bottom w:w="135" w:type="dxa"/>
                  <w:right w:w="135" w:type="dxa"/>
                </w:tcMar>
              </w:tcPr>
              <w:p w14:paraId="4B1CB12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1,2,3,7,8,9-HxCDD</w:t>
                </w:r>
              </w:p>
            </w:tc>
            <w:tc>
              <w:tcPr>
                <w:tcW w:w="1635" w:type="dxa"/>
                <w:shd w:val="clear" w:color="auto" w:fill="FFFFFF" w:themeFill="background1"/>
                <w:tcMar>
                  <w:top w:w="135" w:type="dxa"/>
                  <w:bottom w:w="135" w:type="dxa"/>
                  <w:right w:w="135" w:type="dxa"/>
                </w:tcMar>
              </w:tcPr>
              <w:p w14:paraId="26C46375"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5AAFCB4B" w14:textId="77777777" w:rsidTr="00282C51">
            <w:trPr>
              <w:trHeight w:val="300"/>
            </w:trPr>
            <w:tc>
              <w:tcPr>
                <w:tcW w:w="5115" w:type="dxa"/>
                <w:shd w:val="clear" w:color="auto" w:fill="FFFFFF" w:themeFill="background1"/>
                <w:tcMar>
                  <w:top w:w="135" w:type="dxa"/>
                  <w:bottom w:w="135" w:type="dxa"/>
                  <w:right w:w="135" w:type="dxa"/>
                </w:tcMar>
              </w:tcPr>
              <w:p w14:paraId="40408A6E"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1,2,3,4,6,7,8-HpCDD</w:t>
                </w:r>
              </w:p>
            </w:tc>
            <w:tc>
              <w:tcPr>
                <w:tcW w:w="1635" w:type="dxa"/>
                <w:shd w:val="clear" w:color="auto" w:fill="FFFFFF" w:themeFill="background1"/>
                <w:tcMar>
                  <w:top w:w="135" w:type="dxa"/>
                  <w:bottom w:w="135" w:type="dxa"/>
                  <w:right w:w="135" w:type="dxa"/>
                </w:tcMar>
              </w:tcPr>
              <w:p w14:paraId="070B61B3"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0.01</w:t>
                </w:r>
              </w:p>
            </w:tc>
          </w:tr>
          <w:tr w:rsidR="00A4291C" w:rsidRPr="00A4291C" w14:paraId="72AC6A34" w14:textId="77777777" w:rsidTr="00282C51">
            <w:trPr>
              <w:trHeight w:val="300"/>
            </w:trPr>
            <w:tc>
              <w:tcPr>
                <w:tcW w:w="5115" w:type="dxa"/>
                <w:shd w:val="clear" w:color="auto" w:fill="FFFFFF" w:themeFill="background1"/>
                <w:tcMar>
                  <w:top w:w="135" w:type="dxa"/>
                  <w:bottom w:w="135" w:type="dxa"/>
                  <w:right w:w="135" w:type="dxa"/>
                </w:tcMar>
              </w:tcPr>
              <w:p w14:paraId="2516F016"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OCDD</w:t>
                </w:r>
              </w:p>
            </w:tc>
            <w:tc>
              <w:tcPr>
                <w:tcW w:w="1635" w:type="dxa"/>
                <w:shd w:val="clear" w:color="auto" w:fill="FFFFFF" w:themeFill="background1"/>
                <w:tcMar>
                  <w:top w:w="135" w:type="dxa"/>
                  <w:bottom w:w="135" w:type="dxa"/>
                  <w:right w:w="135" w:type="dxa"/>
                </w:tcMar>
              </w:tcPr>
              <w:p w14:paraId="7C054EC9"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0.0003</w:t>
                </w:r>
              </w:p>
            </w:tc>
          </w:tr>
          <w:tr w:rsidR="00A4291C" w:rsidRPr="00A4291C" w14:paraId="344BDFC7" w14:textId="77777777" w:rsidTr="00282C51">
            <w:trPr>
              <w:trHeight w:val="300"/>
            </w:trPr>
            <w:tc>
              <w:tcPr>
                <w:tcW w:w="5115" w:type="dxa"/>
                <w:shd w:val="clear" w:color="auto" w:fill="FFFFFF" w:themeFill="background1"/>
                <w:tcMar>
                  <w:top w:w="135" w:type="dxa"/>
                  <w:bottom w:w="135" w:type="dxa"/>
                  <w:right w:w="135" w:type="dxa"/>
                </w:tcMar>
              </w:tcPr>
              <w:p w14:paraId="5B735063"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1,2,3,6,7,8-HxCDF</w:t>
                </w:r>
              </w:p>
            </w:tc>
            <w:tc>
              <w:tcPr>
                <w:tcW w:w="1635" w:type="dxa"/>
                <w:shd w:val="clear" w:color="auto" w:fill="FFFFFF" w:themeFill="background1"/>
                <w:tcMar>
                  <w:top w:w="135" w:type="dxa"/>
                  <w:bottom w:w="135" w:type="dxa"/>
                  <w:right w:w="135" w:type="dxa"/>
                </w:tcMar>
              </w:tcPr>
              <w:p w14:paraId="71DFDDC6"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06C91F43" w14:textId="77777777" w:rsidTr="00282C51">
            <w:trPr>
              <w:trHeight w:val="300"/>
            </w:trPr>
            <w:tc>
              <w:tcPr>
                <w:tcW w:w="5115" w:type="dxa"/>
                <w:shd w:val="clear" w:color="auto" w:fill="FFFFFF" w:themeFill="background1"/>
                <w:tcMar>
                  <w:top w:w="135" w:type="dxa"/>
                  <w:bottom w:w="135" w:type="dxa"/>
                  <w:right w:w="135" w:type="dxa"/>
                </w:tcMar>
              </w:tcPr>
              <w:p w14:paraId="5DD4B008"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1,2,3,7,8,9-HxCDF</w:t>
                </w:r>
              </w:p>
            </w:tc>
            <w:tc>
              <w:tcPr>
                <w:tcW w:w="1635" w:type="dxa"/>
                <w:shd w:val="clear" w:color="auto" w:fill="FFFFFF" w:themeFill="background1"/>
                <w:tcMar>
                  <w:top w:w="135" w:type="dxa"/>
                  <w:bottom w:w="135" w:type="dxa"/>
                  <w:right w:w="135" w:type="dxa"/>
                </w:tcMar>
              </w:tcPr>
              <w:p w14:paraId="4371FB79"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7BC6326E" w14:textId="77777777" w:rsidTr="00282C51">
            <w:trPr>
              <w:trHeight w:val="300"/>
            </w:trPr>
            <w:tc>
              <w:tcPr>
                <w:tcW w:w="5115" w:type="dxa"/>
                <w:shd w:val="clear" w:color="auto" w:fill="FFFFFF" w:themeFill="background1"/>
                <w:tcMar>
                  <w:top w:w="135" w:type="dxa"/>
                  <w:bottom w:w="135" w:type="dxa"/>
                  <w:right w:w="135" w:type="dxa"/>
                </w:tcMar>
              </w:tcPr>
              <w:p w14:paraId="6CC0F9B2"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2,3,4,6,7,8-HxCDF</w:t>
                </w:r>
              </w:p>
            </w:tc>
            <w:tc>
              <w:tcPr>
                <w:tcW w:w="1635" w:type="dxa"/>
                <w:shd w:val="clear" w:color="auto" w:fill="FFFFFF" w:themeFill="background1"/>
                <w:tcMar>
                  <w:top w:w="135" w:type="dxa"/>
                  <w:bottom w:w="135" w:type="dxa"/>
                  <w:right w:w="135" w:type="dxa"/>
                </w:tcMar>
              </w:tcPr>
              <w:p w14:paraId="42380FE2"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0D106E67" w14:textId="77777777" w:rsidTr="00282C51">
            <w:trPr>
              <w:trHeight w:val="300"/>
            </w:trPr>
            <w:tc>
              <w:tcPr>
                <w:tcW w:w="5115" w:type="dxa"/>
                <w:shd w:val="clear" w:color="auto" w:fill="FFFFFF" w:themeFill="background1"/>
                <w:tcMar>
                  <w:top w:w="135" w:type="dxa"/>
                  <w:bottom w:w="135" w:type="dxa"/>
                  <w:right w:w="135" w:type="dxa"/>
                </w:tcMar>
              </w:tcPr>
              <w:p w14:paraId="7D89A449"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1,2,3,4,6,7,8-HpCDF</w:t>
                </w:r>
              </w:p>
            </w:tc>
            <w:tc>
              <w:tcPr>
                <w:tcW w:w="1635" w:type="dxa"/>
                <w:shd w:val="clear" w:color="auto" w:fill="FFFFFF" w:themeFill="background1"/>
                <w:tcMar>
                  <w:top w:w="135" w:type="dxa"/>
                  <w:bottom w:w="135" w:type="dxa"/>
                  <w:right w:w="135" w:type="dxa"/>
                </w:tcMar>
              </w:tcPr>
              <w:p w14:paraId="24708E51"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0.01</w:t>
                </w:r>
              </w:p>
            </w:tc>
          </w:tr>
          <w:tr w:rsidR="00A4291C" w:rsidRPr="00A4291C" w14:paraId="44EF182B" w14:textId="77777777" w:rsidTr="00282C51">
            <w:trPr>
              <w:trHeight w:val="300"/>
            </w:trPr>
            <w:tc>
              <w:tcPr>
                <w:tcW w:w="5115" w:type="dxa"/>
                <w:shd w:val="clear" w:color="auto" w:fill="FFFFFF" w:themeFill="background1"/>
                <w:tcMar>
                  <w:top w:w="135" w:type="dxa"/>
                  <w:bottom w:w="135" w:type="dxa"/>
                  <w:right w:w="135" w:type="dxa"/>
                </w:tcMar>
              </w:tcPr>
              <w:p w14:paraId="4A682901"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1,2,3,4,7,8,9-HpCDF</w:t>
                </w:r>
              </w:p>
            </w:tc>
            <w:tc>
              <w:tcPr>
                <w:tcW w:w="1635" w:type="dxa"/>
                <w:shd w:val="clear" w:color="auto" w:fill="FFFFFF" w:themeFill="background1"/>
                <w:tcMar>
                  <w:top w:w="135" w:type="dxa"/>
                  <w:bottom w:w="135" w:type="dxa"/>
                  <w:right w:w="135" w:type="dxa"/>
                </w:tcMar>
              </w:tcPr>
              <w:p w14:paraId="18F9DF10"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0.01</w:t>
                </w:r>
              </w:p>
            </w:tc>
          </w:tr>
          <w:tr w:rsidR="00A4291C" w:rsidRPr="00A4291C" w14:paraId="108B5DE6" w14:textId="77777777" w:rsidTr="00282C51">
            <w:trPr>
              <w:trHeight w:val="300"/>
            </w:trPr>
            <w:tc>
              <w:tcPr>
                <w:tcW w:w="5115" w:type="dxa"/>
                <w:shd w:val="clear" w:color="auto" w:fill="FFFFFF" w:themeFill="background1"/>
                <w:tcMar>
                  <w:top w:w="135" w:type="dxa"/>
                  <w:bottom w:w="135" w:type="dxa"/>
                  <w:right w:w="135" w:type="dxa"/>
                </w:tcMar>
              </w:tcPr>
              <w:p w14:paraId="237EFBAB"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OCDF</w:t>
                </w:r>
              </w:p>
            </w:tc>
            <w:tc>
              <w:tcPr>
                <w:tcW w:w="1635" w:type="dxa"/>
                <w:shd w:val="clear" w:color="auto" w:fill="FFFFFF" w:themeFill="background1"/>
                <w:tcMar>
                  <w:top w:w="135" w:type="dxa"/>
                  <w:bottom w:w="135" w:type="dxa"/>
                  <w:right w:w="135" w:type="dxa"/>
                </w:tcMar>
              </w:tcPr>
              <w:p w14:paraId="5989A4FD"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0.0003</w:t>
                </w:r>
              </w:p>
            </w:tc>
          </w:tr>
        </w:tbl>
        <w:p w14:paraId="4D9DE7D1" w14:textId="77777777" w:rsidR="00A4291C" w:rsidRPr="00A4291C" w:rsidRDefault="00A4291C" w:rsidP="00A4291C">
          <w:pPr>
            <w:spacing w:before="100" w:after="100"/>
            <w:ind w:left="720" w:hanging="360"/>
            <w:jc w:val="both"/>
            <w:rPr>
              <w:rFonts w:ascii="Arial" w:eastAsia="Arial" w:hAnsi="Arial" w:cs="Arial"/>
              <w:color w:val="268472"/>
              <w:sz w:val="22"/>
              <w:szCs w:val="22"/>
            </w:rPr>
          </w:pPr>
        </w:p>
        <w:p w14:paraId="3DD31DA9" w14:textId="77777777" w:rsidR="00A4291C" w:rsidRPr="00A4291C" w:rsidRDefault="00A4291C" w:rsidP="00A4291C">
          <w:pPr>
            <w:spacing w:after="240"/>
            <w:rPr>
              <w:b/>
              <w:bCs/>
            </w:rPr>
          </w:pPr>
          <w:r w:rsidRPr="00A4291C">
            <w:rPr>
              <w:b/>
              <w:bCs/>
            </w:rPr>
            <w:t>Table 2: Toxic equivalency factor (TEF) for each type of PCDF</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Toxic equivalency factor for each type of PCDF"/>
            <w:tblDescription w:val="This table provides a list of PCDFs and their associated toxic equivalency factor. "/>
          </w:tblPr>
          <w:tblGrid>
            <w:gridCol w:w="5130"/>
            <w:gridCol w:w="1680"/>
          </w:tblGrid>
          <w:tr w:rsidR="00A4291C" w:rsidRPr="00A4291C" w14:paraId="180EA016" w14:textId="77777777" w:rsidTr="00282C51">
            <w:trPr>
              <w:trHeight w:val="300"/>
            </w:trPr>
            <w:tc>
              <w:tcPr>
                <w:tcW w:w="5130" w:type="dxa"/>
                <w:shd w:val="clear" w:color="auto" w:fill="FFFFFF" w:themeFill="background1"/>
                <w:tcMar>
                  <w:top w:w="135" w:type="dxa"/>
                  <w:bottom w:w="135" w:type="dxa"/>
                  <w:right w:w="135" w:type="dxa"/>
                </w:tcMar>
              </w:tcPr>
              <w:p w14:paraId="6725A2FA" w14:textId="77777777" w:rsidR="00A4291C" w:rsidRPr="00A4291C" w:rsidRDefault="00A4291C" w:rsidP="00A4291C">
                <w:pPr>
                  <w:spacing w:before="120" w:after="120"/>
                  <w:rPr>
                    <w:rFonts w:ascii="Arial" w:eastAsia="Arial" w:hAnsi="Arial" w:cs="Arial"/>
                    <w:b/>
                    <w:bCs/>
                    <w:color w:val="016574" w:themeColor="accent6"/>
                  </w:rPr>
                </w:pPr>
                <w:r w:rsidRPr="00A4291C">
                  <w:rPr>
                    <w:rFonts w:ascii="Arial" w:eastAsia="Arial" w:hAnsi="Arial" w:cs="Arial"/>
                    <w:b/>
                    <w:bCs/>
                    <w:color w:val="016574" w:themeColor="accent6"/>
                  </w:rPr>
                  <w:t>PCDF</w:t>
                </w:r>
              </w:p>
            </w:tc>
            <w:tc>
              <w:tcPr>
                <w:tcW w:w="1680" w:type="dxa"/>
                <w:shd w:val="clear" w:color="auto" w:fill="FFFFFF" w:themeFill="background1"/>
                <w:tcMar>
                  <w:top w:w="135" w:type="dxa"/>
                  <w:bottom w:w="135" w:type="dxa"/>
                  <w:right w:w="135" w:type="dxa"/>
                </w:tcMar>
              </w:tcPr>
              <w:p w14:paraId="29EA2EB5" w14:textId="77777777" w:rsidR="00A4291C" w:rsidRPr="00A4291C" w:rsidRDefault="00A4291C" w:rsidP="00A4291C">
                <w:pPr>
                  <w:spacing w:before="120" w:after="120"/>
                  <w:jc w:val="center"/>
                  <w:rPr>
                    <w:rFonts w:ascii="Arial" w:eastAsia="Arial" w:hAnsi="Arial" w:cs="Arial"/>
                    <w:b/>
                    <w:bCs/>
                    <w:color w:val="016574" w:themeColor="accent6"/>
                  </w:rPr>
                </w:pPr>
                <w:r w:rsidRPr="00A4291C">
                  <w:rPr>
                    <w:rFonts w:ascii="Arial" w:eastAsia="Arial" w:hAnsi="Arial" w:cs="Arial"/>
                    <w:b/>
                    <w:bCs/>
                    <w:color w:val="016574" w:themeColor="accent6"/>
                  </w:rPr>
                  <w:t>TEF</w:t>
                </w:r>
              </w:p>
            </w:tc>
          </w:tr>
          <w:tr w:rsidR="00A4291C" w:rsidRPr="00A4291C" w14:paraId="77388F98" w14:textId="77777777" w:rsidTr="00282C51">
            <w:trPr>
              <w:trHeight w:val="300"/>
            </w:trPr>
            <w:tc>
              <w:tcPr>
                <w:tcW w:w="5130" w:type="dxa"/>
                <w:shd w:val="clear" w:color="auto" w:fill="FFFFFF" w:themeFill="background1"/>
                <w:tcMar>
                  <w:top w:w="135" w:type="dxa"/>
                  <w:bottom w:w="135" w:type="dxa"/>
                  <w:right w:w="135" w:type="dxa"/>
                </w:tcMar>
              </w:tcPr>
              <w:p w14:paraId="042026AA"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lastRenderedPageBreak/>
                  <w:t>2,3,7,8-TeCDF</w:t>
                </w:r>
              </w:p>
            </w:tc>
            <w:tc>
              <w:tcPr>
                <w:tcW w:w="1680" w:type="dxa"/>
                <w:shd w:val="clear" w:color="auto" w:fill="FFFFFF" w:themeFill="background1"/>
                <w:tcMar>
                  <w:top w:w="135" w:type="dxa"/>
                  <w:bottom w:w="135" w:type="dxa"/>
                  <w:right w:w="135" w:type="dxa"/>
                </w:tcMar>
              </w:tcPr>
              <w:p w14:paraId="607803D9"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r w:rsidR="00A4291C" w:rsidRPr="00A4291C" w14:paraId="481E4E1E" w14:textId="77777777" w:rsidTr="00282C51">
            <w:trPr>
              <w:trHeight w:val="300"/>
            </w:trPr>
            <w:tc>
              <w:tcPr>
                <w:tcW w:w="5130" w:type="dxa"/>
                <w:shd w:val="clear" w:color="auto" w:fill="FFFFFF" w:themeFill="background1"/>
                <w:tcMar>
                  <w:top w:w="135" w:type="dxa"/>
                  <w:bottom w:w="135" w:type="dxa"/>
                  <w:right w:w="135" w:type="dxa"/>
                </w:tcMar>
              </w:tcPr>
              <w:p w14:paraId="4FE9AC69"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1,2,3,7,8-PeCDF</w:t>
                </w:r>
              </w:p>
            </w:tc>
            <w:tc>
              <w:tcPr>
                <w:tcW w:w="1680" w:type="dxa"/>
                <w:shd w:val="clear" w:color="auto" w:fill="FFFFFF" w:themeFill="background1"/>
                <w:tcMar>
                  <w:top w:w="135" w:type="dxa"/>
                  <w:bottom w:w="135" w:type="dxa"/>
                  <w:right w:w="135" w:type="dxa"/>
                </w:tcMar>
              </w:tcPr>
              <w:p w14:paraId="52880B17"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0.03</w:t>
                </w:r>
              </w:p>
            </w:tc>
          </w:tr>
          <w:tr w:rsidR="00A4291C" w:rsidRPr="00A4291C" w14:paraId="3C59FB7C" w14:textId="77777777" w:rsidTr="00282C51">
            <w:trPr>
              <w:trHeight w:val="300"/>
            </w:trPr>
            <w:tc>
              <w:tcPr>
                <w:tcW w:w="5130" w:type="dxa"/>
                <w:shd w:val="clear" w:color="auto" w:fill="FFFFFF" w:themeFill="background1"/>
                <w:tcMar>
                  <w:top w:w="135" w:type="dxa"/>
                  <w:bottom w:w="135" w:type="dxa"/>
                  <w:right w:w="135" w:type="dxa"/>
                </w:tcMar>
              </w:tcPr>
              <w:p w14:paraId="4DA7A9CB"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2,3,4,7,8-PeCDF</w:t>
                </w:r>
              </w:p>
            </w:tc>
            <w:tc>
              <w:tcPr>
                <w:tcW w:w="1680" w:type="dxa"/>
                <w:shd w:val="clear" w:color="auto" w:fill="FFFFFF" w:themeFill="background1"/>
                <w:tcMar>
                  <w:top w:w="135" w:type="dxa"/>
                  <w:bottom w:w="135" w:type="dxa"/>
                  <w:right w:w="135" w:type="dxa"/>
                </w:tcMar>
              </w:tcPr>
              <w:p w14:paraId="3429A2DE"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0.3</w:t>
                </w:r>
              </w:p>
            </w:tc>
          </w:tr>
          <w:tr w:rsidR="00A4291C" w:rsidRPr="00A4291C" w14:paraId="7D044626" w14:textId="77777777" w:rsidTr="00282C51">
            <w:trPr>
              <w:trHeight w:val="300"/>
            </w:trPr>
            <w:tc>
              <w:tcPr>
                <w:tcW w:w="5130" w:type="dxa"/>
                <w:shd w:val="clear" w:color="auto" w:fill="FFFFFF" w:themeFill="background1"/>
                <w:tcMar>
                  <w:top w:w="135" w:type="dxa"/>
                  <w:bottom w:w="135" w:type="dxa"/>
                  <w:right w:w="135" w:type="dxa"/>
                </w:tcMar>
              </w:tcPr>
              <w:p w14:paraId="63119FE8" w14:textId="77777777" w:rsidR="00A4291C" w:rsidRPr="00A4291C" w:rsidRDefault="00A4291C" w:rsidP="00A4291C">
                <w:pPr>
                  <w:spacing w:before="120" w:after="120"/>
                  <w:rPr>
                    <w:rFonts w:ascii="Arial" w:eastAsia="Arial" w:hAnsi="Arial" w:cs="Arial"/>
                  </w:rPr>
                </w:pPr>
                <w:r w:rsidRPr="00A4291C">
                  <w:rPr>
                    <w:rFonts w:ascii="Arial" w:eastAsia="Arial" w:hAnsi="Arial" w:cs="Arial"/>
                  </w:rPr>
                  <w:t>1,2,3,4,7,8-HxCDF</w:t>
                </w:r>
              </w:p>
            </w:tc>
            <w:tc>
              <w:tcPr>
                <w:tcW w:w="1680" w:type="dxa"/>
                <w:shd w:val="clear" w:color="auto" w:fill="FFFFFF" w:themeFill="background1"/>
                <w:tcMar>
                  <w:top w:w="135" w:type="dxa"/>
                  <w:bottom w:w="135" w:type="dxa"/>
                  <w:right w:w="135" w:type="dxa"/>
                </w:tcMar>
              </w:tcPr>
              <w:p w14:paraId="36307BA5" w14:textId="77777777" w:rsidR="00A4291C" w:rsidRPr="00A4291C" w:rsidRDefault="00A4291C" w:rsidP="00A4291C">
                <w:pPr>
                  <w:spacing w:before="120" w:after="120"/>
                  <w:jc w:val="center"/>
                  <w:rPr>
                    <w:rFonts w:ascii="Arial" w:eastAsia="Arial" w:hAnsi="Arial" w:cs="Arial"/>
                  </w:rPr>
                </w:pPr>
                <w:r w:rsidRPr="00A4291C">
                  <w:rPr>
                    <w:rFonts w:ascii="Arial" w:eastAsia="Arial" w:hAnsi="Arial" w:cs="Arial"/>
                  </w:rPr>
                  <w:t>0.1</w:t>
                </w:r>
              </w:p>
            </w:tc>
          </w:tr>
        </w:tbl>
        <w:p w14:paraId="172CD747" w14:textId="77777777" w:rsidR="00552B62" w:rsidRDefault="00552B62" w:rsidP="00A4291C">
          <w:pPr>
            <w:keepNext/>
            <w:keepLines/>
            <w:spacing w:after="240" w:line="276" w:lineRule="auto"/>
            <w:outlineLvl w:val="1"/>
            <w:rPr>
              <w:rFonts w:ascii="Arial" w:eastAsiaTheme="majorEastAsia" w:hAnsi="Arial" w:cstheme="majorBidi"/>
              <w:b/>
              <w:color w:val="016574" w:themeColor="accent2"/>
              <w:sz w:val="32"/>
              <w:szCs w:val="26"/>
            </w:rPr>
          </w:pPr>
        </w:p>
        <w:p w14:paraId="28041E83" w14:textId="6735D4AD" w:rsidR="00A4291C" w:rsidRPr="00A4291C" w:rsidRDefault="00A4291C" w:rsidP="00A4291C">
          <w:pPr>
            <w:keepNext/>
            <w:keepLines/>
            <w:spacing w:after="240" w:line="276" w:lineRule="auto"/>
            <w:outlineLvl w:val="1"/>
            <w:rPr>
              <w:rFonts w:ascii="Arial" w:eastAsia="Arial" w:hAnsi="Arial" w:cs="Arial"/>
              <w:color w:val="000000"/>
              <w:sz w:val="20"/>
              <w:szCs w:val="20"/>
            </w:rPr>
          </w:pPr>
          <w:bookmarkStart w:id="30" w:name="_Toc184980467"/>
          <w:r w:rsidRPr="00A4291C">
            <w:rPr>
              <w:rFonts w:ascii="Arial" w:eastAsiaTheme="majorEastAsia" w:hAnsi="Arial" w:cstheme="majorBidi"/>
              <w:b/>
              <w:color w:val="016574" w:themeColor="accent2"/>
              <w:sz w:val="32"/>
              <w:szCs w:val="26"/>
            </w:rPr>
            <w:t>Mixtures of multiple PCDDs or PCDFs</w:t>
          </w:r>
          <w:bookmarkEnd w:id="30"/>
        </w:p>
        <w:p w14:paraId="4113410F" w14:textId="77777777" w:rsidR="00A4291C" w:rsidRPr="00A4291C" w:rsidRDefault="00A4291C" w:rsidP="00A4291C">
          <w:pPr>
            <w:spacing w:after="240"/>
            <w:rPr>
              <w:rFonts w:ascii="Arial" w:eastAsia="Arial" w:hAnsi="Arial" w:cs="Arial"/>
              <w:color w:val="000000"/>
              <w:sz w:val="20"/>
              <w:szCs w:val="20"/>
            </w:rPr>
          </w:pPr>
          <w:r w:rsidRPr="00A4291C">
            <w:t>If your waste contains a mixture of several different PCDDs and PCDFs. You need to multiply each PCDD or PCDF by its </w:t>
          </w:r>
          <w:proofErr w:type="gramStart"/>
          <w:r w:rsidRPr="00A4291C">
            <w:t>TEF, and</w:t>
          </w:r>
          <w:proofErr w:type="gramEnd"/>
          <w:r w:rsidRPr="00A4291C">
            <w:t xml:space="preserve"> then add the concentrations together.</w:t>
          </w:r>
        </w:p>
        <w:p w14:paraId="1AB3C281" w14:textId="77777777" w:rsidR="00A4291C" w:rsidRPr="00A4291C" w:rsidRDefault="00A4291C" w:rsidP="00A4291C">
          <w:pPr>
            <w:spacing w:after="240"/>
            <w:rPr>
              <w:rFonts w:ascii="Arial" w:eastAsia="Arial" w:hAnsi="Arial" w:cs="Arial"/>
              <w:color w:val="000000"/>
              <w:sz w:val="20"/>
              <w:szCs w:val="20"/>
            </w:rPr>
          </w:pPr>
          <w:r w:rsidRPr="00A4291C">
            <w:t>Example calculation</w:t>
          </w:r>
        </w:p>
        <w:p w14:paraId="7D399179" w14:textId="77777777" w:rsidR="00A4291C" w:rsidRPr="00A4291C" w:rsidRDefault="00A4291C" w:rsidP="00A4291C">
          <w:pPr>
            <w:spacing w:after="240"/>
            <w:rPr>
              <w:rFonts w:ascii="Arial" w:eastAsia="Arial" w:hAnsi="Arial" w:cs="Arial"/>
              <w:color w:val="000000"/>
              <w:sz w:val="20"/>
              <w:szCs w:val="20"/>
            </w:rPr>
          </w:pPr>
          <w:r w:rsidRPr="00A4291C">
            <w:t xml:space="preserve">If your waste contains 1,2,3,7,8-PeCDD at a concentration of 14 </w:t>
          </w:r>
          <w:proofErr w:type="spellStart"/>
          <w:r w:rsidRPr="00A4291C">
            <w:t>μg</w:t>
          </w:r>
          <w:proofErr w:type="spellEnd"/>
          <w:r w:rsidRPr="00A4291C">
            <w:t xml:space="preserve"> per kg and 1,2,3,4,7,8-HxCDD at a concentration of 30 </w:t>
          </w:r>
          <w:proofErr w:type="spellStart"/>
          <w:r w:rsidRPr="00A4291C">
            <w:t>μg</w:t>
          </w:r>
          <w:proofErr w:type="spellEnd"/>
          <w:r w:rsidRPr="00A4291C">
            <w:t xml:space="preserve"> per kg, you </w:t>
          </w:r>
          <w:proofErr w:type="gramStart"/>
          <w:r w:rsidRPr="00A4291C">
            <w:t>would</w:t>
          </w:r>
          <w:proofErr w:type="gramEnd"/>
          <w:r w:rsidRPr="00A4291C">
            <w:t xml:space="preserve"> calculate the concentration of PCDDs and PCDFs as follows.</w:t>
          </w:r>
        </w:p>
        <w:p w14:paraId="248EBB28" w14:textId="77777777" w:rsidR="00A4291C" w:rsidRPr="00A4291C" w:rsidRDefault="00A4291C" w:rsidP="00A4291C">
          <w:pPr>
            <w:spacing w:after="240"/>
            <w:rPr>
              <w:rFonts w:ascii="Arial" w:eastAsia="Arial" w:hAnsi="Arial" w:cs="Arial"/>
              <w:color w:val="000000"/>
              <w:sz w:val="20"/>
              <w:szCs w:val="20"/>
            </w:rPr>
          </w:pPr>
          <w:r w:rsidRPr="00A4291C">
            <w:t xml:space="preserve">14 </w:t>
          </w:r>
          <w:proofErr w:type="spellStart"/>
          <w:r w:rsidRPr="00A4291C">
            <w:t>μg</w:t>
          </w:r>
          <w:proofErr w:type="spellEnd"/>
          <w:r w:rsidRPr="00A4291C">
            <w:t xml:space="preserve"> per kg x 1 (TEF of 1,2,3,7,8-PeCDD) + 30 </w:t>
          </w:r>
          <w:proofErr w:type="spellStart"/>
          <w:r w:rsidRPr="00A4291C">
            <w:t>μg</w:t>
          </w:r>
          <w:proofErr w:type="spellEnd"/>
          <w:r w:rsidRPr="00A4291C">
            <w:t xml:space="preserve"> per kg x 0.1 (TEF of 1,2,3,4,7,8-HxCDD)</w:t>
          </w:r>
          <w:r w:rsidRPr="00A4291C">
            <w:br/>
            <w:t xml:space="preserve">= 14 </w:t>
          </w:r>
          <w:proofErr w:type="spellStart"/>
          <w:r w:rsidRPr="00A4291C">
            <w:t>μg</w:t>
          </w:r>
          <w:proofErr w:type="spellEnd"/>
          <w:r w:rsidRPr="00A4291C">
            <w:t xml:space="preserve"> per kg + 3 </w:t>
          </w:r>
          <w:proofErr w:type="spellStart"/>
          <w:r w:rsidRPr="00A4291C">
            <w:t>μg</w:t>
          </w:r>
          <w:proofErr w:type="spellEnd"/>
          <w:r w:rsidRPr="00A4291C">
            <w:t xml:space="preserve"> per kg</w:t>
          </w:r>
          <w:r w:rsidRPr="00A4291C">
            <w:br/>
            <w:t xml:space="preserve">= 17 </w:t>
          </w:r>
          <w:proofErr w:type="spellStart"/>
          <w:r w:rsidRPr="00A4291C">
            <w:t>μg</w:t>
          </w:r>
          <w:proofErr w:type="spellEnd"/>
          <w:r w:rsidRPr="00A4291C">
            <w:t xml:space="preserve"> per kg</w:t>
          </w:r>
        </w:p>
        <w:p w14:paraId="79FA8F6F" w14:textId="30D9B528" w:rsidR="00A4291C" w:rsidRPr="00A4291C" w:rsidRDefault="00A4291C" w:rsidP="00802EE9">
          <w:pPr>
            <w:spacing w:after="240"/>
            <w:rPr>
              <w:rFonts w:ascii="Arial" w:eastAsia="Arial" w:hAnsi="Arial" w:cs="Arial"/>
              <w:color w:val="000000"/>
              <w:sz w:val="20"/>
              <w:szCs w:val="20"/>
            </w:rPr>
          </w:pPr>
          <w:r w:rsidRPr="00A4291C">
            <w:t xml:space="preserve">In this case the concentration of PCDDs and PCDFs in your waste would be above the threshold in the concentrations table (15 </w:t>
          </w:r>
          <w:proofErr w:type="spellStart"/>
          <w:r w:rsidRPr="00A4291C">
            <w:t>μg</w:t>
          </w:r>
          <w:proofErr w:type="spellEnd"/>
          <w:r w:rsidRPr="00A4291C">
            <w:t xml:space="preserve"> per kg). </w:t>
          </w:r>
          <w:r w:rsidR="00073A5A" w:rsidRPr="00A4291C">
            <w:t>Therefore,</w:t>
          </w:r>
          <w:r w:rsidRPr="00A4291C">
            <w:t xml:space="preserve"> you would have to follow this guide when you dispose of it.</w:t>
          </w:r>
        </w:p>
        <w:p w14:paraId="1C5D8B7D" w14:textId="77777777" w:rsidR="00A4291C" w:rsidRPr="00A4291C" w:rsidRDefault="00A4291C" w:rsidP="00A4291C">
          <w:pPr>
            <w:spacing w:before="120" w:after="120"/>
            <w:rPr>
              <w:rFonts w:ascii="Arial" w:eastAsia="Arial" w:hAnsi="Arial" w:cs="Arial"/>
              <w:color w:val="000000"/>
              <w:sz w:val="20"/>
              <w:szCs w:val="20"/>
            </w:rPr>
          </w:pPr>
        </w:p>
        <w:p w14:paraId="4BBCFF1E" w14:textId="77777777" w:rsidR="00A4291C" w:rsidRPr="00A4291C" w:rsidRDefault="00A4291C" w:rsidP="00A4291C">
          <w:pPr>
            <w:keepNext/>
            <w:keepLines/>
            <w:spacing w:after="240" w:line="276" w:lineRule="auto"/>
            <w:outlineLvl w:val="0"/>
            <w:rPr>
              <w:rFonts w:ascii="Arial" w:eastAsia="Arial" w:hAnsi="Arial" w:cs="Arial"/>
              <w:b/>
              <w:bCs/>
              <w:color w:val="000000"/>
            </w:rPr>
          </w:pPr>
          <w:bookmarkStart w:id="31" w:name="_Toc184980468"/>
          <w:r w:rsidRPr="00A4291C">
            <w:rPr>
              <w:rFonts w:asciiTheme="majorHAnsi" w:eastAsiaTheme="majorEastAsia" w:hAnsiTheme="majorHAnsi" w:cstheme="majorBidi"/>
              <w:b/>
              <w:color w:val="016574" w:themeColor="accent2"/>
              <w:sz w:val="40"/>
              <w:szCs w:val="32"/>
            </w:rPr>
            <w:lastRenderedPageBreak/>
            <w:t>Appendix III</w:t>
          </w:r>
          <w:bookmarkEnd w:id="31"/>
          <w:r w:rsidRPr="00A4291C">
            <w:rPr>
              <w:rFonts w:asciiTheme="majorHAnsi" w:eastAsiaTheme="majorEastAsia" w:hAnsiTheme="majorHAnsi" w:cstheme="majorBidi"/>
              <w:b/>
              <w:color w:val="016574" w:themeColor="accent2"/>
              <w:sz w:val="40"/>
              <w:szCs w:val="32"/>
            </w:rPr>
            <w:t xml:space="preserve"> </w:t>
          </w:r>
        </w:p>
        <w:p w14:paraId="476C0DF5" w14:textId="77777777" w:rsidR="00A4291C" w:rsidRPr="00A4291C" w:rsidRDefault="00A4291C" w:rsidP="00A4291C">
          <w:pPr>
            <w:keepNext/>
            <w:keepLines/>
            <w:spacing w:after="240" w:line="276" w:lineRule="auto"/>
            <w:outlineLvl w:val="1"/>
            <w:rPr>
              <w:rFonts w:ascii="Arial" w:eastAsia="Arial" w:hAnsi="Arial" w:cs="Arial"/>
              <w:b/>
              <w:bCs/>
              <w:color w:val="00394B"/>
              <w:sz w:val="22"/>
              <w:szCs w:val="22"/>
            </w:rPr>
          </w:pPr>
          <w:bookmarkStart w:id="32" w:name="_Toc184980469"/>
          <w:r w:rsidRPr="00A4291C">
            <w:rPr>
              <w:rFonts w:ascii="Arial" w:eastAsiaTheme="majorEastAsia" w:hAnsi="Arial" w:cstheme="majorBidi"/>
              <w:b/>
              <w:color w:val="016574" w:themeColor="accent2"/>
              <w:sz w:val="32"/>
              <w:szCs w:val="26"/>
              <w:lang w:val="en-US"/>
            </w:rPr>
            <w:t>Classification Notes – Supplementary to Classification Tables</w:t>
          </w:r>
          <w:bookmarkEnd w:id="32"/>
        </w:p>
        <w:tbl>
          <w:tblPr>
            <w:tblStyle w:val="PlainTable1"/>
            <w:tblW w:w="0" w:type="auto"/>
            <w:tblLayout w:type="fixed"/>
            <w:tblLook w:val="06A0" w:firstRow="1" w:lastRow="0" w:firstColumn="1" w:lastColumn="0" w:noHBand="1" w:noVBand="1"/>
            <w:tblCaption w:val="Classification notes - supplementary to Classification Tables"/>
            <w:tblDescription w:val="This table provides a list of waste types and their associated classification notes. "/>
          </w:tblPr>
          <w:tblGrid>
            <w:gridCol w:w="2865"/>
            <w:gridCol w:w="6825"/>
          </w:tblGrid>
          <w:tr w:rsidR="00A4291C" w:rsidRPr="00A4291C" w14:paraId="222256F1" w14:textId="77777777" w:rsidTr="2DC1E0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Pr>
              <w:p w14:paraId="63AA58E4" w14:textId="77777777" w:rsidR="00A4291C" w:rsidRPr="00A4291C" w:rsidRDefault="00A4291C" w:rsidP="00A4291C">
                <w:pPr>
                  <w:spacing w:before="120" w:after="120"/>
                  <w:rPr>
                    <w:color w:val="016574" w:themeColor="accent6"/>
                  </w:rPr>
                </w:pPr>
                <w:r w:rsidRPr="00A4291C">
                  <w:rPr>
                    <w:color w:val="016574" w:themeColor="accent6"/>
                  </w:rPr>
                  <w:t>Waste Type</w:t>
                </w:r>
              </w:p>
            </w:tc>
            <w:tc>
              <w:tcPr>
                <w:tcW w:w="6825" w:type="dxa"/>
              </w:tcPr>
              <w:p w14:paraId="192100A4" w14:textId="77777777" w:rsidR="00A4291C" w:rsidRPr="00A4291C" w:rsidRDefault="00A4291C" w:rsidP="00A4291C">
                <w:pPr>
                  <w:spacing w:before="120" w:after="120"/>
                  <w:cnfStyle w:val="100000000000" w:firstRow="1" w:lastRow="0" w:firstColumn="0" w:lastColumn="0" w:oddVBand="0" w:evenVBand="0" w:oddHBand="0" w:evenHBand="0" w:firstRowFirstColumn="0" w:firstRowLastColumn="0" w:lastRowFirstColumn="0" w:lastRowLastColumn="0"/>
                  <w:rPr>
                    <w:color w:val="016574" w:themeColor="accent6"/>
                  </w:rPr>
                </w:pPr>
                <w:r w:rsidRPr="00A4291C">
                  <w:rPr>
                    <w:color w:val="016574" w:themeColor="accent6"/>
                  </w:rPr>
                  <w:t>Classification Notes</w:t>
                </w:r>
              </w:p>
            </w:tc>
          </w:tr>
          <w:tr w:rsidR="00A4291C" w:rsidRPr="00A4291C" w14:paraId="3C17F9DC"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1A6E1A58" w14:textId="77777777" w:rsidR="00A4291C" w:rsidRPr="00A4291C" w:rsidRDefault="00A4291C" w:rsidP="00A4291C">
                <w:pPr>
                  <w:spacing w:before="120" w:after="120"/>
                </w:pPr>
                <w:r w:rsidRPr="00A4291C">
                  <w:t>Televisions, computer monitors and other display devices</w:t>
                </w:r>
              </w:p>
            </w:tc>
            <w:tc>
              <w:tcPr>
                <w:tcW w:w="6825" w:type="dxa"/>
              </w:tcPr>
              <w:p w14:paraId="0CF55DB1"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Deca-BDE and Antimony Trioxide are the main substances of concern however it is recommended that you also consider tetra-BDE, penta-BDE, hexa-BDE and hepta-BDE when assessing your waste.</w:t>
                </w:r>
              </w:p>
            </w:tc>
          </w:tr>
          <w:tr w:rsidR="00A4291C" w:rsidRPr="00A4291C" w14:paraId="40E94505"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7ED94D5A" w14:textId="77777777" w:rsidR="00A4291C" w:rsidRPr="00A4291C" w:rsidRDefault="00A4291C" w:rsidP="00A4291C">
                <w:pPr>
                  <w:spacing w:before="120" w:after="120"/>
                </w:pPr>
                <w:r w:rsidRPr="00A4291C">
                  <w:t>Fridges, freezers, chillers and air-conditioning units</w:t>
                </w:r>
              </w:p>
            </w:tc>
            <w:tc>
              <w:tcPr>
                <w:tcW w:w="6825" w:type="dxa"/>
              </w:tcPr>
              <w:p w14:paraId="71796D21"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Deca-BDE and Antimony Trioxide are the main substances of concern however it is recommended that you also consider </w:t>
                </w:r>
                <w:proofErr w:type="spellStart"/>
                <w:r w:rsidRPr="00A4291C">
                  <w:t>nona</w:t>
                </w:r>
                <w:proofErr w:type="spellEnd"/>
                <w:r w:rsidRPr="00A4291C">
                  <w:t xml:space="preserve">-BDE and octo-BDE when assessing your waste. </w:t>
                </w:r>
              </w:p>
              <w:p w14:paraId="5A5C7982"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The PBDE’s and Antimony Trioxide are present in some components however when assessed as a unit these concentrations are not </w:t>
                </w:r>
                <w:proofErr w:type="gramStart"/>
                <w:r w:rsidRPr="00A4291C">
                  <w:t>sufficient enough</w:t>
                </w:r>
                <w:proofErr w:type="gramEnd"/>
                <w:r w:rsidRPr="00A4291C">
                  <w:t xml:space="preserve"> make an entire item a Hazardous/POPs however if assessed in isolation the components would likely be deemed a ‘Hazardous/POPs Waste’. </w:t>
                </w:r>
              </w:p>
              <w:p w14:paraId="28AE4712"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However other hazardous substances are likely to be present and unless proven otherwise the entire item will be deemed a Hazardous Waste.</w:t>
                </w:r>
              </w:p>
            </w:tc>
          </w:tr>
          <w:tr w:rsidR="00A4291C" w:rsidRPr="00A4291C" w14:paraId="00247AE1"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5009B598" w14:textId="77777777" w:rsidR="00A4291C" w:rsidRPr="00A4291C" w:rsidRDefault="00A4291C" w:rsidP="00A4291C">
                <w:pPr>
                  <w:spacing w:before="120" w:after="120"/>
                </w:pPr>
                <w:r w:rsidRPr="00A4291C">
                  <w:t>Large domestic appliances (LDA): white goods (washing machines, tumble driers, dishwashers and cookers)</w:t>
                </w:r>
              </w:p>
            </w:tc>
            <w:tc>
              <w:tcPr>
                <w:tcW w:w="6825" w:type="dxa"/>
              </w:tcPr>
              <w:p w14:paraId="1F886DD3"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Deca-BDE and Antimony Trioxide are the main substances of concern however it is recommended that you also consider hexa-BDE, hepta-BDE, </w:t>
                </w:r>
                <w:proofErr w:type="spellStart"/>
                <w:r w:rsidRPr="00A4291C">
                  <w:t>nona</w:t>
                </w:r>
                <w:proofErr w:type="spellEnd"/>
                <w:r w:rsidRPr="00A4291C">
                  <w:t xml:space="preserve">-BDE and octo-BDE when assessing your waste. </w:t>
                </w:r>
              </w:p>
              <w:p w14:paraId="4FE9F6D1"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The PBDE’s and Antimony Trioxide are present in some components however when assessed as a unit these concentrations are not </w:t>
                </w:r>
                <w:proofErr w:type="gramStart"/>
                <w:r w:rsidRPr="00A4291C">
                  <w:t>sufficient enough</w:t>
                </w:r>
                <w:proofErr w:type="gramEnd"/>
                <w:r w:rsidRPr="00A4291C">
                  <w:t xml:space="preserve"> to the entire item a Hazardous/POPs however if assessed in isolation the </w:t>
                </w:r>
                <w:r w:rsidRPr="00A4291C">
                  <w:lastRenderedPageBreak/>
                  <w:t xml:space="preserve">components would likely be deemed a ‘Hazardous/POPs Waste’. </w:t>
                </w:r>
              </w:p>
              <w:p w14:paraId="5DAE8E7C"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Microwaves, heaters and fans are not considered to be a LDA and should be classified in accordance with the small mixed WEEE.</w:t>
                </w:r>
              </w:p>
              <w:p w14:paraId="0C9D0DBB" w14:textId="59D94E1E"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w:t>
                </w:r>
                <w:r w:rsidR="00073A5A" w:rsidRPr="00A4291C">
                  <w:t>Heat</w:t>
                </w:r>
                <w:r w:rsidRPr="00A4291C">
                  <w:t xml:space="preserve"> pump’ tumble driers contain refrigerant (R134a or F-gas) must be stored with fridges and sent to a fridge treatment plant. All other tumble driers can continue to go with LDA.</w:t>
                </w:r>
              </w:p>
            </w:tc>
          </w:tr>
          <w:tr w:rsidR="00A4291C" w:rsidRPr="00A4291C" w14:paraId="310AE32E"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128AC935" w14:textId="77777777" w:rsidR="00A4291C" w:rsidRPr="00A4291C" w:rsidRDefault="00A4291C" w:rsidP="00A4291C">
                <w:pPr>
                  <w:spacing w:before="120" w:after="120"/>
                </w:pPr>
                <w:r w:rsidRPr="00A4291C">
                  <w:lastRenderedPageBreak/>
                  <w:t>Small mixed WEEE</w:t>
                </w:r>
              </w:p>
              <w:p w14:paraId="7155A3F5" w14:textId="77777777" w:rsidR="00A4291C" w:rsidRPr="00A4291C" w:rsidRDefault="00A4291C" w:rsidP="00A4291C">
                <w:pPr>
                  <w:spacing w:before="120" w:after="120"/>
                </w:pPr>
              </w:p>
            </w:tc>
            <w:tc>
              <w:tcPr>
                <w:tcW w:w="6825" w:type="dxa"/>
              </w:tcPr>
              <w:p w14:paraId="7D7FF4ED"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Deca-BDE and Antimony Trioxide are the main substances of concern however it is recommended that you also consider </w:t>
                </w:r>
                <w:proofErr w:type="spellStart"/>
                <w:r w:rsidRPr="00A4291C">
                  <w:t>nona</w:t>
                </w:r>
                <w:proofErr w:type="spellEnd"/>
                <w:r w:rsidRPr="00A4291C">
                  <w:t xml:space="preserve">-BDE and octo-BDE when assessing your waste. </w:t>
                </w:r>
              </w:p>
              <w:p w14:paraId="30E43557"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The PBDE’s and Antimony Trioxide are present in some components and when assessed as a unit these concentrations are </w:t>
                </w:r>
                <w:proofErr w:type="gramStart"/>
                <w:r w:rsidRPr="00A4291C">
                  <w:t>sufficient enough</w:t>
                </w:r>
                <w:proofErr w:type="gramEnd"/>
                <w:r w:rsidRPr="00A4291C">
                  <w:t xml:space="preserve"> to make the individual items a Hazardous/POPs waste.  </w:t>
                </w:r>
              </w:p>
              <w:p w14:paraId="3DDF0D38"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Therefore, any SMW collection stream is a Hazardous/POPs waste stream.  </w:t>
                </w:r>
              </w:p>
            </w:tc>
          </w:tr>
          <w:tr w:rsidR="00A4291C" w:rsidRPr="00A4291C" w14:paraId="0F5B658D"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09BA1A48" w14:textId="77777777" w:rsidR="00A4291C" w:rsidRPr="00A4291C" w:rsidRDefault="00A4291C" w:rsidP="00A4291C">
                <w:pPr>
                  <w:spacing w:before="120" w:after="120"/>
                </w:pPr>
                <w:r w:rsidRPr="00A4291C">
                  <w:t>Other household-type electrical items from homes or businesses</w:t>
                </w:r>
              </w:p>
            </w:tc>
            <w:tc>
              <w:tcPr>
                <w:tcW w:w="6825" w:type="dxa"/>
              </w:tcPr>
              <w:p w14:paraId="438EE2F8"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Deca-BDE and Antimony Trioxide are the main substances of concern however it is recommended that you also consider </w:t>
                </w:r>
                <w:proofErr w:type="spellStart"/>
                <w:r w:rsidRPr="00A4291C">
                  <w:t>nona</w:t>
                </w:r>
                <w:proofErr w:type="spellEnd"/>
                <w:r w:rsidRPr="00A4291C">
                  <w:t xml:space="preserve">-BDE and octo-BDE when assessing your waste. </w:t>
                </w:r>
              </w:p>
              <w:p w14:paraId="5BA62161"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The PBDE’s and Antimony Trioxide are present in some components and when assessed as a unit these concentrations are </w:t>
                </w:r>
                <w:proofErr w:type="gramStart"/>
                <w:r w:rsidRPr="00A4291C">
                  <w:t>sufficient enough</w:t>
                </w:r>
                <w:proofErr w:type="gramEnd"/>
                <w:r w:rsidRPr="00A4291C">
                  <w:t xml:space="preserve"> to make the individual items a Hazardous/POPs waste.</w:t>
                </w:r>
              </w:p>
            </w:tc>
          </w:tr>
          <w:tr w:rsidR="00A4291C" w:rsidRPr="00A4291C" w14:paraId="3DF334F7"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4053877F" w14:textId="77777777" w:rsidR="00A4291C" w:rsidRPr="00A4291C" w:rsidRDefault="00A4291C" w:rsidP="00A4291C">
                <w:pPr>
                  <w:spacing w:before="120" w:after="120"/>
                </w:pPr>
                <w:r w:rsidRPr="00A4291C">
                  <w:t>Lightbulbs and lamps</w:t>
                </w:r>
              </w:p>
            </w:tc>
            <w:tc>
              <w:tcPr>
                <w:tcW w:w="6825" w:type="dxa"/>
              </w:tcPr>
              <w:p w14:paraId="5F81F298"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rPr>
                    <w:lang w:val="en"/>
                  </w:rPr>
                  <w:t>In a recent industry although POPs-PBDEs were not found to be present at concentrations above relevant threshold values their presence was detected however complications with analysis and</w:t>
                </w:r>
                <w:r w:rsidRPr="00A4291C">
                  <w:t xml:space="preserve"> </w:t>
                </w:r>
                <w:r w:rsidRPr="00A4291C">
                  <w:rPr>
                    <w:lang w:val="en"/>
                  </w:rPr>
                  <w:t xml:space="preserve">comparison with the other SMW categories </w:t>
                </w:r>
                <w:r w:rsidRPr="00A4291C">
                  <w:rPr>
                    <w:lang w:val="en"/>
                  </w:rPr>
                  <w:lastRenderedPageBreak/>
                  <w:t xml:space="preserve">mean that PBDEs are likely to be present. Therefore, a precautionary approach should be adopted until proven otherwise.  </w:t>
                </w:r>
              </w:p>
              <w:p w14:paraId="17449ACC" w14:textId="77777777" w:rsidR="00A4291C" w:rsidRPr="00A4291C" w:rsidRDefault="00A4291C" w:rsidP="2DC1E0DA">
                <w:pPr>
                  <w:spacing w:before="120" w:after="120"/>
                  <w:cnfStyle w:val="000000000000" w:firstRow="0" w:lastRow="0" w:firstColumn="0" w:lastColumn="0" w:oddVBand="0" w:evenVBand="0" w:oddHBand="0" w:evenHBand="0" w:firstRowFirstColumn="0" w:firstRowLastColumn="0" w:lastRowFirstColumn="0" w:lastRowLastColumn="0"/>
                </w:pPr>
                <w:r w:rsidRPr="2DC1E0DA">
                  <w:t xml:space="preserve">Antimony Trioxide was also found to be present in levels at or above the relevant threshold values and unless proven otherwise a precautionary approach should be adopted.  </w:t>
                </w:r>
              </w:p>
            </w:tc>
          </w:tr>
          <w:tr w:rsidR="00A4291C" w:rsidRPr="00A4291C" w14:paraId="4C516D25"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3643ABB1" w14:textId="77777777" w:rsidR="00A4291C" w:rsidRPr="00A4291C" w:rsidRDefault="00A4291C" w:rsidP="00A4291C">
                <w:pPr>
                  <w:spacing w:before="120" w:after="120"/>
                </w:pPr>
                <w:r w:rsidRPr="00A4291C">
                  <w:rPr>
                    <w:lang w:val="en"/>
                  </w:rPr>
                  <w:lastRenderedPageBreak/>
                  <w:t>Printed circuit boards</w:t>
                </w:r>
              </w:p>
              <w:p w14:paraId="5D1E7579" w14:textId="77777777" w:rsidR="00A4291C" w:rsidRPr="00A4291C" w:rsidRDefault="00A4291C" w:rsidP="00A4291C">
                <w:pPr>
                  <w:spacing w:before="120" w:after="120"/>
                </w:pPr>
              </w:p>
            </w:tc>
            <w:tc>
              <w:tcPr>
                <w:tcW w:w="6825" w:type="dxa"/>
              </w:tcPr>
              <w:p w14:paraId="748D8A6E"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rPr>
                    <w:lang w:val="en"/>
                  </w:rPr>
                  <w:t>In a recent industry although POPs-PBDEs were not found to be present at concentrations above relevant threshold values their presence was detected, however, complications with analysis and comparison with the other categories mean that PBDEs are likely to be present. Furthermore,</w:t>
                </w:r>
                <w:r w:rsidRPr="00A4291C">
                  <w:t xml:space="preserve"> </w:t>
                </w:r>
                <w:proofErr w:type="spellStart"/>
                <w:r w:rsidRPr="00A4291C">
                  <w:rPr>
                    <w:lang w:val="en"/>
                  </w:rPr>
                  <w:t>tetrabromobisphenol</w:t>
                </w:r>
                <w:proofErr w:type="spellEnd"/>
                <w:r w:rsidRPr="00A4291C">
                  <w:rPr>
                    <w:lang w:val="en"/>
                  </w:rPr>
                  <w:t xml:space="preserve"> A (TBBPA) is known to have been used in the manufacture of printed circuit boards and thermoplastics, therefore, a precautionary approach should be adopted until proven otherwise.   </w:t>
                </w:r>
              </w:p>
              <w:p w14:paraId="7504983E"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2DC1E0DA">
                  <w:t xml:space="preserve">Antimony Trioxide was also found to be present in levels at or above the relevant threshold values and unless proven otherwise a precautionary approach should be adopted.   </w:t>
                </w:r>
              </w:p>
            </w:tc>
          </w:tr>
          <w:tr w:rsidR="00A4291C" w:rsidRPr="00A4291C" w14:paraId="6D18A438"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6AD51090" w14:textId="77777777" w:rsidR="00A4291C" w:rsidRPr="00A4291C" w:rsidRDefault="00A4291C" w:rsidP="00A4291C">
                <w:pPr>
                  <w:spacing w:before="120" w:after="120"/>
                </w:pPr>
                <w:r w:rsidRPr="00A4291C">
                  <w:rPr>
                    <w:lang w:val="en"/>
                  </w:rPr>
                  <w:t>Cables and granulated cable plastics</w:t>
                </w:r>
              </w:p>
              <w:p w14:paraId="0AE94247" w14:textId="77777777" w:rsidR="00A4291C" w:rsidRPr="00A4291C" w:rsidRDefault="00A4291C" w:rsidP="00A4291C">
                <w:pPr>
                  <w:spacing w:before="120" w:after="120"/>
                </w:pPr>
              </w:p>
            </w:tc>
            <w:tc>
              <w:tcPr>
                <w:tcW w:w="6825" w:type="dxa"/>
              </w:tcPr>
              <w:p w14:paraId="31A048E1"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2DC1E0DA">
                  <w:rPr>
                    <w:lang w:val="en-US"/>
                  </w:rPr>
                  <w:t xml:space="preserve">In </w:t>
                </w:r>
                <w:proofErr w:type="gramStart"/>
                <w:r w:rsidRPr="2DC1E0DA">
                  <w:rPr>
                    <w:lang w:val="en-US"/>
                  </w:rPr>
                  <w:t>a recent</w:t>
                </w:r>
                <w:proofErr w:type="gramEnd"/>
                <w:r w:rsidRPr="2DC1E0DA">
                  <w:rPr>
                    <w:lang w:val="en-US"/>
                  </w:rPr>
                  <w:t xml:space="preserve"> </w:t>
                </w:r>
                <w:proofErr w:type="gramStart"/>
                <w:r w:rsidRPr="2DC1E0DA">
                  <w:rPr>
                    <w:lang w:val="en-US"/>
                  </w:rPr>
                  <w:t>industry</w:t>
                </w:r>
                <w:proofErr w:type="gramEnd"/>
                <w:r w:rsidRPr="2DC1E0DA">
                  <w:rPr>
                    <w:lang w:val="en-US"/>
                  </w:rPr>
                  <w:t xml:space="preserve"> although POPs-PBDEs (</w:t>
                </w:r>
                <w:proofErr w:type="spellStart"/>
                <w:r w:rsidRPr="2DC1E0DA">
                  <w:rPr>
                    <w:lang w:val="en-US"/>
                  </w:rPr>
                  <w:t>deca</w:t>
                </w:r>
                <w:proofErr w:type="spellEnd"/>
                <w:r w:rsidRPr="2DC1E0DA">
                  <w:rPr>
                    <w:lang w:val="en-US"/>
                  </w:rPr>
                  <w:t xml:space="preserve">, </w:t>
                </w:r>
                <w:proofErr w:type="spellStart"/>
                <w:r w:rsidRPr="2DC1E0DA">
                  <w:rPr>
                    <w:lang w:val="en-US"/>
                  </w:rPr>
                  <w:t>nona</w:t>
                </w:r>
                <w:proofErr w:type="spellEnd"/>
                <w:r w:rsidRPr="2DC1E0DA">
                  <w:rPr>
                    <w:lang w:val="en-US"/>
                  </w:rPr>
                  <w:t xml:space="preserve"> and </w:t>
                </w:r>
                <w:proofErr w:type="spellStart"/>
                <w:r w:rsidRPr="2DC1E0DA">
                  <w:rPr>
                    <w:lang w:val="en-US"/>
                  </w:rPr>
                  <w:t>octo</w:t>
                </w:r>
                <w:proofErr w:type="spellEnd"/>
                <w:r w:rsidRPr="2DC1E0DA">
                  <w:rPr>
                    <w:lang w:val="en-US"/>
                  </w:rPr>
                  <w:t xml:space="preserve">) and Antimony Trioxide were not found to be present at concentrations above relevant threshold </w:t>
                </w:r>
                <w:proofErr w:type="gramStart"/>
                <w:r w:rsidRPr="2DC1E0DA">
                  <w:rPr>
                    <w:lang w:val="en-US"/>
                  </w:rPr>
                  <w:t>values</w:t>
                </w:r>
                <w:proofErr w:type="gramEnd"/>
                <w:r w:rsidRPr="2DC1E0DA">
                  <w:rPr>
                    <w:lang w:val="en-US"/>
                  </w:rPr>
                  <w:t xml:space="preserve"> their presence was detected</w:t>
                </w:r>
                <w:proofErr w:type="gramStart"/>
                <w:r w:rsidRPr="2DC1E0DA">
                  <w:rPr>
                    <w:lang w:val="en-US"/>
                  </w:rPr>
                  <w:t xml:space="preserve"> however</w:t>
                </w:r>
                <w:proofErr w:type="gramEnd"/>
                <w:r w:rsidRPr="2DC1E0DA">
                  <w:rPr>
                    <w:lang w:val="en-US"/>
                  </w:rPr>
                  <w:t xml:space="preserve"> complications with analysis </w:t>
                </w:r>
                <w:proofErr w:type="gramStart"/>
                <w:r w:rsidRPr="2DC1E0DA">
                  <w:rPr>
                    <w:lang w:val="en-US"/>
                  </w:rPr>
                  <w:t>means</w:t>
                </w:r>
                <w:proofErr w:type="gramEnd"/>
                <w:r w:rsidRPr="2DC1E0DA">
                  <w:rPr>
                    <w:lang w:val="en-US"/>
                  </w:rPr>
                  <w:t xml:space="preserve"> that these substances are likely to be present. Therefore, a precautionary approach should be adopted until proven otherwise.</w:t>
                </w:r>
              </w:p>
            </w:tc>
          </w:tr>
          <w:tr w:rsidR="00A4291C" w:rsidRPr="00A4291C" w14:paraId="0DE50242"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6560F94B" w14:textId="77777777" w:rsidR="00A4291C" w:rsidRPr="00A4291C" w:rsidRDefault="00A4291C" w:rsidP="00A4291C">
                <w:pPr>
                  <w:spacing w:before="120" w:after="120"/>
                </w:pPr>
                <w:r w:rsidRPr="00A4291C">
                  <w:rPr>
                    <w:lang w:val="en"/>
                  </w:rPr>
                  <w:t>Plastic cases removed from display devices</w:t>
                </w:r>
              </w:p>
              <w:p w14:paraId="5448A350" w14:textId="77777777" w:rsidR="00A4291C" w:rsidRPr="00A4291C" w:rsidRDefault="00A4291C" w:rsidP="00A4291C">
                <w:pPr>
                  <w:spacing w:before="120" w:after="120"/>
                </w:pPr>
              </w:p>
            </w:tc>
            <w:tc>
              <w:tcPr>
                <w:tcW w:w="6825" w:type="dxa"/>
              </w:tcPr>
              <w:p w14:paraId="01AE1194" w14:textId="77777777" w:rsidR="00A4291C" w:rsidRPr="00A4291C" w:rsidRDefault="00A4291C" w:rsidP="00A4291C">
                <w:pPr>
                  <w:spacing w:before="120" w:after="120"/>
                  <w:cnfStyle w:val="000000000000" w:firstRow="0" w:lastRow="0" w:firstColumn="0" w:lastColumn="0" w:oddVBand="0" w:evenVBand="0" w:oddHBand="0" w:evenHBand="0" w:firstRowFirstColumn="0" w:firstRowLastColumn="0" w:lastRowFirstColumn="0" w:lastRowLastColumn="0"/>
                </w:pPr>
                <w:r w:rsidRPr="00A4291C">
                  <w:t>Deca-BDE and Antimony Trioxide are the main substances of concern however it is recommended that you also consider tetra-BDE, penta-BDE, hexa-BDE and hepta-BDE when assessing your waste.</w:t>
                </w:r>
              </w:p>
            </w:tc>
          </w:tr>
          <w:tr w:rsidR="00A4291C" w:rsidRPr="00A4291C" w14:paraId="71BA42B5"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259446E4" w14:textId="77777777" w:rsidR="00A4291C" w:rsidRPr="00A4291C" w:rsidRDefault="00A4291C" w:rsidP="00A4291C">
                <w:pPr>
                  <w:spacing w:before="120" w:after="120"/>
                </w:pPr>
                <w:r w:rsidRPr="2DC1E0DA">
                  <w:rPr>
                    <w:lang w:val="en-US"/>
                  </w:rPr>
                  <w:lastRenderedPageBreak/>
                  <w:t>Mixed wastes, containing plastic from the treatment of WEEE devices that are hazardous and POPs waste</w:t>
                </w:r>
              </w:p>
            </w:tc>
            <w:tc>
              <w:tcPr>
                <w:tcW w:w="6825" w:type="dxa"/>
              </w:tcPr>
              <w:p w14:paraId="27A14AAB" w14:textId="3D9B911D" w:rsidR="00A4291C" w:rsidRPr="00A4291C" w:rsidRDefault="00802EE9" w:rsidP="00802EE9">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Any assessment and classification should be based on the inputs however </w:t>
                </w:r>
                <w:proofErr w:type="gramStart"/>
                <w:r w:rsidRPr="00A4291C">
                  <w:t>in light of</w:t>
                </w:r>
                <w:proofErr w:type="gramEnd"/>
                <w:r w:rsidRPr="00A4291C">
                  <w:t xml:space="preserve"> the mixed sources it is recommend that a precautionary approach is followed with all </w:t>
                </w:r>
                <w:proofErr w:type="gramStart"/>
                <w:r w:rsidRPr="00A4291C">
                  <w:t>PBDEs</w:t>
                </w:r>
                <w:proofErr w:type="gramEnd"/>
                <w:r w:rsidRPr="00A4291C">
                  <w:t xml:space="preserve"> and Antimony Trioxide being treated as substances of concern in addition to your existing classification and assessment process.</w:t>
                </w:r>
              </w:p>
            </w:tc>
          </w:tr>
          <w:tr w:rsidR="00A4291C" w:rsidRPr="00A4291C" w14:paraId="22F882F2"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119E09A0" w14:textId="77777777" w:rsidR="00A4291C" w:rsidRPr="00A4291C" w:rsidRDefault="00A4291C" w:rsidP="00A4291C">
                <w:pPr>
                  <w:spacing w:before="120" w:after="120"/>
                </w:pPr>
                <w:r w:rsidRPr="00A4291C">
                  <w:rPr>
                    <w:lang w:val="en"/>
                  </w:rPr>
                  <w:t xml:space="preserve">Plastic </w:t>
                </w:r>
                <w:proofErr w:type="gramStart"/>
                <w:r w:rsidRPr="00A4291C">
                  <w:rPr>
                    <w:lang w:val="en"/>
                  </w:rPr>
                  <w:t>wastes</w:t>
                </w:r>
                <w:proofErr w:type="gramEnd"/>
                <w:r w:rsidRPr="00A4291C">
                  <w:rPr>
                    <w:lang w:val="en"/>
                  </w:rPr>
                  <w:t xml:space="preserve"> from treating fridges and freezers</w:t>
                </w:r>
              </w:p>
            </w:tc>
            <w:tc>
              <w:tcPr>
                <w:tcW w:w="6825" w:type="dxa"/>
              </w:tcPr>
              <w:p w14:paraId="76E3F9F1" w14:textId="221298C2" w:rsidR="00A4291C" w:rsidRPr="00A4291C" w:rsidRDefault="00802EE9" w:rsidP="00802EE9">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Any assessment and classification should be based on the inputs however </w:t>
                </w:r>
                <w:proofErr w:type="gramStart"/>
                <w:r w:rsidRPr="00A4291C">
                  <w:t>in light of</w:t>
                </w:r>
                <w:proofErr w:type="gramEnd"/>
                <w:r w:rsidRPr="00A4291C">
                  <w:t xml:space="preserve"> the mixed sources it is recommend that a precautionary approach is followed with all </w:t>
                </w:r>
                <w:proofErr w:type="gramStart"/>
                <w:r w:rsidRPr="00A4291C">
                  <w:t>PBDEs</w:t>
                </w:r>
                <w:proofErr w:type="gramEnd"/>
                <w:r w:rsidRPr="00A4291C">
                  <w:t xml:space="preserve"> and Antimony Trioxide being treated as substances of concern in addition to your existing classification and assessment process.</w:t>
                </w:r>
              </w:p>
            </w:tc>
          </w:tr>
          <w:tr w:rsidR="00A4291C" w:rsidRPr="00A4291C" w14:paraId="00DBC697" w14:textId="77777777" w:rsidTr="2DC1E0DA">
            <w:trPr>
              <w:trHeight w:val="300"/>
            </w:trPr>
            <w:tc>
              <w:tcPr>
                <w:cnfStyle w:val="001000000000" w:firstRow="0" w:lastRow="0" w:firstColumn="1" w:lastColumn="0" w:oddVBand="0" w:evenVBand="0" w:oddHBand="0" w:evenHBand="0" w:firstRowFirstColumn="0" w:firstRowLastColumn="0" w:lastRowFirstColumn="0" w:lastRowLastColumn="0"/>
                <w:tcW w:w="2865" w:type="dxa"/>
              </w:tcPr>
              <w:p w14:paraId="32C44313" w14:textId="77777777" w:rsidR="00A4291C" w:rsidRPr="00A4291C" w:rsidRDefault="00A4291C" w:rsidP="00A4291C">
                <w:pPr>
                  <w:spacing w:before="120" w:after="120"/>
                </w:pPr>
                <w:r w:rsidRPr="2DC1E0DA">
                  <w:rPr>
                    <w:lang w:val="en-US"/>
                  </w:rPr>
                  <w:t>Plastic containing residues from treating certain large domestic appliances (LDA)</w:t>
                </w:r>
              </w:p>
            </w:tc>
            <w:tc>
              <w:tcPr>
                <w:tcW w:w="6825" w:type="dxa"/>
              </w:tcPr>
              <w:p w14:paraId="2E4DFC7B" w14:textId="39B8D02B" w:rsidR="00A4291C" w:rsidRPr="00A4291C" w:rsidRDefault="00802EE9" w:rsidP="00802EE9">
                <w:pPr>
                  <w:spacing w:before="120" w:after="120"/>
                  <w:cnfStyle w:val="000000000000" w:firstRow="0" w:lastRow="0" w:firstColumn="0" w:lastColumn="0" w:oddVBand="0" w:evenVBand="0" w:oddHBand="0" w:evenHBand="0" w:firstRowFirstColumn="0" w:firstRowLastColumn="0" w:lastRowFirstColumn="0" w:lastRowLastColumn="0"/>
                </w:pPr>
                <w:r w:rsidRPr="00A4291C">
                  <w:t xml:space="preserve">Any assessment and classification should be based on the inputs however </w:t>
                </w:r>
                <w:proofErr w:type="gramStart"/>
                <w:r w:rsidRPr="00A4291C">
                  <w:t>in light of</w:t>
                </w:r>
                <w:proofErr w:type="gramEnd"/>
                <w:r w:rsidRPr="00A4291C">
                  <w:t xml:space="preserve"> the mixed sources it is recommend that a precautionary approach is followed with all </w:t>
                </w:r>
                <w:proofErr w:type="gramStart"/>
                <w:r w:rsidRPr="00A4291C">
                  <w:t>PBDEs</w:t>
                </w:r>
                <w:proofErr w:type="gramEnd"/>
                <w:r w:rsidRPr="00A4291C">
                  <w:t xml:space="preserve"> and Antimony Trioxide being treated as substances of concern in addition to your existing classification and assessment process.</w:t>
                </w:r>
              </w:p>
            </w:tc>
          </w:tr>
        </w:tbl>
        <w:p w14:paraId="20D0A460" w14:textId="19658264" w:rsidR="008D4F6F" w:rsidRDefault="00B741F8" w:rsidP="008D4F6F">
          <w:pPr>
            <w:pStyle w:val="NormalWeb"/>
            <w:shd w:val="clear" w:color="auto" w:fill="FFFFFF" w:themeFill="background1"/>
            <w:spacing w:after="240"/>
            <w:rPr>
              <w:rStyle w:val="normaltextrun"/>
              <w:rFonts w:ascii="Arial" w:eastAsiaTheme="majorEastAsia" w:hAnsi="Arial" w:cs="Arial"/>
              <w:color w:val="000000"/>
            </w:rPr>
          </w:pPr>
        </w:p>
      </w:sdtContent>
    </w:sdt>
    <w:p w14:paraId="41AE0200" w14:textId="38FAA89A" w:rsidR="00982B57" w:rsidRPr="0073057C" w:rsidRDefault="00982B57" w:rsidP="00982B57">
      <w:pPr>
        <w:pStyle w:val="Heading2"/>
        <w:spacing w:after="120"/>
      </w:pPr>
      <w:bookmarkStart w:id="33" w:name="_Toc184980470"/>
      <w:r>
        <w:t>Disclaimer</w:t>
      </w:r>
      <w:bookmarkEnd w:id="33"/>
    </w:p>
    <w:p w14:paraId="1934DEAF" w14:textId="77777777" w:rsidR="00B741F8" w:rsidRDefault="00B741F8" w:rsidP="00B741F8">
      <w:pPr>
        <w:pStyle w:val="paragraph"/>
        <w:spacing w:after="240" w:afterAutospacing="0" w:line="360" w:lineRule="auto"/>
        <w:textAlignment w:val="baseline"/>
        <w:rPr>
          <w:rFonts w:ascii="Arial" w:hAnsi="Arial" w:cs="Arial"/>
        </w:rPr>
      </w:pPr>
      <w:r>
        <w:rPr>
          <w:rFonts w:ascii="Arial" w:hAnsi="Arial" w:cs="Arial"/>
        </w:rPr>
        <w:t xml:space="preserve">This guidance is based on the law as it stood when the guidance was published. </w:t>
      </w:r>
    </w:p>
    <w:p w14:paraId="1C4FA4F6" w14:textId="77777777" w:rsidR="00B741F8" w:rsidRDefault="00B741F8" w:rsidP="00B741F8">
      <w:pPr>
        <w:pStyle w:val="paragraph"/>
        <w:spacing w:after="240" w:afterAutospacing="0" w:line="360" w:lineRule="auto"/>
        <w:textAlignment w:val="baseline"/>
        <w:rPr>
          <w:rFonts w:ascii="Arial" w:hAnsi="Arial" w:cs="Arial"/>
        </w:rPr>
      </w:pPr>
      <w:r>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6782C7D" w14:textId="77777777" w:rsidR="00B741F8" w:rsidRDefault="00B741F8" w:rsidP="00B741F8">
      <w:pPr>
        <w:pStyle w:val="paragraph"/>
        <w:numPr>
          <w:ilvl w:val="0"/>
          <w:numId w:val="50"/>
        </w:numPr>
        <w:spacing w:beforeAutospacing="0" w:after="240" w:afterAutospacing="0" w:line="360" w:lineRule="auto"/>
        <w:textAlignment w:val="baseline"/>
        <w:rPr>
          <w:rFonts w:ascii="Arial" w:hAnsi="Arial" w:cs="Arial"/>
        </w:rPr>
      </w:pPr>
      <w:r>
        <w:rPr>
          <w:rFonts w:ascii="Arial" w:hAnsi="Arial" w:cs="Arial"/>
        </w:rPr>
        <w:t>any direct, indirect and consequential losses</w:t>
      </w:r>
    </w:p>
    <w:p w14:paraId="3B4F76F3" w14:textId="77777777" w:rsidR="00B741F8" w:rsidRDefault="00B741F8" w:rsidP="00B741F8">
      <w:pPr>
        <w:pStyle w:val="paragraph"/>
        <w:numPr>
          <w:ilvl w:val="0"/>
          <w:numId w:val="50"/>
        </w:numPr>
        <w:spacing w:beforeAutospacing="0" w:after="240" w:afterAutospacing="0" w:line="360" w:lineRule="auto"/>
        <w:textAlignment w:val="baseline"/>
        <w:rPr>
          <w:rFonts w:ascii="Arial" w:hAnsi="Arial" w:cs="Arial"/>
        </w:rPr>
      </w:pPr>
      <w:r>
        <w:rPr>
          <w:rFonts w:ascii="Arial" w:hAnsi="Arial" w:cs="Arial"/>
        </w:rPr>
        <w:lastRenderedPageBreak/>
        <w:t>any loss or damage caused by civil wrongs, breach of contract or otherwise</w:t>
      </w:r>
    </w:p>
    <w:p w14:paraId="39761D2A" w14:textId="72932350" w:rsidR="00CC4309" w:rsidRPr="00B741F8" w:rsidRDefault="00B741F8" w:rsidP="00B741F8">
      <w:pPr>
        <w:pStyle w:val="paragraph"/>
        <w:spacing w:before="0" w:beforeAutospacing="0" w:after="240" w:afterAutospacing="0" w:line="360" w:lineRule="auto"/>
        <w:textAlignment w:val="baseline"/>
        <w:rPr>
          <w:rFonts w:asciiTheme="majorHAnsi" w:hAnsiTheme="majorHAnsi" w:cstheme="majorHAnsi"/>
        </w:rPr>
      </w:pPr>
      <w:r w:rsidRPr="00B741F8">
        <w:rPr>
          <w:rFonts w:asciiTheme="majorHAnsi" w:hAnsiTheme="majorHAnsi" w:cstheme="majorHAnsi"/>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CC4309" w:rsidRPr="00B741F8" w:rsidSect="00C077C0">
      <w:headerReference w:type="even" r:id="rId28"/>
      <w:headerReference w:type="default" r:id="rId29"/>
      <w:footerReference w:type="even" r:id="rId30"/>
      <w:footerReference w:type="default" r:id="rId31"/>
      <w:headerReference w:type="first" r:id="rId32"/>
      <w:footerReference w:type="first" r:id="rId3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8885" w14:textId="77777777" w:rsidR="00126D0F" w:rsidRDefault="00126D0F" w:rsidP="00660C79">
      <w:pPr>
        <w:spacing w:line="240" w:lineRule="auto"/>
      </w:pPr>
      <w:r>
        <w:separator/>
      </w:r>
    </w:p>
  </w:endnote>
  <w:endnote w:type="continuationSeparator" w:id="0">
    <w:p w14:paraId="0C695503" w14:textId="77777777" w:rsidR="00126D0F" w:rsidRDefault="00126D0F" w:rsidP="00660C79">
      <w:pPr>
        <w:spacing w:line="240" w:lineRule="auto"/>
      </w:pPr>
      <w:r>
        <w:continuationSeparator/>
      </w:r>
    </w:p>
  </w:endnote>
  <w:endnote w:type="continuationNotice" w:id="1">
    <w:p w14:paraId="50A3101B" w14:textId="77777777" w:rsidR="00126D0F" w:rsidRDefault="00126D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7CB" w14:textId="77777777" w:rsidR="00EC6A73" w:rsidRDefault="00805B2F" w:rsidP="007138C6">
    <w:pPr>
      <w:pStyle w:val="Footer"/>
      <w:framePr w:wrap="none"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321D471D" wp14:editId="283DEF8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D471D"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4F03D07" w14:textId="77777777" w:rsidR="00EC6A73" w:rsidRDefault="00EC6A73" w:rsidP="00713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621DE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29B4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9BD" w14:textId="77777777" w:rsidR="00EC6A73" w:rsidRDefault="00805B2F" w:rsidP="00917BB1">
    <w:pPr>
      <w:pStyle w:val="Footer"/>
      <w:ind w:right="360"/>
    </w:pPr>
    <w:r>
      <w:rPr>
        <w:noProof/>
      </w:rPr>
      <mc:AlternateContent>
        <mc:Choice Requires="wps">
          <w:drawing>
            <wp:anchor distT="0" distB="0" distL="0" distR="0" simplePos="0" relativeHeight="251660800" behindDoc="0" locked="0" layoutInCell="1" allowOverlap="1" wp14:anchorId="6B1A5578" wp14:editId="6C4DD7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A557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2A02D192" w14:textId="77777777" w:rsidR="00917BB1" w:rsidRDefault="000E0D15" w:rsidP="00917BB1">
    <w:pPr>
      <w:pStyle w:val="Footer"/>
      <w:ind w:right="360"/>
    </w:pPr>
    <w:r>
      <w:rPr>
        <w:noProof/>
      </w:rPr>
      <mc:AlternateContent>
        <mc:Choice Requires="wps">
          <w:drawing>
            <wp:anchor distT="0" distB="0" distL="114300" distR="114300" simplePos="0" relativeHeight="251654656" behindDoc="0" locked="0" layoutInCell="1" allowOverlap="1" wp14:anchorId="015038F8" wp14:editId="0FA4141E">
              <wp:simplePos x="0" y="0"/>
              <wp:positionH relativeFrom="column">
                <wp:posOffset>13970</wp:posOffset>
              </wp:positionH>
              <wp:positionV relativeFrom="paragraph">
                <wp:posOffset>73660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xmlns:arto="http://schemas.microsoft.com/office/word/2006/arto">
          <w:pict w14:anchorId="67F6FCA9">
            <v:line id="Straight Connector 10" style="position:absolute;z-index:2516546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1pt,5.8pt" to="510.3pt,5.8pt" w14:anchorId="0F5FB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2E95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367395" w14:textId="77777777" w:rsidR="00917BB1" w:rsidRDefault="00917BB1" w:rsidP="00917BB1">
    <w:pPr>
      <w:pStyle w:val="Footer"/>
      <w:ind w:right="360"/>
    </w:pPr>
    <w:r>
      <w:rPr>
        <w:noProof/>
      </w:rPr>
      <w:drawing>
        <wp:inline distT="0" distB="0" distL="0" distR="0" wp14:anchorId="6A2E8D0F" wp14:editId="16E65F7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FDA" w14:textId="77777777" w:rsidR="00805B2F" w:rsidRDefault="00805B2F">
    <w:pPr>
      <w:pStyle w:val="Footer"/>
    </w:pPr>
    <w:r>
      <w:rPr>
        <w:noProof/>
      </w:rPr>
      <mc:AlternateContent>
        <mc:Choice Requires="wps">
          <w:drawing>
            <wp:anchor distT="0" distB="0" distL="0" distR="0" simplePos="0" relativeHeight="251658752" behindDoc="0" locked="0" layoutInCell="1" allowOverlap="1" wp14:anchorId="486BCABB" wp14:editId="6A4D540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BCAB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DC15" w14:textId="77777777" w:rsidR="00126D0F" w:rsidRDefault="00126D0F" w:rsidP="00660C79">
      <w:pPr>
        <w:spacing w:line="240" w:lineRule="auto"/>
      </w:pPr>
      <w:r>
        <w:separator/>
      </w:r>
    </w:p>
  </w:footnote>
  <w:footnote w:type="continuationSeparator" w:id="0">
    <w:p w14:paraId="69225FFE" w14:textId="77777777" w:rsidR="00126D0F" w:rsidRDefault="00126D0F" w:rsidP="00660C79">
      <w:pPr>
        <w:spacing w:line="240" w:lineRule="auto"/>
      </w:pPr>
      <w:r>
        <w:continuationSeparator/>
      </w:r>
    </w:p>
  </w:footnote>
  <w:footnote w:type="continuationNotice" w:id="1">
    <w:p w14:paraId="5DEC43D6" w14:textId="77777777" w:rsidR="00126D0F" w:rsidRDefault="00126D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E94" w14:textId="77777777" w:rsidR="00805B2F" w:rsidRDefault="00805B2F">
    <w:pPr>
      <w:pStyle w:val="Header"/>
    </w:pPr>
    <w:r>
      <w:rPr>
        <w:noProof/>
      </w:rPr>
      <mc:AlternateContent>
        <mc:Choice Requires="wps">
          <w:drawing>
            <wp:anchor distT="0" distB="0" distL="0" distR="0" simplePos="0" relativeHeight="251656704" behindDoc="0" locked="0" layoutInCell="1" allowOverlap="1" wp14:anchorId="6D162569" wp14:editId="05A6211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6256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6AD" w14:textId="2A52353D"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7728" behindDoc="0" locked="0" layoutInCell="1" allowOverlap="1" wp14:anchorId="514F164A" wp14:editId="6216E68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164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18378B" w:rsidRPr="0018378B">
      <w:rPr>
        <w:color w:val="6E7571" w:themeColor="text2"/>
      </w:rPr>
      <w:t xml:space="preserve"> </w:t>
    </w:r>
    <w:r w:rsidR="0018378B">
      <w:rPr>
        <w:color w:val="6E7571" w:themeColor="text2"/>
      </w:rPr>
      <w:t>Hazardous Substances and Persistent Organic Pollutants in WEEE</w:t>
    </w:r>
  </w:p>
  <w:p w14:paraId="6141AA1D" w14:textId="77777777" w:rsidR="008D113C" w:rsidRDefault="007D441B" w:rsidP="008D113C">
    <w:pPr>
      <w:pStyle w:val="BodyText1"/>
      <w:jc w:val="right"/>
    </w:pPr>
    <w:r>
      <w:rPr>
        <w:noProof/>
      </w:rPr>
      <mc:AlternateContent>
        <mc:Choice Requires="wps">
          <w:drawing>
            <wp:anchor distT="0" distB="0" distL="114300" distR="114300" simplePos="0" relativeHeight="251653632" behindDoc="0" locked="0" layoutInCell="1" allowOverlap="1" wp14:anchorId="2397AEFA" wp14:editId="0D207B0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w14:anchorId="005F1D8F">
            <v:line id="Straight Connector 7"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5CB2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A22" w14:textId="66C886C1" w:rsidR="00805B2F" w:rsidRDefault="00B741F8">
    <w:pPr>
      <w:pStyle w:val="Header"/>
    </w:pPr>
    <w:sdt>
      <w:sdtPr>
        <w:id w:val="-678045607"/>
        <w:docPartObj>
          <w:docPartGallery w:val="Watermarks"/>
          <w:docPartUnique/>
        </w:docPartObj>
      </w:sdtPr>
      <w:sdtEndPr/>
      <w:sdtContent>
        <w:r>
          <w:rPr>
            <w:noProof/>
          </w:rPr>
          <w:pict w14:anchorId="5E484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5B2F">
      <w:rPr>
        <w:noProof/>
      </w:rPr>
      <mc:AlternateContent>
        <mc:Choice Requires="wps">
          <w:drawing>
            <wp:anchor distT="0" distB="0" distL="0" distR="0" simplePos="0" relativeHeight="251655680" behindDoc="0" locked="0" layoutInCell="1" allowOverlap="1" wp14:anchorId="1EE99BCC" wp14:editId="030A97B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BC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AB2"/>
    <w:multiLevelType w:val="hybridMultilevel"/>
    <w:tmpl w:val="049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102D1"/>
    <w:multiLevelType w:val="hybridMultilevel"/>
    <w:tmpl w:val="5E92675E"/>
    <w:lvl w:ilvl="0" w:tplc="7FC4E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61C4"/>
    <w:multiLevelType w:val="hybridMultilevel"/>
    <w:tmpl w:val="E550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113A8"/>
    <w:multiLevelType w:val="hybridMultilevel"/>
    <w:tmpl w:val="A5E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54DC6"/>
    <w:multiLevelType w:val="hybridMultilevel"/>
    <w:tmpl w:val="D2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34052"/>
    <w:multiLevelType w:val="hybridMultilevel"/>
    <w:tmpl w:val="882E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17AB3"/>
    <w:multiLevelType w:val="hybridMultilevel"/>
    <w:tmpl w:val="FF0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A4B19"/>
    <w:multiLevelType w:val="hybridMultilevel"/>
    <w:tmpl w:val="9B2E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B2B12"/>
    <w:multiLevelType w:val="hybridMultilevel"/>
    <w:tmpl w:val="F5AC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A2D4D"/>
    <w:multiLevelType w:val="hybridMultilevel"/>
    <w:tmpl w:val="17E8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135E3"/>
    <w:multiLevelType w:val="hybridMultilevel"/>
    <w:tmpl w:val="1352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F1511"/>
    <w:multiLevelType w:val="multilevel"/>
    <w:tmpl w:val="D0A4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BB1922"/>
    <w:multiLevelType w:val="hybridMultilevel"/>
    <w:tmpl w:val="D6F6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22F1"/>
    <w:multiLevelType w:val="hybridMultilevel"/>
    <w:tmpl w:val="3CD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C7ED8"/>
    <w:multiLevelType w:val="hybridMultilevel"/>
    <w:tmpl w:val="0B42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814D5"/>
    <w:multiLevelType w:val="hybridMultilevel"/>
    <w:tmpl w:val="C2D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70BB6"/>
    <w:multiLevelType w:val="hybridMultilevel"/>
    <w:tmpl w:val="038C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50338"/>
    <w:multiLevelType w:val="hybridMultilevel"/>
    <w:tmpl w:val="63BC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32153"/>
    <w:multiLevelType w:val="hybridMultilevel"/>
    <w:tmpl w:val="5FE2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D5D92"/>
    <w:multiLevelType w:val="hybridMultilevel"/>
    <w:tmpl w:val="E456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A524E"/>
    <w:multiLevelType w:val="hybridMultilevel"/>
    <w:tmpl w:val="D09C9A8C"/>
    <w:lvl w:ilvl="0" w:tplc="986E2906">
      <w:start w:val="1"/>
      <w:numFmt w:val="bullet"/>
      <w:lvlText w:val=""/>
      <w:lvlJc w:val="left"/>
      <w:pPr>
        <w:ind w:left="720" w:hanging="360"/>
      </w:pPr>
      <w:rPr>
        <w:rFonts w:ascii="Symbol" w:hAnsi="Symbol" w:hint="default"/>
      </w:rPr>
    </w:lvl>
    <w:lvl w:ilvl="1" w:tplc="31AE57BC">
      <w:start w:val="1"/>
      <w:numFmt w:val="bullet"/>
      <w:lvlText w:val="o"/>
      <w:lvlJc w:val="left"/>
      <w:pPr>
        <w:ind w:left="1440" w:hanging="360"/>
      </w:pPr>
      <w:rPr>
        <w:rFonts w:ascii="Courier New" w:hAnsi="Courier New" w:hint="default"/>
      </w:rPr>
    </w:lvl>
    <w:lvl w:ilvl="2" w:tplc="3E9E929C">
      <w:start w:val="1"/>
      <w:numFmt w:val="bullet"/>
      <w:lvlText w:val=""/>
      <w:lvlJc w:val="left"/>
      <w:pPr>
        <w:ind w:left="2160" w:hanging="360"/>
      </w:pPr>
      <w:rPr>
        <w:rFonts w:ascii="Wingdings" w:hAnsi="Wingdings" w:hint="default"/>
      </w:rPr>
    </w:lvl>
    <w:lvl w:ilvl="3" w:tplc="F38E1FD8">
      <w:start w:val="1"/>
      <w:numFmt w:val="bullet"/>
      <w:lvlText w:val=""/>
      <w:lvlJc w:val="left"/>
      <w:pPr>
        <w:ind w:left="2880" w:hanging="360"/>
      </w:pPr>
      <w:rPr>
        <w:rFonts w:ascii="Symbol" w:hAnsi="Symbol" w:hint="default"/>
      </w:rPr>
    </w:lvl>
    <w:lvl w:ilvl="4" w:tplc="0AA6FF64">
      <w:start w:val="1"/>
      <w:numFmt w:val="bullet"/>
      <w:lvlText w:val="o"/>
      <w:lvlJc w:val="left"/>
      <w:pPr>
        <w:ind w:left="3600" w:hanging="360"/>
      </w:pPr>
      <w:rPr>
        <w:rFonts w:ascii="Courier New" w:hAnsi="Courier New" w:hint="default"/>
      </w:rPr>
    </w:lvl>
    <w:lvl w:ilvl="5" w:tplc="6BAE724C">
      <w:start w:val="1"/>
      <w:numFmt w:val="bullet"/>
      <w:lvlText w:val=""/>
      <w:lvlJc w:val="left"/>
      <w:pPr>
        <w:ind w:left="4320" w:hanging="360"/>
      </w:pPr>
      <w:rPr>
        <w:rFonts w:ascii="Wingdings" w:hAnsi="Wingdings" w:hint="default"/>
      </w:rPr>
    </w:lvl>
    <w:lvl w:ilvl="6" w:tplc="457292DC">
      <w:start w:val="1"/>
      <w:numFmt w:val="bullet"/>
      <w:lvlText w:val=""/>
      <w:lvlJc w:val="left"/>
      <w:pPr>
        <w:ind w:left="5040" w:hanging="360"/>
      </w:pPr>
      <w:rPr>
        <w:rFonts w:ascii="Symbol" w:hAnsi="Symbol" w:hint="default"/>
      </w:rPr>
    </w:lvl>
    <w:lvl w:ilvl="7" w:tplc="973424BE">
      <w:start w:val="1"/>
      <w:numFmt w:val="bullet"/>
      <w:lvlText w:val="o"/>
      <w:lvlJc w:val="left"/>
      <w:pPr>
        <w:ind w:left="5760" w:hanging="360"/>
      </w:pPr>
      <w:rPr>
        <w:rFonts w:ascii="Courier New" w:hAnsi="Courier New" w:hint="default"/>
      </w:rPr>
    </w:lvl>
    <w:lvl w:ilvl="8" w:tplc="DA2AF692">
      <w:start w:val="1"/>
      <w:numFmt w:val="bullet"/>
      <w:lvlText w:val=""/>
      <w:lvlJc w:val="left"/>
      <w:pPr>
        <w:ind w:left="6480" w:hanging="360"/>
      </w:pPr>
      <w:rPr>
        <w:rFonts w:ascii="Wingdings" w:hAnsi="Wingdings" w:hint="default"/>
      </w:rPr>
    </w:lvl>
  </w:abstractNum>
  <w:abstractNum w:abstractNumId="21" w15:restartNumberingAfterBreak="0">
    <w:nsid w:val="4CDA1199"/>
    <w:multiLevelType w:val="hybridMultilevel"/>
    <w:tmpl w:val="C070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B044B"/>
    <w:multiLevelType w:val="hybridMultilevel"/>
    <w:tmpl w:val="E088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28B83"/>
    <w:multiLevelType w:val="hybridMultilevel"/>
    <w:tmpl w:val="E4BC82CC"/>
    <w:lvl w:ilvl="0" w:tplc="3976B0EE">
      <w:start w:val="1"/>
      <w:numFmt w:val="bullet"/>
      <w:lvlText w:val=""/>
      <w:lvlJc w:val="left"/>
      <w:pPr>
        <w:ind w:left="720" w:hanging="360"/>
      </w:pPr>
      <w:rPr>
        <w:rFonts w:ascii="Symbol" w:hAnsi="Symbol" w:hint="default"/>
      </w:rPr>
    </w:lvl>
    <w:lvl w:ilvl="1" w:tplc="4BE02DE0">
      <w:start w:val="1"/>
      <w:numFmt w:val="bullet"/>
      <w:lvlText w:val="o"/>
      <w:lvlJc w:val="left"/>
      <w:pPr>
        <w:ind w:left="1440" w:hanging="360"/>
      </w:pPr>
      <w:rPr>
        <w:rFonts w:ascii="Courier New" w:hAnsi="Courier New" w:hint="default"/>
      </w:rPr>
    </w:lvl>
    <w:lvl w:ilvl="2" w:tplc="76200F0A">
      <w:start w:val="1"/>
      <w:numFmt w:val="bullet"/>
      <w:lvlText w:val=""/>
      <w:lvlJc w:val="left"/>
      <w:pPr>
        <w:ind w:left="2160" w:hanging="360"/>
      </w:pPr>
      <w:rPr>
        <w:rFonts w:ascii="Wingdings" w:hAnsi="Wingdings" w:hint="default"/>
      </w:rPr>
    </w:lvl>
    <w:lvl w:ilvl="3" w:tplc="5F581988">
      <w:start w:val="1"/>
      <w:numFmt w:val="bullet"/>
      <w:lvlText w:val=""/>
      <w:lvlJc w:val="left"/>
      <w:pPr>
        <w:ind w:left="2880" w:hanging="360"/>
      </w:pPr>
      <w:rPr>
        <w:rFonts w:ascii="Symbol" w:hAnsi="Symbol" w:hint="default"/>
      </w:rPr>
    </w:lvl>
    <w:lvl w:ilvl="4" w:tplc="EB0E1FDE">
      <w:start w:val="1"/>
      <w:numFmt w:val="bullet"/>
      <w:lvlText w:val="o"/>
      <w:lvlJc w:val="left"/>
      <w:pPr>
        <w:ind w:left="3600" w:hanging="360"/>
      </w:pPr>
      <w:rPr>
        <w:rFonts w:ascii="Courier New" w:hAnsi="Courier New" w:hint="default"/>
      </w:rPr>
    </w:lvl>
    <w:lvl w:ilvl="5" w:tplc="E31C3A88">
      <w:start w:val="1"/>
      <w:numFmt w:val="bullet"/>
      <w:lvlText w:val=""/>
      <w:lvlJc w:val="left"/>
      <w:pPr>
        <w:ind w:left="4320" w:hanging="360"/>
      </w:pPr>
      <w:rPr>
        <w:rFonts w:ascii="Wingdings" w:hAnsi="Wingdings" w:hint="default"/>
      </w:rPr>
    </w:lvl>
    <w:lvl w:ilvl="6" w:tplc="C46255BC">
      <w:start w:val="1"/>
      <w:numFmt w:val="bullet"/>
      <w:lvlText w:val=""/>
      <w:lvlJc w:val="left"/>
      <w:pPr>
        <w:ind w:left="5040" w:hanging="360"/>
      </w:pPr>
      <w:rPr>
        <w:rFonts w:ascii="Symbol" w:hAnsi="Symbol" w:hint="default"/>
      </w:rPr>
    </w:lvl>
    <w:lvl w:ilvl="7" w:tplc="83B8BF4A">
      <w:start w:val="1"/>
      <w:numFmt w:val="bullet"/>
      <w:lvlText w:val="o"/>
      <w:lvlJc w:val="left"/>
      <w:pPr>
        <w:ind w:left="5760" w:hanging="360"/>
      </w:pPr>
      <w:rPr>
        <w:rFonts w:ascii="Courier New" w:hAnsi="Courier New" w:hint="default"/>
      </w:rPr>
    </w:lvl>
    <w:lvl w:ilvl="8" w:tplc="0444DE42">
      <w:start w:val="1"/>
      <w:numFmt w:val="bullet"/>
      <w:lvlText w:val=""/>
      <w:lvlJc w:val="left"/>
      <w:pPr>
        <w:ind w:left="6480" w:hanging="360"/>
      </w:pPr>
      <w:rPr>
        <w:rFonts w:ascii="Wingdings" w:hAnsi="Wingdings" w:hint="default"/>
      </w:rPr>
    </w:lvl>
  </w:abstractNum>
  <w:abstractNum w:abstractNumId="24" w15:restartNumberingAfterBreak="0">
    <w:nsid w:val="50784F19"/>
    <w:multiLevelType w:val="hybridMultilevel"/>
    <w:tmpl w:val="6FDA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705C5"/>
    <w:multiLevelType w:val="hybridMultilevel"/>
    <w:tmpl w:val="F232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B4ECC"/>
    <w:multiLevelType w:val="hybridMultilevel"/>
    <w:tmpl w:val="3BA8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87C28"/>
    <w:multiLevelType w:val="hybridMultilevel"/>
    <w:tmpl w:val="CBDA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C56E3B"/>
    <w:multiLevelType w:val="hybridMultilevel"/>
    <w:tmpl w:val="3466BB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CC6467"/>
    <w:multiLevelType w:val="hybridMultilevel"/>
    <w:tmpl w:val="0AD0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07A82"/>
    <w:multiLevelType w:val="hybridMultilevel"/>
    <w:tmpl w:val="1FE6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40B01"/>
    <w:multiLevelType w:val="hybridMultilevel"/>
    <w:tmpl w:val="A642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905A3"/>
    <w:multiLevelType w:val="hybridMultilevel"/>
    <w:tmpl w:val="FAB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F41FE"/>
    <w:multiLevelType w:val="hybridMultilevel"/>
    <w:tmpl w:val="F550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109AA"/>
    <w:multiLevelType w:val="hybridMultilevel"/>
    <w:tmpl w:val="FE9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91B93"/>
    <w:multiLevelType w:val="hybridMultilevel"/>
    <w:tmpl w:val="EEEA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EB7CC0"/>
    <w:multiLevelType w:val="hybridMultilevel"/>
    <w:tmpl w:val="2E3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578F3A"/>
    <w:multiLevelType w:val="hybridMultilevel"/>
    <w:tmpl w:val="895E4D2C"/>
    <w:lvl w:ilvl="0" w:tplc="EEAAA94C">
      <w:start w:val="1"/>
      <w:numFmt w:val="bullet"/>
      <w:lvlText w:val=""/>
      <w:lvlJc w:val="left"/>
      <w:pPr>
        <w:ind w:left="720" w:hanging="360"/>
      </w:pPr>
      <w:rPr>
        <w:rFonts w:ascii="Symbol" w:hAnsi="Symbol" w:hint="default"/>
      </w:rPr>
    </w:lvl>
    <w:lvl w:ilvl="1" w:tplc="5FAA527A">
      <w:start w:val="1"/>
      <w:numFmt w:val="bullet"/>
      <w:lvlText w:val="o"/>
      <w:lvlJc w:val="left"/>
      <w:pPr>
        <w:ind w:left="1440" w:hanging="360"/>
      </w:pPr>
      <w:rPr>
        <w:rFonts w:ascii="Courier New" w:hAnsi="Courier New" w:hint="default"/>
      </w:rPr>
    </w:lvl>
    <w:lvl w:ilvl="2" w:tplc="AC20C224">
      <w:start w:val="1"/>
      <w:numFmt w:val="bullet"/>
      <w:lvlText w:val=""/>
      <w:lvlJc w:val="left"/>
      <w:pPr>
        <w:ind w:left="2160" w:hanging="360"/>
      </w:pPr>
      <w:rPr>
        <w:rFonts w:ascii="Wingdings" w:hAnsi="Wingdings" w:hint="default"/>
      </w:rPr>
    </w:lvl>
    <w:lvl w:ilvl="3" w:tplc="956864BC">
      <w:start w:val="1"/>
      <w:numFmt w:val="bullet"/>
      <w:lvlText w:val=""/>
      <w:lvlJc w:val="left"/>
      <w:pPr>
        <w:ind w:left="2880" w:hanging="360"/>
      </w:pPr>
      <w:rPr>
        <w:rFonts w:ascii="Symbol" w:hAnsi="Symbol" w:hint="default"/>
      </w:rPr>
    </w:lvl>
    <w:lvl w:ilvl="4" w:tplc="E8B03360">
      <w:start w:val="1"/>
      <w:numFmt w:val="bullet"/>
      <w:lvlText w:val="o"/>
      <w:lvlJc w:val="left"/>
      <w:pPr>
        <w:ind w:left="3600" w:hanging="360"/>
      </w:pPr>
      <w:rPr>
        <w:rFonts w:ascii="Courier New" w:hAnsi="Courier New" w:hint="default"/>
      </w:rPr>
    </w:lvl>
    <w:lvl w:ilvl="5" w:tplc="568A7F54">
      <w:start w:val="1"/>
      <w:numFmt w:val="bullet"/>
      <w:lvlText w:val=""/>
      <w:lvlJc w:val="left"/>
      <w:pPr>
        <w:ind w:left="4320" w:hanging="360"/>
      </w:pPr>
      <w:rPr>
        <w:rFonts w:ascii="Wingdings" w:hAnsi="Wingdings" w:hint="default"/>
      </w:rPr>
    </w:lvl>
    <w:lvl w:ilvl="6" w:tplc="492A6744">
      <w:start w:val="1"/>
      <w:numFmt w:val="bullet"/>
      <w:lvlText w:val=""/>
      <w:lvlJc w:val="left"/>
      <w:pPr>
        <w:ind w:left="5040" w:hanging="360"/>
      </w:pPr>
      <w:rPr>
        <w:rFonts w:ascii="Symbol" w:hAnsi="Symbol" w:hint="default"/>
      </w:rPr>
    </w:lvl>
    <w:lvl w:ilvl="7" w:tplc="1110E160">
      <w:start w:val="1"/>
      <w:numFmt w:val="bullet"/>
      <w:lvlText w:val="o"/>
      <w:lvlJc w:val="left"/>
      <w:pPr>
        <w:ind w:left="5760" w:hanging="360"/>
      </w:pPr>
      <w:rPr>
        <w:rFonts w:ascii="Courier New" w:hAnsi="Courier New" w:hint="default"/>
      </w:rPr>
    </w:lvl>
    <w:lvl w:ilvl="8" w:tplc="B06004B6">
      <w:start w:val="1"/>
      <w:numFmt w:val="bullet"/>
      <w:lvlText w:val=""/>
      <w:lvlJc w:val="left"/>
      <w:pPr>
        <w:ind w:left="6480" w:hanging="360"/>
      </w:pPr>
      <w:rPr>
        <w:rFonts w:ascii="Wingdings" w:hAnsi="Wingdings" w:hint="default"/>
      </w:rPr>
    </w:lvl>
  </w:abstractNum>
  <w:abstractNum w:abstractNumId="39" w15:restartNumberingAfterBreak="0">
    <w:nsid w:val="6BA7381B"/>
    <w:multiLevelType w:val="hybridMultilevel"/>
    <w:tmpl w:val="4A46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F77AC"/>
    <w:multiLevelType w:val="hybridMultilevel"/>
    <w:tmpl w:val="B3C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F52D7"/>
    <w:multiLevelType w:val="hybridMultilevel"/>
    <w:tmpl w:val="6DC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316738"/>
    <w:multiLevelType w:val="hybridMultilevel"/>
    <w:tmpl w:val="3FA6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9426EF"/>
    <w:multiLevelType w:val="hybridMultilevel"/>
    <w:tmpl w:val="7E68D09E"/>
    <w:lvl w:ilvl="0" w:tplc="B81EDF9A">
      <w:start w:val="1"/>
      <w:numFmt w:val="bullet"/>
      <w:lvlText w:val=""/>
      <w:lvlJc w:val="left"/>
      <w:pPr>
        <w:ind w:left="720" w:hanging="360"/>
      </w:pPr>
      <w:rPr>
        <w:rFonts w:ascii="Symbol" w:hAnsi="Symbol" w:hint="default"/>
      </w:rPr>
    </w:lvl>
    <w:lvl w:ilvl="1" w:tplc="D070EB80">
      <w:start w:val="1"/>
      <w:numFmt w:val="bullet"/>
      <w:lvlText w:val="o"/>
      <w:lvlJc w:val="left"/>
      <w:pPr>
        <w:ind w:left="1440" w:hanging="360"/>
      </w:pPr>
      <w:rPr>
        <w:rFonts w:ascii="Courier New" w:hAnsi="Courier New" w:hint="default"/>
      </w:rPr>
    </w:lvl>
    <w:lvl w:ilvl="2" w:tplc="5290E1EC">
      <w:start w:val="1"/>
      <w:numFmt w:val="bullet"/>
      <w:lvlText w:val=""/>
      <w:lvlJc w:val="left"/>
      <w:pPr>
        <w:ind w:left="2160" w:hanging="360"/>
      </w:pPr>
      <w:rPr>
        <w:rFonts w:ascii="Wingdings" w:hAnsi="Wingdings" w:hint="default"/>
      </w:rPr>
    </w:lvl>
    <w:lvl w:ilvl="3" w:tplc="C46845F6">
      <w:start w:val="1"/>
      <w:numFmt w:val="bullet"/>
      <w:lvlText w:val=""/>
      <w:lvlJc w:val="left"/>
      <w:pPr>
        <w:ind w:left="2880" w:hanging="360"/>
      </w:pPr>
      <w:rPr>
        <w:rFonts w:ascii="Symbol" w:hAnsi="Symbol" w:hint="default"/>
      </w:rPr>
    </w:lvl>
    <w:lvl w:ilvl="4" w:tplc="4BD8FDB0">
      <w:start w:val="1"/>
      <w:numFmt w:val="bullet"/>
      <w:lvlText w:val="o"/>
      <w:lvlJc w:val="left"/>
      <w:pPr>
        <w:ind w:left="3600" w:hanging="360"/>
      </w:pPr>
      <w:rPr>
        <w:rFonts w:ascii="Courier New" w:hAnsi="Courier New" w:hint="default"/>
      </w:rPr>
    </w:lvl>
    <w:lvl w:ilvl="5" w:tplc="E0C45AD8">
      <w:start w:val="1"/>
      <w:numFmt w:val="bullet"/>
      <w:lvlText w:val=""/>
      <w:lvlJc w:val="left"/>
      <w:pPr>
        <w:ind w:left="4320" w:hanging="360"/>
      </w:pPr>
      <w:rPr>
        <w:rFonts w:ascii="Wingdings" w:hAnsi="Wingdings" w:hint="default"/>
      </w:rPr>
    </w:lvl>
    <w:lvl w:ilvl="6" w:tplc="A4CA6E08">
      <w:start w:val="1"/>
      <w:numFmt w:val="bullet"/>
      <w:lvlText w:val=""/>
      <w:lvlJc w:val="left"/>
      <w:pPr>
        <w:ind w:left="5040" w:hanging="360"/>
      </w:pPr>
      <w:rPr>
        <w:rFonts w:ascii="Symbol" w:hAnsi="Symbol" w:hint="default"/>
      </w:rPr>
    </w:lvl>
    <w:lvl w:ilvl="7" w:tplc="AA5E84F2">
      <w:start w:val="1"/>
      <w:numFmt w:val="bullet"/>
      <w:lvlText w:val="o"/>
      <w:lvlJc w:val="left"/>
      <w:pPr>
        <w:ind w:left="5760" w:hanging="360"/>
      </w:pPr>
      <w:rPr>
        <w:rFonts w:ascii="Courier New" w:hAnsi="Courier New" w:hint="default"/>
      </w:rPr>
    </w:lvl>
    <w:lvl w:ilvl="8" w:tplc="A6EE613E">
      <w:start w:val="1"/>
      <w:numFmt w:val="bullet"/>
      <w:lvlText w:val=""/>
      <w:lvlJc w:val="left"/>
      <w:pPr>
        <w:ind w:left="6480" w:hanging="360"/>
      </w:pPr>
      <w:rPr>
        <w:rFonts w:ascii="Wingdings" w:hAnsi="Wingdings" w:hint="default"/>
      </w:rPr>
    </w:lvl>
  </w:abstractNum>
  <w:abstractNum w:abstractNumId="44" w15:restartNumberingAfterBreak="0">
    <w:nsid w:val="71186897"/>
    <w:multiLevelType w:val="hybridMultilevel"/>
    <w:tmpl w:val="5E1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77AF2"/>
    <w:multiLevelType w:val="hybridMultilevel"/>
    <w:tmpl w:val="E6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CB416C"/>
    <w:multiLevelType w:val="hybridMultilevel"/>
    <w:tmpl w:val="067A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E20BDE"/>
    <w:multiLevelType w:val="hybridMultilevel"/>
    <w:tmpl w:val="F474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7D2CCE"/>
    <w:multiLevelType w:val="hybridMultilevel"/>
    <w:tmpl w:val="46AE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112555">
    <w:abstractNumId w:val="23"/>
  </w:num>
  <w:num w:numId="2" w16cid:durableId="529807791">
    <w:abstractNumId w:val="7"/>
  </w:num>
  <w:num w:numId="3" w16cid:durableId="2073499428">
    <w:abstractNumId w:val="35"/>
  </w:num>
  <w:num w:numId="4" w16cid:durableId="1265306830">
    <w:abstractNumId w:val="47"/>
  </w:num>
  <w:num w:numId="5" w16cid:durableId="1678724848">
    <w:abstractNumId w:val="3"/>
  </w:num>
  <w:num w:numId="6" w16cid:durableId="1700928467">
    <w:abstractNumId w:val="15"/>
  </w:num>
  <w:num w:numId="7" w16cid:durableId="751778454">
    <w:abstractNumId w:val="22"/>
  </w:num>
  <w:num w:numId="8" w16cid:durableId="978069227">
    <w:abstractNumId w:val="14"/>
  </w:num>
  <w:num w:numId="9" w16cid:durableId="1551308352">
    <w:abstractNumId w:val="27"/>
  </w:num>
  <w:num w:numId="10" w16cid:durableId="970207497">
    <w:abstractNumId w:val="33"/>
  </w:num>
  <w:num w:numId="11" w16cid:durableId="1191601576">
    <w:abstractNumId w:val="9"/>
  </w:num>
  <w:num w:numId="12" w16cid:durableId="1155610650">
    <w:abstractNumId w:val="41"/>
  </w:num>
  <w:num w:numId="13" w16cid:durableId="2047949130">
    <w:abstractNumId w:val="48"/>
  </w:num>
  <w:num w:numId="14" w16cid:durableId="1000229941">
    <w:abstractNumId w:val="34"/>
  </w:num>
  <w:num w:numId="15" w16cid:durableId="115295990">
    <w:abstractNumId w:val="2"/>
  </w:num>
  <w:num w:numId="16" w16cid:durableId="305550539">
    <w:abstractNumId w:val="8"/>
  </w:num>
  <w:num w:numId="17" w16cid:durableId="1964844353">
    <w:abstractNumId w:val="44"/>
  </w:num>
  <w:num w:numId="18" w16cid:durableId="566451870">
    <w:abstractNumId w:val="4"/>
  </w:num>
  <w:num w:numId="19" w16cid:durableId="810441331">
    <w:abstractNumId w:val="16"/>
  </w:num>
  <w:num w:numId="20" w16cid:durableId="787971976">
    <w:abstractNumId w:val="19"/>
  </w:num>
  <w:num w:numId="21" w16cid:durableId="383336604">
    <w:abstractNumId w:val="37"/>
  </w:num>
  <w:num w:numId="22" w16cid:durableId="1380397713">
    <w:abstractNumId w:val="12"/>
  </w:num>
  <w:num w:numId="23" w16cid:durableId="1138762916">
    <w:abstractNumId w:val="32"/>
  </w:num>
  <w:num w:numId="24" w16cid:durableId="2030182301">
    <w:abstractNumId w:val="0"/>
  </w:num>
  <w:num w:numId="25" w16cid:durableId="518856683">
    <w:abstractNumId w:val="10"/>
  </w:num>
  <w:num w:numId="26" w16cid:durableId="1293487046">
    <w:abstractNumId w:val="26"/>
  </w:num>
  <w:num w:numId="27" w16cid:durableId="1224171367">
    <w:abstractNumId w:val="13"/>
  </w:num>
  <w:num w:numId="28" w16cid:durableId="736635595">
    <w:abstractNumId w:val="31"/>
  </w:num>
  <w:num w:numId="29" w16cid:durableId="1649360771">
    <w:abstractNumId w:val="17"/>
  </w:num>
  <w:num w:numId="30" w16cid:durableId="1952592725">
    <w:abstractNumId w:val="46"/>
  </w:num>
  <w:num w:numId="31" w16cid:durableId="419789184">
    <w:abstractNumId w:val="42"/>
  </w:num>
  <w:num w:numId="32" w16cid:durableId="220215234">
    <w:abstractNumId w:val="24"/>
  </w:num>
  <w:num w:numId="33" w16cid:durableId="1404109089">
    <w:abstractNumId w:val="40"/>
  </w:num>
  <w:num w:numId="34" w16cid:durableId="773089826">
    <w:abstractNumId w:val="39"/>
  </w:num>
  <w:num w:numId="35" w16cid:durableId="1459912522">
    <w:abstractNumId w:val="5"/>
  </w:num>
  <w:num w:numId="36" w16cid:durableId="134957556">
    <w:abstractNumId w:val="30"/>
  </w:num>
  <w:num w:numId="37" w16cid:durableId="206139187">
    <w:abstractNumId w:val="25"/>
  </w:num>
  <w:num w:numId="38" w16cid:durableId="60175105">
    <w:abstractNumId w:val="45"/>
  </w:num>
  <w:num w:numId="39" w16cid:durableId="2060469590">
    <w:abstractNumId w:val="18"/>
  </w:num>
  <w:num w:numId="40" w16cid:durableId="1638148135">
    <w:abstractNumId w:val="6"/>
  </w:num>
  <w:num w:numId="41" w16cid:durableId="261187189">
    <w:abstractNumId w:val="36"/>
  </w:num>
  <w:num w:numId="42" w16cid:durableId="81951442">
    <w:abstractNumId w:val="11"/>
  </w:num>
  <w:num w:numId="43" w16cid:durableId="1603102208">
    <w:abstractNumId w:val="21"/>
  </w:num>
  <w:num w:numId="44" w16cid:durableId="746461628">
    <w:abstractNumId w:val="49"/>
  </w:num>
  <w:num w:numId="45" w16cid:durableId="607203647">
    <w:abstractNumId w:val="43"/>
  </w:num>
  <w:num w:numId="46" w16cid:durableId="681514030">
    <w:abstractNumId w:val="20"/>
  </w:num>
  <w:num w:numId="47" w16cid:durableId="1938127878">
    <w:abstractNumId w:val="38"/>
  </w:num>
  <w:num w:numId="48" w16cid:durableId="854030043">
    <w:abstractNumId w:val="1"/>
  </w:num>
  <w:num w:numId="49" w16cid:durableId="141117333">
    <w:abstractNumId w:val="29"/>
  </w:num>
  <w:num w:numId="50" w16cid:durableId="1001785228">
    <w:abstractNumId w:val="28"/>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7"/>
    <w:rsid w:val="00000FA3"/>
    <w:rsid w:val="000021E7"/>
    <w:rsid w:val="00002893"/>
    <w:rsid w:val="00002BB9"/>
    <w:rsid w:val="00003637"/>
    <w:rsid w:val="00003D71"/>
    <w:rsid w:val="00004B69"/>
    <w:rsid w:val="00004F43"/>
    <w:rsid w:val="0000669F"/>
    <w:rsid w:val="00006F21"/>
    <w:rsid w:val="00006F68"/>
    <w:rsid w:val="000072AE"/>
    <w:rsid w:val="00007C02"/>
    <w:rsid w:val="00013B27"/>
    <w:rsid w:val="00014498"/>
    <w:rsid w:val="000158E8"/>
    <w:rsid w:val="000159E6"/>
    <w:rsid w:val="00015D3E"/>
    <w:rsid w:val="00016E0C"/>
    <w:rsid w:val="00023007"/>
    <w:rsid w:val="00031829"/>
    <w:rsid w:val="00032829"/>
    <w:rsid w:val="00032E8A"/>
    <w:rsid w:val="00033347"/>
    <w:rsid w:val="00040561"/>
    <w:rsid w:val="00042599"/>
    <w:rsid w:val="00042B70"/>
    <w:rsid w:val="00045359"/>
    <w:rsid w:val="00046F38"/>
    <w:rsid w:val="00046FA8"/>
    <w:rsid w:val="0005259F"/>
    <w:rsid w:val="00053561"/>
    <w:rsid w:val="00056A64"/>
    <w:rsid w:val="0006177E"/>
    <w:rsid w:val="000647C0"/>
    <w:rsid w:val="000666E1"/>
    <w:rsid w:val="00070937"/>
    <w:rsid w:val="00070BA1"/>
    <w:rsid w:val="00073A5A"/>
    <w:rsid w:val="00075E73"/>
    <w:rsid w:val="0008122C"/>
    <w:rsid w:val="00083C01"/>
    <w:rsid w:val="000847FC"/>
    <w:rsid w:val="000927E1"/>
    <w:rsid w:val="00092DB2"/>
    <w:rsid w:val="0009364D"/>
    <w:rsid w:val="00095F9F"/>
    <w:rsid w:val="0009645E"/>
    <w:rsid w:val="000A4CE1"/>
    <w:rsid w:val="000A549E"/>
    <w:rsid w:val="000B239A"/>
    <w:rsid w:val="000B443A"/>
    <w:rsid w:val="000B68C0"/>
    <w:rsid w:val="000B7559"/>
    <w:rsid w:val="000C17FB"/>
    <w:rsid w:val="000C6C81"/>
    <w:rsid w:val="000D3477"/>
    <w:rsid w:val="000D3CC4"/>
    <w:rsid w:val="000D4C9B"/>
    <w:rsid w:val="000E0D15"/>
    <w:rsid w:val="000E267C"/>
    <w:rsid w:val="000E2D74"/>
    <w:rsid w:val="000E4C6A"/>
    <w:rsid w:val="000E5B0C"/>
    <w:rsid w:val="000E7006"/>
    <w:rsid w:val="000E7886"/>
    <w:rsid w:val="000F0312"/>
    <w:rsid w:val="000F4140"/>
    <w:rsid w:val="000F4CBF"/>
    <w:rsid w:val="000F5815"/>
    <w:rsid w:val="000F612A"/>
    <w:rsid w:val="000F693E"/>
    <w:rsid w:val="00100A10"/>
    <w:rsid w:val="001018CF"/>
    <w:rsid w:val="0010246A"/>
    <w:rsid w:val="00102F0E"/>
    <w:rsid w:val="001048E7"/>
    <w:rsid w:val="00105085"/>
    <w:rsid w:val="00105F31"/>
    <w:rsid w:val="00112FC0"/>
    <w:rsid w:val="00113496"/>
    <w:rsid w:val="00113C87"/>
    <w:rsid w:val="00116872"/>
    <w:rsid w:val="001215E4"/>
    <w:rsid w:val="00121747"/>
    <w:rsid w:val="0012257F"/>
    <w:rsid w:val="00123FF2"/>
    <w:rsid w:val="00124FE0"/>
    <w:rsid w:val="00126D0F"/>
    <w:rsid w:val="0012795D"/>
    <w:rsid w:val="00127AD5"/>
    <w:rsid w:val="0013138A"/>
    <w:rsid w:val="00133F71"/>
    <w:rsid w:val="00137A6C"/>
    <w:rsid w:val="00140EB3"/>
    <w:rsid w:val="001416CC"/>
    <w:rsid w:val="00143B15"/>
    <w:rsid w:val="00144D43"/>
    <w:rsid w:val="001467F2"/>
    <w:rsid w:val="00147972"/>
    <w:rsid w:val="001504BD"/>
    <w:rsid w:val="001508D4"/>
    <w:rsid w:val="00151B14"/>
    <w:rsid w:val="0015396F"/>
    <w:rsid w:val="001548BB"/>
    <w:rsid w:val="001568DF"/>
    <w:rsid w:val="00165D63"/>
    <w:rsid w:val="0017365D"/>
    <w:rsid w:val="0017458E"/>
    <w:rsid w:val="00175A70"/>
    <w:rsid w:val="0017643B"/>
    <w:rsid w:val="0017663E"/>
    <w:rsid w:val="001769DD"/>
    <w:rsid w:val="0017762E"/>
    <w:rsid w:val="00182BEA"/>
    <w:rsid w:val="0018378B"/>
    <w:rsid w:val="00186A48"/>
    <w:rsid w:val="00187FE8"/>
    <w:rsid w:val="0019098B"/>
    <w:rsid w:val="00197083"/>
    <w:rsid w:val="001A0101"/>
    <w:rsid w:val="001A2AC8"/>
    <w:rsid w:val="001A4CDA"/>
    <w:rsid w:val="001A5009"/>
    <w:rsid w:val="001A5042"/>
    <w:rsid w:val="001A52CA"/>
    <w:rsid w:val="001B1653"/>
    <w:rsid w:val="001B2CE4"/>
    <w:rsid w:val="001B4617"/>
    <w:rsid w:val="001B5CAA"/>
    <w:rsid w:val="001B6492"/>
    <w:rsid w:val="001B65BC"/>
    <w:rsid w:val="001C02A9"/>
    <w:rsid w:val="001C059D"/>
    <w:rsid w:val="001C1A0A"/>
    <w:rsid w:val="001C222F"/>
    <w:rsid w:val="001C24A2"/>
    <w:rsid w:val="001C2826"/>
    <w:rsid w:val="001C320D"/>
    <w:rsid w:val="001C3AB8"/>
    <w:rsid w:val="001C3EFD"/>
    <w:rsid w:val="001C4041"/>
    <w:rsid w:val="001C7B5C"/>
    <w:rsid w:val="001D0616"/>
    <w:rsid w:val="001D1C64"/>
    <w:rsid w:val="001D1D3F"/>
    <w:rsid w:val="001D4B60"/>
    <w:rsid w:val="001D5121"/>
    <w:rsid w:val="001D70EC"/>
    <w:rsid w:val="001E6BFD"/>
    <w:rsid w:val="001E6DB7"/>
    <w:rsid w:val="001F19BD"/>
    <w:rsid w:val="00201684"/>
    <w:rsid w:val="002018D9"/>
    <w:rsid w:val="002025B1"/>
    <w:rsid w:val="0020568C"/>
    <w:rsid w:val="00213E4A"/>
    <w:rsid w:val="00222A64"/>
    <w:rsid w:val="0022383F"/>
    <w:rsid w:val="00227F41"/>
    <w:rsid w:val="0023127D"/>
    <w:rsid w:val="00232626"/>
    <w:rsid w:val="00233151"/>
    <w:rsid w:val="00233586"/>
    <w:rsid w:val="00236377"/>
    <w:rsid w:val="00236552"/>
    <w:rsid w:val="00236BE7"/>
    <w:rsid w:val="002377DD"/>
    <w:rsid w:val="00246C22"/>
    <w:rsid w:val="00246EDC"/>
    <w:rsid w:val="00251844"/>
    <w:rsid w:val="002537BA"/>
    <w:rsid w:val="00256692"/>
    <w:rsid w:val="002570EE"/>
    <w:rsid w:val="002624C0"/>
    <w:rsid w:val="00272484"/>
    <w:rsid w:val="002740A4"/>
    <w:rsid w:val="00274E40"/>
    <w:rsid w:val="00275CE9"/>
    <w:rsid w:val="00276B8D"/>
    <w:rsid w:val="0028167E"/>
    <w:rsid w:val="00281BB1"/>
    <w:rsid w:val="00282C51"/>
    <w:rsid w:val="00285BC9"/>
    <w:rsid w:val="00286898"/>
    <w:rsid w:val="00286C50"/>
    <w:rsid w:val="00290B1F"/>
    <w:rsid w:val="00291717"/>
    <w:rsid w:val="002922D3"/>
    <w:rsid w:val="002928DC"/>
    <w:rsid w:val="00293070"/>
    <w:rsid w:val="00294102"/>
    <w:rsid w:val="002959F3"/>
    <w:rsid w:val="00297444"/>
    <w:rsid w:val="002A32D5"/>
    <w:rsid w:val="002A5E33"/>
    <w:rsid w:val="002A7172"/>
    <w:rsid w:val="002A7CAF"/>
    <w:rsid w:val="002B3CCB"/>
    <w:rsid w:val="002B4F98"/>
    <w:rsid w:val="002C33F6"/>
    <w:rsid w:val="002C3EDF"/>
    <w:rsid w:val="002C5405"/>
    <w:rsid w:val="002C59E5"/>
    <w:rsid w:val="002C7E4E"/>
    <w:rsid w:val="002D1A2D"/>
    <w:rsid w:val="002D4E0B"/>
    <w:rsid w:val="002D5357"/>
    <w:rsid w:val="002E6EEC"/>
    <w:rsid w:val="002E7C87"/>
    <w:rsid w:val="002F099F"/>
    <w:rsid w:val="002F1188"/>
    <w:rsid w:val="002F4A15"/>
    <w:rsid w:val="003003A0"/>
    <w:rsid w:val="0030096D"/>
    <w:rsid w:val="003043E1"/>
    <w:rsid w:val="00305565"/>
    <w:rsid w:val="00307076"/>
    <w:rsid w:val="00311169"/>
    <w:rsid w:val="00314006"/>
    <w:rsid w:val="00317618"/>
    <w:rsid w:val="003243A7"/>
    <w:rsid w:val="00326A61"/>
    <w:rsid w:val="00331F2A"/>
    <w:rsid w:val="003321D2"/>
    <w:rsid w:val="003322DF"/>
    <w:rsid w:val="00333430"/>
    <w:rsid w:val="003339B0"/>
    <w:rsid w:val="0034197B"/>
    <w:rsid w:val="00346A46"/>
    <w:rsid w:val="00350FF4"/>
    <w:rsid w:val="00354535"/>
    <w:rsid w:val="00357CE3"/>
    <w:rsid w:val="0036195E"/>
    <w:rsid w:val="003643BC"/>
    <w:rsid w:val="00365926"/>
    <w:rsid w:val="00370B6B"/>
    <w:rsid w:val="003728AF"/>
    <w:rsid w:val="00372DDF"/>
    <w:rsid w:val="00374DD7"/>
    <w:rsid w:val="00375395"/>
    <w:rsid w:val="00380196"/>
    <w:rsid w:val="003801DB"/>
    <w:rsid w:val="00380D2A"/>
    <w:rsid w:val="003814CB"/>
    <w:rsid w:val="00383E2B"/>
    <w:rsid w:val="003871AA"/>
    <w:rsid w:val="00393415"/>
    <w:rsid w:val="00393467"/>
    <w:rsid w:val="0039584B"/>
    <w:rsid w:val="003A2FEC"/>
    <w:rsid w:val="003B0946"/>
    <w:rsid w:val="003B1A6F"/>
    <w:rsid w:val="003B2532"/>
    <w:rsid w:val="003B30F3"/>
    <w:rsid w:val="003B6D01"/>
    <w:rsid w:val="003B7364"/>
    <w:rsid w:val="003B7BE5"/>
    <w:rsid w:val="003C3C10"/>
    <w:rsid w:val="003D3B21"/>
    <w:rsid w:val="003D420D"/>
    <w:rsid w:val="003D4D4D"/>
    <w:rsid w:val="003D57C9"/>
    <w:rsid w:val="003D5BB4"/>
    <w:rsid w:val="003D5BD4"/>
    <w:rsid w:val="003E27DE"/>
    <w:rsid w:val="003E2FD6"/>
    <w:rsid w:val="003E7276"/>
    <w:rsid w:val="003E7BCC"/>
    <w:rsid w:val="003F2EAF"/>
    <w:rsid w:val="003F5384"/>
    <w:rsid w:val="003F59B7"/>
    <w:rsid w:val="003F5D0E"/>
    <w:rsid w:val="00403FC0"/>
    <w:rsid w:val="00407045"/>
    <w:rsid w:val="004071FE"/>
    <w:rsid w:val="004073BC"/>
    <w:rsid w:val="00407AD5"/>
    <w:rsid w:val="00412168"/>
    <w:rsid w:val="00412FA3"/>
    <w:rsid w:val="0041721D"/>
    <w:rsid w:val="004209F3"/>
    <w:rsid w:val="00421E8C"/>
    <w:rsid w:val="0042209D"/>
    <w:rsid w:val="00422838"/>
    <w:rsid w:val="00422960"/>
    <w:rsid w:val="004255D0"/>
    <w:rsid w:val="00425CD3"/>
    <w:rsid w:val="00427A9D"/>
    <w:rsid w:val="00431338"/>
    <w:rsid w:val="00432960"/>
    <w:rsid w:val="00433940"/>
    <w:rsid w:val="00435D70"/>
    <w:rsid w:val="0043646C"/>
    <w:rsid w:val="00444AA1"/>
    <w:rsid w:val="00447EA3"/>
    <w:rsid w:val="004506FC"/>
    <w:rsid w:val="004521B8"/>
    <w:rsid w:val="004563E9"/>
    <w:rsid w:val="0046089F"/>
    <w:rsid w:val="0046348E"/>
    <w:rsid w:val="00470660"/>
    <w:rsid w:val="00471794"/>
    <w:rsid w:val="004721D9"/>
    <w:rsid w:val="004737BE"/>
    <w:rsid w:val="004818E1"/>
    <w:rsid w:val="0048268A"/>
    <w:rsid w:val="004864B3"/>
    <w:rsid w:val="004870D8"/>
    <w:rsid w:val="0048758E"/>
    <w:rsid w:val="00490FFB"/>
    <w:rsid w:val="00495463"/>
    <w:rsid w:val="00496216"/>
    <w:rsid w:val="004A20FC"/>
    <w:rsid w:val="004A2F51"/>
    <w:rsid w:val="004A3BD8"/>
    <w:rsid w:val="004A49F8"/>
    <w:rsid w:val="004B05C0"/>
    <w:rsid w:val="004B5905"/>
    <w:rsid w:val="004C25BB"/>
    <w:rsid w:val="004C5722"/>
    <w:rsid w:val="004D271A"/>
    <w:rsid w:val="004D2747"/>
    <w:rsid w:val="004D28A2"/>
    <w:rsid w:val="004D2F41"/>
    <w:rsid w:val="004D4A06"/>
    <w:rsid w:val="004D713B"/>
    <w:rsid w:val="004E1A94"/>
    <w:rsid w:val="004E38C8"/>
    <w:rsid w:val="004F00E4"/>
    <w:rsid w:val="004F1C59"/>
    <w:rsid w:val="004F24D7"/>
    <w:rsid w:val="004F2633"/>
    <w:rsid w:val="004F2E47"/>
    <w:rsid w:val="004F36DE"/>
    <w:rsid w:val="004F59FB"/>
    <w:rsid w:val="004F5DD9"/>
    <w:rsid w:val="004F5FE9"/>
    <w:rsid w:val="004F71B0"/>
    <w:rsid w:val="00507469"/>
    <w:rsid w:val="0051258F"/>
    <w:rsid w:val="00513CEA"/>
    <w:rsid w:val="00515072"/>
    <w:rsid w:val="00517346"/>
    <w:rsid w:val="00522021"/>
    <w:rsid w:val="00523E4E"/>
    <w:rsid w:val="005254BB"/>
    <w:rsid w:val="00527A65"/>
    <w:rsid w:val="00527AC6"/>
    <w:rsid w:val="00530521"/>
    <w:rsid w:val="00531A8E"/>
    <w:rsid w:val="00534B80"/>
    <w:rsid w:val="00534B81"/>
    <w:rsid w:val="00534E74"/>
    <w:rsid w:val="0053678C"/>
    <w:rsid w:val="005407BC"/>
    <w:rsid w:val="00541AAD"/>
    <w:rsid w:val="00543D7B"/>
    <w:rsid w:val="00544790"/>
    <w:rsid w:val="00551989"/>
    <w:rsid w:val="00552B62"/>
    <w:rsid w:val="00553CF0"/>
    <w:rsid w:val="005549DF"/>
    <w:rsid w:val="00556A02"/>
    <w:rsid w:val="005577E1"/>
    <w:rsid w:val="0056337A"/>
    <w:rsid w:val="005654C9"/>
    <w:rsid w:val="0057290C"/>
    <w:rsid w:val="00575A45"/>
    <w:rsid w:val="0058254A"/>
    <w:rsid w:val="00583826"/>
    <w:rsid w:val="00586539"/>
    <w:rsid w:val="00586E39"/>
    <w:rsid w:val="00591C79"/>
    <w:rsid w:val="00591FEC"/>
    <w:rsid w:val="00592310"/>
    <w:rsid w:val="00593916"/>
    <w:rsid w:val="00593B0D"/>
    <w:rsid w:val="00594F42"/>
    <w:rsid w:val="005A355E"/>
    <w:rsid w:val="005A69D0"/>
    <w:rsid w:val="005A7573"/>
    <w:rsid w:val="005B28C2"/>
    <w:rsid w:val="005B2D32"/>
    <w:rsid w:val="005B3AEC"/>
    <w:rsid w:val="005B3FF5"/>
    <w:rsid w:val="005B4588"/>
    <w:rsid w:val="005B4DBD"/>
    <w:rsid w:val="005B4DCD"/>
    <w:rsid w:val="005B60B9"/>
    <w:rsid w:val="005C00B3"/>
    <w:rsid w:val="005C1F50"/>
    <w:rsid w:val="005C3679"/>
    <w:rsid w:val="005C4C1D"/>
    <w:rsid w:val="005C7651"/>
    <w:rsid w:val="005C77BB"/>
    <w:rsid w:val="005D1213"/>
    <w:rsid w:val="005D3E75"/>
    <w:rsid w:val="005E0C98"/>
    <w:rsid w:val="005E0E57"/>
    <w:rsid w:val="005E134A"/>
    <w:rsid w:val="005E5319"/>
    <w:rsid w:val="005E7CF3"/>
    <w:rsid w:val="005F0123"/>
    <w:rsid w:val="005F18BC"/>
    <w:rsid w:val="005F4370"/>
    <w:rsid w:val="005F4E72"/>
    <w:rsid w:val="005F6ACA"/>
    <w:rsid w:val="006010E3"/>
    <w:rsid w:val="00605ADF"/>
    <w:rsid w:val="00610766"/>
    <w:rsid w:val="00610938"/>
    <w:rsid w:val="00616424"/>
    <w:rsid w:val="00620943"/>
    <w:rsid w:val="00623DE2"/>
    <w:rsid w:val="0062434C"/>
    <w:rsid w:val="006243FF"/>
    <w:rsid w:val="00626AA0"/>
    <w:rsid w:val="00631001"/>
    <w:rsid w:val="00631076"/>
    <w:rsid w:val="0063232E"/>
    <w:rsid w:val="006323EF"/>
    <w:rsid w:val="00635FAB"/>
    <w:rsid w:val="00636826"/>
    <w:rsid w:val="00645685"/>
    <w:rsid w:val="00646649"/>
    <w:rsid w:val="00651BC7"/>
    <w:rsid w:val="00655D68"/>
    <w:rsid w:val="00655DBB"/>
    <w:rsid w:val="006609CA"/>
    <w:rsid w:val="00660C79"/>
    <w:rsid w:val="0066395E"/>
    <w:rsid w:val="00667ABA"/>
    <w:rsid w:val="0067036F"/>
    <w:rsid w:val="00673E2C"/>
    <w:rsid w:val="00674430"/>
    <w:rsid w:val="00676F55"/>
    <w:rsid w:val="00677EF9"/>
    <w:rsid w:val="00681B56"/>
    <w:rsid w:val="006826AD"/>
    <w:rsid w:val="00683A30"/>
    <w:rsid w:val="0068525E"/>
    <w:rsid w:val="00691B67"/>
    <w:rsid w:val="0069321C"/>
    <w:rsid w:val="00696213"/>
    <w:rsid w:val="00696274"/>
    <w:rsid w:val="006976A3"/>
    <w:rsid w:val="006A4A3C"/>
    <w:rsid w:val="006A7005"/>
    <w:rsid w:val="006A7532"/>
    <w:rsid w:val="006A790F"/>
    <w:rsid w:val="006B1505"/>
    <w:rsid w:val="006B3963"/>
    <w:rsid w:val="006B5290"/>
    <w:rsid w:val="006C0325"/>
    <w:rsid w:val="006C4E8A"/>
    <w:rsid w:val="006C7476"/>
    <w:rsid w:val="006C76EE"/>
    <w:rsid w:val="006D0F1A"/>
    <w:rsid w:val="006D14BB"/>
    <w:rsid w:val="006D16CE"/>
    <w:rsid w:val="006D3E1F"/>
    <w:rsid w:val="006E282C"/>
    <w:rsid w:val="006E46DF"/>
    <w:rsid w:val="006E6338"/>
    <w:rsid w:val="006F23CE"/>
    <w:rsid w:val="006F4551"/>
    <w:rsid w:val="006F7E36"/>
    <w:rsid w:val="00701BDA"/>
    <w:rsid w:val="007034D5"/>
    <w:rsid w:val="00705590"/>
    <w:rsid w:val="007060EC"/>
    <w:rsid w:val="0070704D"/>
    <w:rsid w:val="00707DB9"/>
    <w:rsid w:val="007138C6"/>
    <w:rsid w:val="007159C7"/>
    <w:rsid w:val="00722A07"/>
    <w:rsid w:val="0073057C"/>
    <w:rsid w:val="007325AE"/>
    <w:rsid w:val="007328A3"/>
    <w:rsid w:val="00736186"/>
    <w:rsid w:val="0073628A"/>
    <w:rsid w:val="00744573"/>
    <w:rsid w:val="0075392F"/>
    <w:rsid w:val="0075636E"/>
    <w:rsid w:val="00764949"/>
    <w:rsid w:val="00764C7F"/>
    <w:rsid w:val="00772BED"/>
    <w:rsid w:val="00773EB4"/>
    <w:rsid w:val="007767D6"/>
    <w:rsid w:val="0077796E"/>
    <w:rsid w:val="007816B8"/>
    <w:rsid w:val="00783BF8"/>
    <w:rsid w:val="00785FFA"/>
    <w:rsid w:val="00792B06"/>
    <w:rsid w:val="00792B22"/>
    <w:rsid w:val="0079518D"/>
    <w:rsid w:val="007957A5"/>
    <w:rsid w:val="00795F80"/>
    <w:rsid w:val="007974ED"/>
    <w:rsid w:val="00797992"/>
    <w:rsid w:val="007A4C00"/>
    <w:rsid w:val="007B2353"/>
    <w:rsid w:val="007C0910"/>
    <w:rsid w:val="007C0C7A"/>
    <w:rsid w:val="007C2684"/>
    <w:rsid w:val="007C2E4A"/>
    <w:rsid w:val="007C3688"/>
    <w:rsid w:val="007C3F12"/>
    <w:rsid w:val="007C422A"/>
    <w:rsid w:val="007C5D93"/>
    <w:rsid w:val="007C6837"/>
    <w:rsid w:val="007C76E3"/>
    <w:rsid w:val="007C7F05"/>
    <w:rsid w:val="007D0DB3"/>
    <w:rsid w:val="007D1FDC"/>
    <w:rsid w:val="007D441B"/>
    <w:rsid w:val="007D49C3"/>
    <w:rsid w:val="007D5212"/>
    <w:rsid w:val="007D65C7"/>
    <w:rsid w:val="007E3FDB"/>
    <w:rsid w:val="00801105"/>
    <w:rsid w:val="00802990"/>
    <w:rsid w:val="00802D3D"/>
    <w:rsid w:val="00802EE9"/>
    <w:rsid w:val="00805B2F"/>
    <w:rsid w:val="008064A0"/>
    <w:rsid w:val="00812798"/>
    <w:rsid w:val="00812FED"/>
    <w:rsid w:val="0081323E"/>
    <w:rsid w:val="008140EF"/>
    <w:rsid w:val="00817453"/>
    <w:rsid w:val="00820BC3"/>
    <w:rsid w:val="00821BE7"/>
    <w:rsid w:val="0082292F"/>
    <w:rsid w:val="00822D63"/>
    <w:rsid w:val="0083233F"/>
    <w:rsid w:val="00833962"/>
    <w:rsid w:val="00833F21"/>
    <w:rsid w:val="0083412C"/>
    <w:rsid w:val="0083696E"/>
    <w:rsid w:val="00840B11"/>
    <w:rsid w:val="00843B1A"/>
    <w:rsid w:val="008453EB"/>
    <w:rsid w:val="00853515"/>
    <w:rsid w:val="00860775"/>
    <w:rsid w:val="00861B46"/>
    <w:rsid w:val="00862AE7"/>
    <w:rsid w:val="008634BC"/>
    <w:rsid w:val="008651FD"/>
    <w:rsid w:val="0087150C"/>
    <w:rsid w:val="00871873"/>
    <w:rsid w:val="00871FC0"/>
    <w:rsid w:val="008725B4"/>
    <w:rsid w:val="008731A4"/>
    <w:rsid w:val="0087482D"/>
    <w:rsid w:val="00874E71"/>
    <w:rsid w:val="00876BB4"/>
    <w:rsid w:val="00877BE6"/>
    <w:rsid w:val="0088475B"/>
    <w:rsid w:val="00884EA3"/>
    <w:rsid w:val="00887149"/>
    <w:rsid w:val="0089149C"/>
    <w:rsid w:val="008A0DA1"/>
    <w:rsid w:val="008A2904"/>
    <w:rsid w:val="008A367C"/>
    <w:rsid w:val="008A68FC"/>
    <w:rsid w:val="008A7310"/>
    <w:rsid w:val="008B1AE9"/>
    <w:rsid w:val="008B7BA8"/>
    <w:rsid w:val="008C1580"/>
    <w:rsid w:val="008C1A73"/>
    <w:rsid w:val="008C429B"/>
    <w:rsid w:val="008C469D"/>
    <w:rsid w:val="008C64CD"/>
    <w:rsid w:val="008D0AF1"/>
    <w:rsid w:val="008D113C"/>
    <w:rsid w:val="008D243C"/>
    <w:rsid w:val="008D371B"/>
    <w:rsid w:val="008D376F"/>
    <w:rsid w:val="008D4F6F"/>
    <w:rsid w:val="008D51FA"/>
    <w:rsid w:val="008D5D2B"/>
    <w:rsid w:val="008E04A0"/>
    <w:rsid w:val="008E12BA"/>
    <w:rsid w:val="008E1BFD"/>
    <w:rsid w:val="008E1FBE"/>
    <w:rsid w:val="008E1FD6"/>
    <w:rsid w:val="008E6085"/>
    <w:rsid w:val="008F0463"/>
    <w:rsid w:val="008F1D01"/>
    <w:rsid w:val="008F2EEA"/>
    <w:rsid w:val="00900386"/>
    <w:rsid w:val="00901037"/>
    <w:rsid w:val="009036AB"/>
    <w:rsid w:val="00903886"/>
    <w:rsid w:val="00903DD7"/>
    <w:rsid w:val="00912EB7"/>
    <w:rsid w:val="009142D6"/>
    <w:rsid w:val="00915D13"/>
    <w:rsid w:val="00915EBE"/>
    <w:rsid w:val="00915F87"/>
    <w:rsid w:val="00917BB1"/>
    <w:rsid w:val="009253F2"/>
    <w:rsid w:val="00926035"/>
    <w:rsid w:val="00927CF6"/>
    <w:rsid w:val="00930FCB"/>
    <w:rsid w:val="00933ACC"/>
    <w:rsid w:val="00934526"/>
    <w:rsid w:val="00936B77"/>
    <w:rsid w:val="009424C2"/>
    <w:rsid w:val="009426CD"/>
    <w:rsid w:val="009451E3"/>
    <w:rsid w:val="009464B0"/>
    <w:rsid w:val="009470CC"/>
    <w:rsid w:val="00950C32"/>
    <w:rsid w:val="0095110D"/>
    <w:rsid w:val="00952DF6"/>
    <w:rsid w:val="0095532D"/>
    <w:rsid w:val="0095673E"/>
    <w:rsid w:val="0095746E"/>
    <w:rsid w:val="00957D3C"/>
    <w:rsid w:val="009611DF"/>
    <w:rsid w:val="00965063"/>
    <w:rsid w:val="00975D21"/>
    <w:rsid w:val="00977731"/>
    <w:rsid w:val="00980531"/>
    <w:rsid w:val="00980D43"/>
    <w:rsid w:val="00982B57"/>
    <w:rsid w:val="00983F52"/>
    <w:rsid w:val="009858E9"/>
    <w:rsid w:val="00991C43"/>
    <w:rsid w:val="00992BA6"/>
    <w:rsid w:val="00992F77"/>
    <w:rsid w:val="00996D28"/>
    <w:rsid w:val="009977FB"/>
    <w:rsid w:val="009A240D"/>
    <w:rsid w:val="009A27E7"/>
    <w:rsid w:val="009A333B"/>
    <w:rsid w:val="009A65FF"/>
    <w:rsid w:val="009B0429"/>
    <w:rsid w:val="009B491E"/>
    <w:rsid w:val="009B6A1C"/>
    <w:rsid w:val="009C17E4"/>
    <w:rsid w:val="009C23C2"/>
    <w:rsid w:val="009C2BB3"/>
    <w:rsid w:val="009C41CB"/>
    <w:rsid w:val="009C44B0"/>
    <w:rsid w:val="009C4B36"/>
    <w:rsid w:val="009C625A"/>
    <w:rsid w:val="009C7763"/>
    <w:rsid w:val="009D01C2"/>
    <w:rsid w:val="009D066B"/>
    <w:rsid w:val="009D227F"/>
    <w:rsid w:val="009D4AEE"/>
    <w:rsid w:val="009D5484"/>
    <w:rsid w:val="009D56BD"/>
    <w:rsid w:val="009D6F16"/>
    <w:rsid w:val="009E49A8"/>
    <w:rsid w:val="009E573A"/>
    <w:rsid w:val="009E6153"/>
    <w:rsid w:val="009E77BE"/>
    <w:rsid w:val="009F100E"/>
    <w:rsid w:val="009F1EE5"/>
    <w:rsid w:val="009F3EA5"/>
    <w:rsid w:val="009F4087"/>
    <w:rsid w:val="009F5284"/>
    <w:rsid w:val="00A01012"/>
    <w:rsid w:val="00A013C4"/>
    <w:rsid w:val="00A01573"/>
    <w:rsid w:val="00A10059"/>
    <w:rsid w:val="00A10FC9"/>
    <w:rsid w:val="00A14DB4"/>
    <w:rsid w:val="00A2103A"/>
    <w:rsid w:val="00A272E0"/>
    <w:rsid w:val="00A35C2E"/>
    <w:rsid w:val="00A415AF"/>
    <w:rsid w:val="00A4280A"/>
    <w:rsid w:val="00A4284D"/>
    <w:rsid w:val="00A4291C"/>
    <w:rsid w:val="00A43037"/>
    <w:rsid w:val="00A43745"/>
    <w:rsid w:val="00A509BF"/>
    <w:rsid w:val="00A5328C"/>
    <w:rsid w:val="00A534D5"/>
    <w:rsid w:val="00A53504"/>
    <w:rsid w:val="00A5373C"/>
    <w:rsid w:val="00A62FF3"/>
    <w:rsid w:val="00A66387"/>
    <w:rsid w:val="00A71969"/>
    <w:rsid w:val="00A732D1"/>
    <w:rsid w:val="00A73AD8"/>
    <w:rsid w:val="00A73F5C"/>
    <w:rsid w:val="00A73F97"/>
    <w:rsid w:val="00A75CD6"/>
    <w:rsid w:val="00A76312"/>
    <w:rsid w:val="00A76A05"/>
    <w:rsid w:val="00A803A3"/>
    <w:rsid w:val="00A816F5"/>
    <w:rsid w:val="00A820D5"/>
    <w:rsid w:val="00A85168"/>
    <w:rsid w:val="00A85F55"/>
    <w:rsid w:val="00A868E3"/>
    <w:rsid w:val="00A87176"/>
    <w:rsid w:val="00A90C19"/>
    <w:rsid w:val="00A90E46"/>
    <w:rsid w:val="00A90F78"/>
    <w:rsid w:val="00A9323B"/>
    <w:rsid w:val="00A9349C"/>
    <w:rsid w:val="00A95D13"/>
    <w:rsid w:val="00A95E7B"/>
    <w:rsid w:val="00AA1A41"/>
    <w:rsid w:val="00AA288C"/>
    <w:rsid w:val="00AA4FF1"/>
    <w:rsid w:val="00AB0B9C"/>
    <w:rsid w:val="00AB112D"/>
    <w:rsid w:val="00AB2634"/>
    <w:rsid w:val="00AB5BA1"/>
    <w:rsid w:val="00AB610A"/>
    <w:rsid w:val="00AC19C1"/>
    <w:rsid w:val="00AC3865"/>
    <w:rsid w:val="00AC5964"/>
    <w:rsid w:val="00AD0C2F"/>
    <w:rsid w:val="00AD2B61"/>
    <w:rsid w:val="00AD50BE"/>
    <w:rsid w:val="00AD6153"/>
    <w:rsid w:val="00AE068C"/>
    <w:rsid w:val="00AE21C5"/>
    <w:rsid w:val="00AE3F43"/>
    <w:rsid w:val="00AE5589"/>
    <w:rsid w:val="00AE5B2F"/>
    <w:rsid w:val="00AE6107"/>
    <w:rsid w:val="00AE6A67"/>
    <w:rsid w:val="00AF1B5E"/>
    <w:rsid w:val="00AF2588"/>
    <w:rsid w:val="00AF4370"/>
    <w:rsid w:val="00AF575B"/>
    <w:rsid w:val="00AF5F4C"/>
    <w:rsid w:val="00AF6055"/>
    <w:rsid w:val="00B04E6B"/>
    <w:rsid w:val="00B1339E"/>
    <w:rsid w:val="00B135E7"/>
    <w:rsid w:val="00B1716C"/>
    <w:rsid w:val="00B210BE"/>
    <w:rsid w:val="00B26A38"/>
    <w:rsid w:val="00B27FF7"/>
    <w:rsid w:val="00B314F9"/>
    <w:rsid w:val="00B31B0D"/>
    <w:rsid w:val="00B328DF"/>
    <w:rsid w:val="00B3359F"/>
    <w:rsid w:val="00B33DBC"/>
    <w:rsid w:val="00B3414B"/>
    <w:rsid w:val="00B378FB"/>
    <w:rsid w:val="00B419BE"/>
    <w:rsid w:val="00B42845"/>
    <w:rsid w:val="00B44252"/>
    <w:rsid w:val="00B44B02"/>
    <w:rsid w:val="00B4504C"/>
    <w:rsid w:val="00B46E48"/>
    <w:rsid w:val="00B46E72"/>
    <w:rsid w:val="00B50DB5"/>
    <w:rsid w:val="00B51A8E"/>
    <w:rsid w:val="00B525B5"/>
    <w:rsid w:val="00B5381D"/>
    <w:rsid w:val="00B54CF4"/>
    <w:rsid w:val="00B5519A"/>
    <w:rsid w:val="00B552EF"/>
    <w:rsid w:val="00B557F2"/>
    <w:rsid w:val="00B567B5"/>
    <w:rsid w:val="00B568C7"/>
    <w:rsid w:val="00B63517"/>
    <w:rsid w:val="00B638DE"/>
    <w:rsid w:val="00B643A8"/>
    <w:rsid w:val="00B668AE"/>
    <w:rsid w:val="00B6792C"/>
    <w:rsid w:val="00B741F8"/>
    <w:rsid w:val="00B76278"/>
    <w:rsid w:val="00B771E0"/>
    <w:rsid w:val="00B80C9D"/>
    <w:rsid w:val="00B82234"/>
    <w:rsid w:val="00B839C1"/>
    <w:rsid w:val="00B85595"/>
    <w:rsid w:val="00B90A49"/>
    <w:rsid w:val="00B94E98"/>
    <w:rsid w:val="00B97337"/>
    <w:rsid w:val="00BA18BB"/>
    <w:rsid w:val="00BA5322"/>
    <w:rsid w:val="00BB2416"/>
    <w:rsid w:val="00BB276B"/>
    <w:rsid w:val="00BB2DDF"/>
    <w:rsid w:val="00BB335E"/>
    <w:rsid w:val="00BB4631"/>
    <w:rsid w:val="00BC15FE"/>
    <w:rsid w:val="00BC18B1"/>
    <w:rsid w:val="00BC3035"/>
    <w:rsid w:val="00BC3B68"/>
    <w:rsid w:val="00BC7440"/>
    <w:rsid w:val="00BD0A42"/>
    <w:rsid w:val="00BD389A"/>
    <w:rsid w:val="00BD38D3"/>
    <w:rsid w:val="00BD3F7C"/>
    <w:rsid w:val="00BD78F8"/>
    <w:rsid w:val="00BE5853"/>
    <w:rsid w:val="00BE75AB"/>
    <w:rsid w:val="00BF069C"/>
    <w:rsid w:val="00BF3908"/>
    <w:rsid w:val="00BF5964"/>
    <w:rsid w:val="00C046DA"/>
    <w:rsid w:val="00C077C0"/>
    <w:rsid w:val="00C1021C"/>
    <w:rsid w:val="00C103EC"/>
    <w:rsid w:val="00C10F11"/>
    <w:rsid w:val="00C11346"/>
    <w:rsid w:val="00C1305A"/>
    <w:rsid w:val="00C17218"/>
    <w:rsid w:val="00C2022C"/>
    <w:rsid w:val="00C20F06"/>
    <w:rsid w:val="00C21226"/>
    <w:rsid w:val="00C224B1"/>
    <w:rsid w:val="00C24B13"/>
    <w:rsid w:val="00C25E20"/>
    <w:rsid w:val="00C26950"/>
    <w:rsid w:val="00C31628"/>
    <w:rsid w:val="00C3448E"/>
    <w:rsid w:val="00C356E0"/>
    <w:rsid w:val="00C370D1"/>
    <w:rsid w:val="00C372E0"/>
    <w:rsid w:val="00C4240E"/>
    <w:rsid w:val="00C43A80"/>
    <w:rsid w:val="00C45C3F"/>
    <w:rsid w:val="00C501F5"/>
    <w:rsid w:val="00C524F1"/>
    <w:rsid w:val="00C55F18"/>
    <w:rsid w:val="00C569B9"/>
    <w:rsid w:val="00C634BF"/>
    <w:rsid w:val="00C708B8"/>
    <w:rsid w:val="00C74B3F"/>
    <w:rsid w:val="00C76207"/>
    <w:rsid w:val="00C77306"/>
    <w:rsid w:val="00C77338"/>
    <w:rsid w:val="00C824FC"/>
    <w:rsid w:val="00C848BA"/>
    <w:rsid w:val="00C84E0C"/>
    <w:rsid w:val="00C878F6"/>
    <w:rsid w:val="00C87DC2"/>
    <w:rsid w:val="00C90CB5"/>
    <w:rsid w:val="00C910B0"/>
    <w:rsid w:val="00C931DF"/>
    <w:rsid w:val="00C93F49"/>
    <w:rsid w:val="00C9480B"/>
    <w:rsid w:val="00C95E78"/>
    <w:rsid w:val="00C971F8"/>
    <w:rsid w:val="00CA181F"/>
    <w:rsid w:val="00CA1ED4"/>
    <w:rsid w:val="00CA2915"/>
    <w:rsid w:val="00CA55A5"/>
    <w:rsid w:val="00CB4015"/>
    <w:rsid w:val="00CB53B1"/>
    <w:rsid w:val="00CB57E1"/>
    <w:rsid w:val="00CC2166"/>
    <w:rsid w:val="00CC4309"/>
    <w:rsid w:val="00CC5E28"/>
    <w:rsid w:val="00CC6B93"/>
    <w:rsid w:val="00CC6CFA"/>
    <w:rsid w:val="00CC6E73"/>
    <w:rsid w:val="00CC78E1"/>
    <w:rsid w:val="00CD469A"/>
    <w:rsid w:val="00CD67E5"/>
    <w:rsid w:val="00CD6AC0"/>
    <w:rsid w:val="00CE2393"/>
    <w:rsid w:val="00CE4BEE"/>
    <w:rsid w:val="00CE6DD7"/>
    <w:rsid w:val="00CF07C4"/>
    <w:rsid w:val="00CF1FF2"/>
    <w:rsid w:val="00CF34C7"/>
    <w:rsid w:val="00CF4C7C"/>
    <w:rsid w:val="00CF4D79"/>
    <w:rsid w:val="00CF6DF6"/>
    <w:rsid w:val="00CF7406"/>
    <w:rsid w:val="00CF7EFB"/>
    <w:rsid w:val="00D00425"/>
    <w:rsid w:val="00D02114"/>
    <w:rsid w:val="00D0674D"/>
    <w:rsid w:val="00D07B3A"/>
    <w:rsid w:val="00D10EB7"/>
    <w:rsid w:val="00D115D4"/>
    <w:rsid w:val="00D15A8E"/>
    <w:rsid w:val="00D1626D"/>
    <w:rsid w:val="00D17118"/>
    <w:rsid w:val="00D1712F"/>
    <w:rsid w:val="00D174A5"/>
    <w:rsid w:val="00D21859"/>
    <w:rsid w:val="00D21FE6"/>
    <w:rsid w:val="00D2648C"/>
    <w:rsid w:val="00D27259"/>
    <w:rsid w:val="00D3269C"/>
    <w:rsid w:val="00D33027"/>
    <w:rsid w:val="00D33520"/>
    <w:rsid w:val="00D33620"/>
    <w:rsid w:val="00D34133"/>
    <w:rsid w:val="00D34E11"/>
    <w:rsid w:val="00D35448"/>
    <w:rsid w:val="00D35AF1"/>
    <w:rsid w:val="00D40BAE"/>
    <w:rsid w:val="00D4320D"/>
    <w:rsid w:val="00D43501"/>
    <w:rsid w:val="00D43E73"/>
    <w:rsid w:val="00D478C4"/>
    <w:rsid w:val="00D51352"/>
    <w:rsid w:val="00D53823"/>
    <w:rsid w:val="00D57CFB"/>
    <w:rsid w:val="00D60978"/>
    <w:rsid w:val="00D61294"/>
    <w:rsid w:val="00D62098"/>
    <w:rsid w:val="00D62C12"/>
    <w:rsid w:val="00D648FA"/>
    <w:rsid w:val="00D65610"/>
    <w:rsid w:val="00D666EE"/>
    <w:rsid w:val="00D6732D"/>
    <w:rsid w:val="00D67600"/>
    <w:rsid w:val="00D711AB"/>
    <w:rsid w:val="00D729AC"/>
    <w:rsid w:val="00D83755"/>
    <w:rsid w:val="00D847A0"/>
    <w:rsid w:val="00D849E9"/>
    <w:rsid w:val="00D86B50"/>
    <w:rsid w:val="00D91B90"/>
    <w:rsid w:val="00D93343"/>
    <w:rsid w:val="00D93D91"/>
    <w:rsid w:val="00D96DBC"/>
    <w:rsid w:val="00DA040D"/>
    <w:rsid w:val="00DA7650"/>
    <w:rsid w:val="00DB2A71"/>
    <w:rsid w:val="00DB2B91"/>
    <w:rsid w:val="00DB2CAA"/>
    <w:rsid w:val="00DB3B57"/>
    <w:rsid w:val="00DC2961"/>
    <w:rsid w:val="00DC4F5E"/>
    <w:rsid w:val="00DC70A6"/>
    <w:rsid w:val="00DC7E67"/>
    <w:rsid w:val="00DD0D79"/>
    <w:rsid w:val="00DD1D36"/>
    <w:rsid w:val="00DD1EAA"/>
    <w:rsid w:val="00DD3AD0"/>
    <w:rsid w:val="00DD4DCB"/>
    <w:rsid w:val="00DE0F8C"/>
    <w:rsid w:val="00DE17B5"/>
    <w:rsid w:val="00DE1D28"/>
    <w:rsid w:val="00DE2CA5"/>
    <w:rsid w:val="00DE3B28"/>
    <w:rsid w:val="00DE3FAB"/>
    <w:rsid w:val="00DE6110"/>
    <w:rsid w:val="00DE6599"/>
    <w:rsid w:val="00DF1C05"/>
    <w:rsid w:val="00DF3773"/>
    <w:rsid w:val="00DF6AB8"/>
    <w:rsid w:val="00DF6ABF"/>
    <w:rsid w:val="00E00503"/>
    <w:rsid w:val="00E00782"/>
    <w:rsid w:val="00E046CC"/>
    <w:rsid w:val="00E05B57"/>
    <w:rsid w:val="00E0731A"/>
    <w:rsid w:val="00E11A56"/>
    <w:rsid w:val="00E16923"/>
    <w:rsid w:val="00E17E82"/>
    <w:rsid w:val="00E24749"/>
    <w:rsid w:val="00E25A37"/>
    <w:rsid w:val="00E276A8"/>
    <w:rsid w:val="00E30C63"/>
    <w:rsid w:val="00E30DBA"/>
    <w:rsid w:val="00E33CDE"/>
    <w:rsid w:val="00E34E56"/>
    <w:rsid w:val="00E36CEF"/>
    <w:rsid w:val="00E40A79"/>
    <w:rsid w:val="00E4353C"/>
    <w:rsid w:val="00E46A7C"/>
    <w:rsid w:val="00E46D58"/>
    <w:rsid w:val="00E536E7"/>
    <w:rsid w:val="00E543DF"/>
    <w:rsid w:val="00E54E00"/>
    <w:rsid w:val="00E5689E"/>
    <w:rsid w:val="00E56E5B"/>
    <w:rsid w:val="00E57291"/>
    <w:rsid w:val="00E64507"/>
    <w:rsid w:val="00E651F2"/>
    <w:rsid w:val="00E67269"/>
    <w:rsid w:val="00E673A3"/>
    <w:rsid w:val="00E67C75"/>
    <w:rsid w:val="00E70162"/>
    <w:rsid w:val="00E71468"/>
    <w:rsid w:val="00E72AFF"/>
    <w:rsid w:val="00E72D00"/>
    <w:rsid w:val="00E7558A"/>
    <w:rsid w:val="00E769E3"/>
    <w:rsid w:val="00E773A7"/>
    <w:rsid w:val="00E81578"/>
    <w:rsid w:val="00E86299"/>
    <w:rsid w:val="00E86B63"/>
    <w:rsid w:val="00E86ECD"/>
    <w:rsid w:val="00E930B6"/>
    <w:rsid w:val="00E96A35"/>
    <w:rsid w:val="00E9765A"/>
    <w:rsid w:val="00EA0091"/>
    <w:rsid w:val="00EA0C3A"/>
    <w:rsid w:val="00EA12B3"/>
    <w:rsid w:val="00EA16F5"/>
    <w:rsid w:val="00EA76E8"/>
    <w:rsid w:val="00EB5C72"/>
    <w:rsid w:val="00EC018B"/>
    <w:rsid w:val="00EC40D5"/>
    <w:rsid w:val="00EC4B08"/>
    <w:rsid w:val="00EC6A73"/>
    <w:rsid w:val="00EC7087"/>
    <w:rsid w:val="00EC7746"/>
    <w:rsid w:val="00ED044D"/>
    <w:rsid w:val="00ED1A43"/>
    <w:rsid w:val="00ED3DA1"/>
    <w:rsid w:val="00ED4C7B"/>
    <w:rsid w:val="00ED74E2"/>
    <w:rsid w:val="00EE0CE7"/>
    <w:rsid w:val="00EE479A"/>
    <w:rsid w:val="00EF0144"/>
    <w:rsid w:val="00EF1CF7"/>
    <w:rsid w:val="00EF25D5"/>
    <w:rsid w:val="00EF554A"/>
    <w:rsid w:val="00EF56DE"/>
    <w:rsid w:val="00EF676C"/>
    <w:rsid w:val="00F01047"/>
    <w:rsid w:val="00F02CC2"/>
    <w:rsid w:val="00F03F4F"/>
    <w:rsid w:val="00F07048"/>
    <w:rsid w:val="00F0718A"/>
    <w:rsid w:val="00F07B9C"/>
    <w:rsid w:val="00F109A6"/>
    <w:rsid w:val="00F12879"/>
    <w:rsid w:val="00F12DFB"/>
    <w:rsid w:val="00F13258"/>
    <w:rsid w:val="00F133A8"/>
    <w:rsid w:val="00F13A38"/>
    <w:rsid w:val="00F149F7"/>
    <w:rsid w:val="00F1510B"/>
    <w:rsid w:val="00F1643F"/>
    <w:rsid w:val="00F20245"/>
    <w:rsid w:val="00F21DEA"/>
    <w:rsid w:val="00F230AB"/>
    <w:rsid w:val="00F2460E"/>
    <w:rsid w:val="00F25ACE"/>
    <w:rsid w:val="00F27CD3"/>
    <w:rsid w:val="00F27D31"/>
    <w:rsid w:val="00F30359"/>
    <w:rsid w:val="00F30DF3"/>
    <w:rsid w:val="00F31C79"/>
    <w:rsid w:val="00F323EA"/>
    <w:rsid w:val="00F358DB"/>
    <w:rsid w:val="00F37B68"/>
    <w:rsid w:val="00F42F75"/>
    <w:rsid w:val="00F46B91"/>
    <w:rsid w:val="00F47C2F"/>
    <w:rsid w:val="00F5668C"/>
    <w:rsid w:val="00F60586"/>
    <w:rsid w:val="00F6159E"/>
    <w:rsid w:val="00F63789"/>
    <w:rsid w:val="00F67B20"/>
    <w:rsid w:val="00F72274"/>
    <w:rsid w:val="00F75911"/>
    <w:rsid w:val="00F76D89"/>
    <w:rsid w:val="00F774AE"/>
    <w:rsid w:val="00F81E5E"/>
    <w:rsid w:val="00F836C4"/>
    <w:rsid w:val="00F83DA6"/>
    <w:rsid w:val="00F84165"/>
    <w:rsid w:val="00F84558"/>
    <w:rsid w:val="00F84810"/>
    <w:rsid w:val="00F876F2"/>
    <w:rsid w:val="00F877F4"/>
    <w:rsid w:val="00F87C67"/>
    <w:rsid w:val="00F90D19"/>
    <w:rsid w:val="00F9238B"/>
    <w:rsid w:val="00FA0329"/>
    <w:rsid w:val="00FA12CE"/>
    <w:rsid w:val="00FA1C28"/>
    <w:rsid w:val="00FA252C"/>
    <w:rsid w:val="00FA3842"/>
    <w:rsid w:val="00FA613A"/>
    <w:rsid w:val="00FB2F90"/>
    <w:rsid w:val="00FB4B26"/>
    <w:rsid w:val="00FB5475"/>
    <w:rsid w:val="00FC6ED9"/>
    <w:rsid w:val="00FC7522"/>
    <w:rsid w:val="00FC7981"/>
    <w:rsid w:val="00FD0569"/>
    <w:rsid w:val="00FD2B61"/>
    <w:rsid w:val="00FD2F37"/>
    <w:rsid w:val="00FD715F"/>
    <w:rsid w:val="00FE21A4"/>
    <w:rsid w:val="00FE2F8D"/>
    <w:rsid w:val="00FE47FD"/>
    <w:rsid w:val="00FE6257"/>
    <w:rsid w:val="00FF5D5A"/>
    <w:rsid w:val="00FF640F"/>
    <w:rsid w:val="0413D1F0"/>
    <w:rsid w:val="08D6703D"/>
    <w:rsid w:val="0A387EDD"/>
    <w:rsid w:val="0A87D718"/>
    <w:rsid w:val="0C07B484"/>
    <w:rsid w:val="0E71F2AF"/>
    <w:rsid w:val="1012DCF1"/>
    <w:rsid w:val="151A5B69"/>
    <w:rsid w:val="16A93DD1"/>
    <w:rsid w:val="17421247"/>
    <w:rsid w:val="19F57F46"/>
    <w:rsid w:val="1AF2FDB3"/>
    <w:rsid w:val="1BB8D510"/>
    <w:rsid w:val="1C10B821"/>
    <w:rsid w:val="1EDC844F"/>
    <w:rsid w:val="224ECD67"/>
    <w:rsid w:val="2307E254"/>
    <w:rsid w:val="237F40BE"/>
    <w:rsid w:val="23F404DC"/>
    <w:rsid w:val="257DA710"/>
    <w:rsid w:val="2B06B9DE"/>
    <w:rsid w:val="2DC1E0DA"/>
    <w:rsid w:val="3327B8FB"/>
    <w:rsid w:val="3679C1B0"/>
    <w:rsid w:val="38A88AC5"/>
    <w:rsid w:val="3930420A"/>
    <w:rsid w:val="3A18B7D4"/>
    <w:rsid w:val="3ADA3602"/>
    <w:rsid w:val="3C358B44"/>
    <w:rsid w:val="3F0947A5"/>
    <w:rsid w:val="40AE98A6"/>
    <w:rsid w:val="40DC8E8D"/>
    <w:rsid w:val="41530EF3"/>
    <w:rsid w:val="42C1CE18"/>
    <w:rsid w:val="440F2D49"/>
    <w:rsid w:val="45955CD1"/>
    <w:rsid w:val="47589502"/>
    <w:rsid w:val="485A86E4"/>
    <w:rsid w:val="4BBEB4A9"/>
    <w:rsid w:val="4C851B72"/>
    <w:rsid w:val="4F6D9A89"/>
    <w:rsid w:val="53C728E2"/>
    <w:rsid w:val="58D497BB"/>
    <w:rsid w:val="59AC1111"/>
    <w:rsid w:val="5E004758"/>
    <w:rsid w:val="5FD88D32"/>
    <w:rsid w:val="63D0FF9C"/>
    <w:rsid w:val="65324F92"/>
    <w:rsid w:val="654026A5"/>
    <w:rsid w:val="69D96F32"/>
    <w:rsid w:val="6C4C3811"/>
    <w:rsid w:val="7445B45D"/>
    <w:rsid w:val="76DB51CD"/>
    <w:rsid w:val="76DDD864"/>
    <w:rsid w:val="779CB693"/>
    <w:rsid w:val="7E3C5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98B9"/>
  <w15:docId w15:val="{CA243CE1-9FCF-4332-B923-831FFA45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175A70"/>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B97337"/>
    <w:pPr>
      <w:spacing w:line="276" w:lineRule="auto"/>
    </w:pPr>
    <w:rPr>
      <w:sz w:val="48"/>
      <w:szCs w:val="48"/>
    </w:rPr>
  </w:style>
  <w:style w:type="paragraph" w:styleId="TOCHeading">
    <w:name w:val="TOC Heading"/>
    <w:basedOn w:val="Heading1"/>
    <w:next w:val="Normal"/>
    <w:uiPriority w:val="39"/>
    <w:unhideWhenUsed/>
    <w:qFormat/>
    <w:rsid w:val="00B973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634BF"/>
    <w:pPr>
      <w:tabs>
        <w:tab w:val="right" w:leader="dot" w:pos="10212"/>
      </w:tabs>
      <w:spacing w:after="100"/>
    </w:pPr>
    <w:rPr>
      <w:b/>
      <w:bCs/>
      <w:noProof/>
      <w:sz w:val="28"/>
      <w:szCs w:val="28"/>
    </w:rPr>
  </w:style>
  <w:style w:type="paragraph" w:customStyle="1" w:styleId="paragraph">
    <w:name w:val="paragraph"/>
    <w:basedOn w:val="Normal"/>
    <w:rsid w:val="00B973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337"/>
  </w:style>
  <w:style w:type="character" w:customStyle="1" w:styleId="eop">
    <w:name w:val="eop"/>
    <w:basedOn w:val="DefaultParagraphFont"/>
    <w:rsid w:val="00B97337"/>
  </w:style>
  <w:style w:type="paragraph" w:styleId="TOC2">
    <w:name w:val="toc 2"/>
    <w:basedOn w:val="Normal"/>
    <w:next w:val="Normal"/>
    <w:autoRedefine/>
    <w:uiPriority w:val="39"/>
    <w:unhideWhenUsed/>
    <w:rsid w:val="00B97337"/>
    <w:pPr>
      <w:tabs>
        <w:tab w:val="right" w:leader="dot" w:pos="10212"/>
      </w:tabs>
      <w:spacing w:after="100"/>
    </w:pPr>
  </w:style>
  <w:style w:type="paragraph" w:styleId="ListParagraph">
    <w:name w:val="List Paragraph"/>
    <w:basedOn w:val="Normal"/>
    <w:link w:val="ListParagraphChar"/>
    <w:uiPriority w:val="34"/>
    <w:qFormat/>
    <w:rsid w:val="00B97337"/>
    <w:pPr>
      <w:spacing w:after="240"/>
      <w:ind w:left="720"/>
      <w:contextualSpacing/>
    </w:pPr>
  </w:style>
  <w:style w:type="paragraph" w:styleId="CommentText">
    <w:name w:val="annotation text"/>
    <w:basedOn w:val="Normal"/>
    <w:link w:val="CommentTextChar"/>
    <w:uiPriority w:val="99"/>
    <w:unhideWhenUsed/>
    <w:rsid w:val="00B97337"/>
    <w:pPr>
      <w:spacing w:after="240" w:line="240" w:lineRule="auto"/>
    </w:pPr>
    <w:rPr>
      <w:sz w:val="20"/>
      <w:szCs w:val="20"/>
    </w:rPr>
  </w:style>
  <w:style w:type="character" w:customStyle="1" w:styleId="CommentTextChar">
    <w:name w:val="Comment Text Char"/>
    <w:basedOn w:val="DefaultParagraphFont"/>
    <w:link w:val="CommentText"/>
    <w:uiPriority w:val="99"/>
    <w:rsid w:val="00B97337"/>
    <w:rPr>
      <w:rFonts w:eastAsiaTheme="minorEastAsia"/>
      <w:sz w:val="20"/>
      <w:szCs w:val="20"/>
    </w:rPr>
  </w:style>
  <w:style w:type="character" w:styleId="CommentReference">
    <w:name w:val="annotation reference"/>
    <w:basedOn w:val="DefaultParagraphFont"/>
    <w:uiPriority w:val="99"/>
    <w:semiHidden/>
    <w:unhideWhenUsed/>
    <w:rsid w:val="00B97337"/>
    <w:rPr>
      <w:sz w:val="16"/>
      <w:szCs w:val="16"/>
    </w:rPr>
  </w:style>
  <w:style w:type="paragraph" w:styleId="CommentSubject">
    <w:name w:val="annotation subject"/>
    <w:basedOn w:val="CommentText"/>
    <w:next w:val="CommentText"/>
    <w:link w:val="CommentSubjectChar"/>
    <w:uiPriority w:val="99"/>
    <w:semiHidden/>
    <w:unhideWhenUsed/>
    <w:rsid w:val="00B97337"/>
    <w:rPr>
      <w:b/>
      <w:bCs/>
    </w:rPr>
  </w:style>
  <w:style w:type="character" w:customStyle="1" w:styleId="CommentSubjectChar">
    <w:name w:val="Comment Subject Char"/>
    <w:basedOn w:val="CommentTextChar"/>
    <w:link w:val="CommentSubject"/>
    <w:uiPriority w:val="99"/>
    <w:semiHidden/>
    <w:rsid w:val="00B97337"/>
    <w:rPr>
      <w:rFonts w:eastAsiaTheme="minorEastAsia"/>
      <w:b/>
      <w:bCs/>
      <w:sz w:val="20"/>
      <w:szCs w:val="20"/>
    </w:rPr>
  </w:style>
  <w:style w:type="paragraph" w:styleId="NormalWeb">
    <w:name w:val="Normal (Web)"/>
    <w:basedOn w:val="Normal"/>
    <w:uiPriority w:val="99"/>
    <w:unhideWhenUsed/>
    <w:rsid w:val="00840B11"/>
    <w:rPr>
      <w:rFonts w:ascii="Times New Roman" w:hAnsi="Times New Roman" w:cs="Times New Roman"/>
    </w:rPr>
  </w:style>
  <w:style w:type="paragraph" w:styleId="TOC3">
    <w:name w:val="toc 3"/>
    <w:basedOn w:val="Normal"/>
    <w:next w:val="Normal"/>
    <w:autoRedefine/>
    <w:uiPriority w:val="39"/>
    <w:unhideWhenUsed/>
    <w:rsid w:val="004D28A2"/>
    <w:pPr>
      <w:spacing w:after="100"/>
      <w:ind w:left="480"/>
    </w:pPr>
  </w:style>
  <w:style w:type="character" w:styleId="FollowedHyperlink">
    <w:name w:val="FollowedHyperlink"/>
    <w:basedOn w:val="DefaultParagraphFont"/>
    <w:uiPriority w:val="99"/>
    <w:semiHidden/>
    <w:unhideWhenUsed/>
    <w:rsid w:val="00276B8D"/>
    <w:rPr>
      <w:color w:val="016574" w:themeColor="followedHyperlink"/>
      <w:u w:val="single"/>
    </w:rPr>
  </w:style>
  <w:style w:type="character" w:customStyle="1" w:styleId="ui-provider">
    <w:name w:val="ui-provider"/>
    <w:basedOn w:val="DefaultParagraphFont"/>
    <w:rsid w:val="005A69D0"/>
  </w:style>
  <w:style w:type="character" w:customStyle="1" w:styleId="ListParagraphChar">
    <w:name w:val="List Paragraph Char"/>
    <w:basedOn w:val="DefaultParagraphFont"/>
    <w:link w:val="ListParagraph"/>
    <w:uiPriority w:val="34"/>
    <w:rsid w:val="00B31B0D"/>
    <w:rPr>
      <w:rFonts w:eastAsiaTheme="minorEastAsia"/>
    </w:rPr>
  </w:style>
  <w:style w:type="table" w:styleId="TableGrid">
    <w:name w:val="Table Grid"/>
    <w:basedOn w:val="TableNormal"/>
    <w:uiPriority w:val="59"/>
    <w:rsid w:val="00A4291C"/>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table" w:styleId="ListTable6Colorful-Accent6">
    <w:name w:val="List Table 6 Colorful Accent 6"/>
    <w:basedOn w:val="TableNormal"/>
    <w:uiPriority w:val="51"/>
    <w:rsid w:val="00A4291C"/>
    <w:rPr>
      <w:color w:val="004B56" w:themeColor="accent6" w:themeShade="BF"/>
    </w:rPr>
    <w:tblPr>
      <w:tblStyleRowBandSize w:val="1"/>
      <w:tblStyleColBandSize w:val="1"/>
      <w:tblBorders>
        <w:top w:val="single" w:sz="4" w:space="0" w:color="016574" w:themeColor="accent6"/>
        <w:bottom w:val="single" w:sz="4" w:space="0" w:color="016574" w:themeColor="accent6"/>
      </w:tblBorders>
    </w:tblPr>
    <w:tblStylePr w:type="firstRow">
      <w:rPr>
        <w:b/>
        <w:bCs/>
      </w:rPr>
      <w:tblPr/>
      <w:tcPr>
        <w:tcBorders>
          <w:bottom w:val="single" w:sz="4" w:space="0" w:color="016574" w:themeColor="accent6"/>
        </w:tcBorders>
      </w:tcPr>
    </w:tblStylePr>
    <w:tblStylePr w:type="lastRow">
      <w:rPr>
        <w:b/>
        <w:bCs/>
      </w:rPr>
      <w:tblPr/>
      <w:tcPr>
        <w:tcBorders>
          <w:top w:val="double" w:sz="4" w:space="0" w:color="016574" w:themeColor="accent6"/>
        </w:tcBorders>
      </w:tcPr>
    </w:tblStylePr>
    <w:tblStylePr w:type="firstCol">
      <w:rPr>
        <w:b/>
        <w:bCs/>
      </w:rPr>
    </w:tblStylePr>
    <w:tblStylePr w:type="lastCol">
      <w:rPr>
        <w:b/>
        <w:bCs/>
      </w:rPr>
    </w:tblStylePr>
    <w:tblStylePr w:type="band1Vert">
      <w:tblPr/>
      <w:tcPr>
        <w:shd w:val="clear" w:color="auto" w:fill="B1F4FE" w:themeFill="accent6" w:themeFillTint="33"/>
      </w:tcPr>
    </w:tblStylePr>
    <w:tblStylePr w:type="band1Horz">
      <w:tblPr/>
      <w:tcPr>
        <w:shd w:val="clear" w:color="auto" w:fill="B1F4FE" w:themeFill="accent6" w:themeFillTint="33"/>
      </w:tcPr>
    </w:tblStylePr>
  </w:style>
  <w:style w:type="table" w:styleId="PlainTable1">
    <w:name w:val="Plain Table 1"/>
    <w:basedOn w:val="TableNormal"/>
    <w:uiPriority w:val="41"/>
    <w:rsid w:val="00A429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555">
      <w:bodyDiv w:val="1"/>
      <w:marLeft w:val="0"/>
      <w:marRight w:val="0"/>
      <w:marTop w:val="0"/>
      <w:marBottom w:val="0"/>
      <w:divBdr>
        <w:top w:val="none" w:sz="0" w:space="0" w:color="auto"/>
        <w:left w:val="none" w:sz="0" w:space="0" w:color="auto"/>
        <w:bottom w:val="none" w:sz="0" w:space="0" w:color="auto"/>
        <w:right w:val="none" w:sz="0" w:space="0" w:color="auto"/>
      </w:divBdr>
    </w:div>
    <w:div w:id="597837705">
      <w:bodyDiv w:val="1"/>
      <w:marLeft w:val="0"/>
      <w:marRight w:val="0"/>
      <w:marTop w:val="0"/>
      <w:marBottom w:val="0"/>
      <w:divBdr>
        <w:top w:val="none" w:sz="0" w:space="0" w:color="auto"/>
        <w:left w:val="none" w:sz="0" w:space="0" w:color="auto"/>
        <w:bottom w:val="none" w:sz="0" w:space="0" w:color="auto"/>
        <w:right w:val="none" w:sz="0" w:space="0" w:color="auto"/>
      </w:divBdr>
    </w:div>
    <w:div w:id="760952418">
      <w:bodyDiv w:val="1"/>
      <w:marLeft w:val="0"/>
      <w:marRight w:val="0"/>
      <w:marTop w:val="0"/>
      <w:marBottom w:val="0"/>
      <w:divBdr>
        <w:top w:val="none" w:sz="0" w:space="0" w:color="auto"/>
        <w:left w:val="none" w:sz="0" w:space="0" w:color="auto"/>
        <w:bottom w:val="none" w:sz="0" w:space="0" w:color="auto"/>
        <w:right w:val="none" w:sz="0" w:space="0" w:color="auto"/>
      </w:divBdr>
    </w:div>
    <w:div w:id="938097518">
      <w:bodyDiv w:val="1"/>
      <w:marLeft w:val="0"/>
      <w:marRight w:val="0"/>
      <w:marTop w:val="0"/>
      <w:marBottom w:val="0"/>
      <w:divBdr>
        <w:top w:val="none" w:sz="0" w:space="0" w:color="auto"/>
        <w:left w:val="none" w:sz="0" w:space="0" w:color="auto"/>
        <w:bottom w:val="none" w:sz="0" w:space="0" w:color="auto"/>
        <w:right w:val="none" w:sz="0" w:space="0" w:color="auto"/>
      </w:divBdr>
    </w:div>
    <w:div w:id="1146355906">
      <w:bodyDiv w:val="1"/>
      <w:marLeft w:val="0"/>
      <w:marRight w:val="0"/>
      <w:marTop w:val="0"/>
      <w:marBottom w:val="0"/>
      <w:divBdr>
        <w:top w:val="none" w:sz="0" w:space="0" w:color="auto"/>
        <w:left w:val="none" w:sz="0" w:space="0" w:color="auto"/>
        <w:bottom w:val="none" w:sz="0" w:space="0" w:color="auto"/>
        <w:right w:val="none" w:sz="0" w:space="0" w:color="auto"/>
      </w:divBdr>
    </w:div>
    <w:div w:id="1400446825">
      <w:bodyDiv w:val="1"/>
      <w:marLeft w:val="0"/>
      <w:marRight w:val="0"/>
      <w:marTop w:val="0"/>
      <w:marBottom w:val="0"/>
      <w:divBdr>
        <w:top w:val="none" w:sz="0" w:space="0" w:color="auto"/>
        <w:left w:val="none" w:sz="0" w:space="0" w:color="auto"/>
        <w:bottom w:val="none" w:sz="0" w:space="0" w:color="auto"/>
        <w:right w:val="none" w:sz="0" w:space="0" w:color="auto"/>
      </w:divBdr>
    </w:div>
    <w:div w:id="1435974337">
      <w:bodyDiv w:val="1"/>
      <w:marLeft w:val="0"/>
      <w:marRight w:val="0"/>
      <w:marTop w:val="0"/>
      <w:marBottom w:val="0"/>
      <w:divBdr>
        <w:top w:val="none" w:sz="0" w:space="0" w:color="auto"/>
        <w:left w:val="none" w:sz="0" w:space="0" w:color="auto"/>
        <w:bottom w:val="none" w:sz="0" w:space="0" w:color="auto"/>
        <w:right w:val="none" w:sz="0" w:space="0" w:color="auto"/>
      </w:divBdr>
    </w:div>
    <w:div w:id="1437404833">
      <w:bodyDiv w:val="1"/>
      <w:marLeft w:val="0"/>
      <w:marRight w:val="0"/>
      <w:marTop w:val="0"/>
      <w:marBottom w:val="0"/>
      <w:divBdr>
        <w:top w:val="none" w:sz="0" w:space="0" w:color="auto"/>
        <w:left w:val="none" w:sz="0" w:space="0" w:color="auto"/>
        <w:bottom w:val="none" w:sz="0" w:space="0" w:color="auto"/>
        <w:right w:val="none" w:sz="0" w:space="0" w:color="auto"/>
      </w:divBdr>
    </w:div>
    <w:div w:id="1447775390">
      <w:bodyDiv w:val="1"/>
      <w:marLeft w:val="0"/>
      <w:marRight w:val="0"/>
      <w:marTop w:val="0"/>
      <w:marBottom w:val="0"/>
      <w:divBdr>
        <w:top w:val="none" w:sz="0" w:space="0" w:color="auto"/>
        <w:left w:val="none" w:sz="0" w:space="0" w:color="auto"/>
        <w:bottom w:val="none" w:sz="0" w:space="0" w:color="auto"/>
        <w:right w:val="none" w:sz="0" w:space="0" w:color="auto"/>
      </w:divBdr>
    </w:div>
    <w:div w:id="1468278570">
      <w:bodyDiv w:val="1"/>
      <w:marLeft w:val="0"/>
      <w:marRight w:val="0"/>
      <w:marTop w:val="0"/>
      <w:marBottom w:val="0"/>
      <w:divBdr>
        <w:top w:val="none" w:sz="0" w:space="0" w:color="auto"/>
        <w:left w:val="none" w:sz="0" w:space="0" w:color="auto"/>
        <w:bottom w:val="none" w:sz="0" w:space="0" w:color="auto"/>
        <w:right w:val="none" w:sz="0" w:space="0" w:color="auto"/>
      </w:divBdr>
    </w:div>
    <w:div w:id="1553997615">
      <w:bodyDiv w:val="1"/>
      <w:marLeft w:val="0"/>
      <w:marRight w:val="0"/>
      <w:marTop w:val="0"/>
      <w:marBottom w:val="0"/>
      <w:divBdr>
        <w:top w:val="none" w:sz="0" w:space="0" w:color="auto"/>
        <w:left w:val="none" w:sz="0" w:space="0" w:color="auto"/>
        <w:bottom w:val="none" w:sz="0" w:space="0" w:color="auto"/>
        <w:right w:val="none" w:sz="0" w:space="0" w:color="auto"/>
      </w:divBdr>
    </w:div>
    <w:div w:id="1559896617">
      <w:bodyDiv w:val="1"/>
      <w:marLeft w:val="0"/>
      <w:marRight w:val="0"/>
      <w:marTop w:val="0"/>
      <w:marBottom w:val="0"/>
      <w:divBdr>
        <w:top w:val="none" w:sz="0" w:space="0" w:color="auto"/>
        <w:left w:val="none" w:sz="0" w:space="0" w:color="auto"/>
        <w:bottom w:val="none" w:sz="0" w:space="0" w:color="auto"/>
        <w:right w:val="none" w:sz="0" w:space="0" w:color="auto"/>
      </w:divBdr>
    </w:div>
    <w:div w:id="1689411048">
      <w:bodyDiv w:val="1"/>
      <w:marLeft w:val="0"/>
      <w:marRight w:val="0"/>
      <w:marTop w:val="0"/>
      <w:marBottom w:val="0"/>
      <w:divBdr>
        <w:top w:val="none" w:sz="0" w:space="0" w:color="auto"/>
        <w:left w:val="none" w:sz="0" w:space="0" w:color="auto"/>
        <w:bottom w:val="none" w:sz="0" w:space="0" w:color="auto"/>
        <w:right w:val="none" w:sz="0" w:space="0" w:color="auto"/>
      </w:divBdr>
    </w:div>
    <w:div w:id="1822229163">
      <w:bodyDiv w:val="1"/>
      <w:marLeft w:val="0"/>
      <w:marRight w:val="0"/>
      <w:marTop w:val="0"/>
      <w:marBottom w:val="0"/>
      <w:divBdr>
        <w:top w:val="none" w:sz="0" w:space="0" w:color="auto"/>
        <w:left w:val="none" w:sz="0" w:space="0" w:color="auto"/>
        <w:bottom w:val="none" w:sz="0" w:space="0" w:color="auto"/>
        <w:right w:val="none" w:sz="0" w:space="0" w:color="auto"/>
      </w:divBdr>
    </w:div>
    <w:div w:id="1956863028">
      <w:bodyDiv w:val="1"/>
      <w:marLeft w:val="0"/>
      <w:marRight w:val="0"/>
      <w:marTop w:val="0"/>
      <w:marBottom w:val="0"/>
      <w:divBdr>
        <w:top w:val="none" w:sz="0" w:space="0" w:color="auto"/>
        <w:left w:val="none" w:sz="0" w:space="0" w:color="auto"/>
        <w:bottom w:val="none" w:sz="0" w:space="0" w:color="auto"/>
        <w:right w:val="none" w:sz="0" w:space="0" w:color="auto"/>
      </w:divBdr>
    </w:div>
    <w:div w:id="21046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gov.uk/guidance/dispose-of-waste-containing-persistent-organic-pollutants-pops" TargetMode="External"/><Relationship Id="rId26" Type="http://schemas.openxmlformats.org/officeDocument/2006/relationships/hyperlink" Target="https://www.gov.uk/government/publications/perfluorooctane-sulfonates-pfos-and-related-compounds" TargetMode="External"/><Relationship Id="rId3" Type="http://schemas.openxmlformats.org/officeDocument/2006/relationships/customXml" Target="../customXml/item3.xml"/><Relationship Id="rId21" Type="http://schemas.openxmlformats.org/officeDocument/2006/relationships/hyperlink" Target="https://www.sepa.org.uk/media/36660/consigning_special_waste_guidance.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948735/Waste_classification_technical_guidance_WM3.pdf" TargetMode="External"/><Relationship Id="rId25" Type="http://schemas.openxmlformats.org/officeDocument/2006/relationships/hyperlink" Target="https://www.gov.uk/guidance/dispose-of-waste-containing-persistent-organic-pollutants-pop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uidance/dispose-of-waste-containing-persistent-organic-pollutants-pops" TargetMode="External"/><Relationship Id="rId20" Type="http://schemas.openxmlformats.org/officeDocument/2006/relationships/hyperlink" Target="https://www.sepa.org.uk/regulations/waste/special-wast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ecd.org/about/members-and-partner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48735/Waste_classification_technical_guidance_WM3.pdf" TargetMode="External"/><Relationship Id="rId23" Type="http://schemas.openxmlformats.org/officeDocument/2006/relationships/hyperlink" Target="https://www.sepa.org.uk/regulations/waste/transfrontier-shipment-of-wast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uidance/classify-some-waste-electrical-devices-components-and-wastes-from-their-treatmen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dispose-of-waste-containing-persistent-organic-pollutants-pops" TargetMode="External"/><Relationship Id="rId22" Type="http://schemas.openxmlformats.org/officeDocument/2006/relationships/hyperlink" Target="https://www.gov.uk/guidance/dispose-of-waste-containing-persistent-organic-pollutants-pops" TargetMode="External"/><Relationship Id="rId27" Type="http://schemas.openxmlformats.org/officeDocument/2006/relationships/hyperlink" Target="https://www.gov.uk/using-persistent-organic-pollutants-pop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McConnell, Shona</DisplayName>
        <AccountId>191</AccountId>
        <AccountType/>
      </UserInfo>
    </SharedWithUsers>
    <Correctonguidancetracker xmlns="7dd4d6b0-2bd1-40f7-94aa-8d4785e79023">Yes</Correctonguidancetrack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80D4-6BBE-4F8A-939D-BA42D9F59F53}">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ce5b52f7-9556-48ad-bf4f-1238de82834a"/>
    <ds:schemaRef ds:uri="http://schemas.openxmlformats.org/package/2006/metadata/core-properties"/>
    <ds:schemaRef ds:uri="7dd4d6b0-2bd1-40f7-94aa-8d4785e79023"/>
    <ds:schemaRef ds:uri="http://purl.org/dc/terms/"/>
  </ds:schemaRefs>
</ds:datastoreItem>
</file>

<file path=customXml/itemProps2.xml><?xml version="1.0" encoding="utf-8"?>
<ds:datastoreItem xmlns:ds="http://schemas.openxmlformats.org/officeDocument/2006/customXml" ds:itemID="{526A309D-E368-47AB-9C50-88DC79B3FE96}"/>
</file>

<file path=customXml/itemProps3.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29</Pages>
  <Words>5797</Words>
  <Characters>33047</Characters>
  <Application>Microsoft Office Word</Application>
  <DocSecurity>0</DocSecurity>
  <Lines>275</Lines>
  <Paragraphs>77</Paragraphs>
  <ScaleCrop>false</ScaleCrop>
  <Company/>
  <LinksUpToDate>false</LinksUpToDate>
  <CharactersWithSpaces>38767</CharactersWithSpaces>
  <SharedDoc>false</SharedDoc>
  <HLinks>
    <vt:vector size="294" baseType="variant">
      <vt:variant>
        <vt:i4>3866656</vt:i4>
      </vt:variant>
      <vt:variant>
        <vt:i4>249</vt:i4>
      </vt:variant>
      <vt:variant>
        <vt:i4>0</vt:i4>
      </vt:variant>
      <vt:variant>
        <vt:i4>5</vt:i4>
      </vt:variant>
      <vt:variant>
        <vt:lpwstr>https://www.gov.uk/using-persistent-organic-pollutants-pops</vt:lpwstr>
      </vt:variant>
      <vt:variant>
        <vt:lpwstr>list-of-pops</vt:lpwstr>
      </vt:variant>
      <vt:variant>
        <vt:i4>852057</vt:i4>
      </vt:variant>
      <vt:variant>
        <vt:i4>246</vt:i4>
      </vt:variant>
      <vt:variant>
        <vt:i4>0</vt:i4>
      </vt:variant>
      <vt:variant>
        <vt:i4>5</vt:i4>
      </vt:variant>
      <vt:variant>
        <vt:lpwstr>https://www.gov.uk/government/publications/perfluorooctane-sulfonates-pfos-and-related-compounds</vt:lpwstr>
      </vt:variant>
      <vt:variant>
        <vt:lpwstr/>
      </vt:variant>
      <vt:variant>
        <vt:i4>5439500</vt:i4>
      </vt:variant>
      <vt:variant>
        <vt:i4>243</vt:i4>
      </vt:variant>
      <vt:variant>
        <vt:i4>0</vt:i4>
      </vt:variant>
      <vt:variant>
        <vt:i4>5</vt:i4>
      </vt:variant>
      <vt:variant>
        <vt:lpwstr>https://www.gov.uk/guidance/dispose-of-waste-containing-persistent-organic-pollutants-pops</vt:lpwstr>
      </vt:variant>
      <vt:variant>
        <vt:lpwstr>eel-decline</vt:lpwstr>
      </vt:variant>
      <vt:variant>
        <vt:i4>1638431</vt:i4>
      </vt:variant>
      <vt:variant>
        <vt:i4>240</vt:i4>
      </vt:variant>
      <vt:variant>
        <vt:i4>0</vt:i4>
      </vt:variant>
      <vt:variant>
        <vt:i4>5</vt:i4>
      </vt:variant>
      <vt:variant>
        <vt:lpwstr>https://www.oecd.org/about/members-and-partners/</vt:lpwstr>
      </vt:variant>
      <vt:variant>
        <vt:lpwstr/>
      </vt:variant>
      <vt:variant>
        <vt:i4>2424952</vt:i4>
      </vt:variant>
      <vt:variant>
        <vt:i4>237</vt:i4>
      </vt:variant>
      <vt:variant>
        <vt:i4>0</vt:i4>
      </vt:variant>
      <vt:variant>
        <vt:i4>5</vt:i4>
      </vt:variant>
      <vt:variant>
        <vt:lpwstr>https://www.sepa.org.uk/regulations/waste/transfrontier-shipment-of-waste/</vt:lpwstr>
      </vt:variant>
      <vt:variant>
        <vt:lpwstr/>
      </vt:variant>
      <vt:variant>
        <vt:i4>8126571</vt:i4>
      </vt:variant>
      <vt:variant>
        <vt:i4>234</vt:i4>
      </vt:variant>
      <vt:variant>
        <vt:i4>0</vt:i4>
      </vt:variant>
      <vt:variant>
        <vt:i4>5</vt:i4>
      </vt:variant>
      <vt:variant>
        <vt:lpwstr>https://www.gov.uk/guidance/dispose-of-waste-containing-persistent-organic-pollutants-pops</vt:lpwstr>
      </vt:variant>
      <vt:variant>
        <vt:lpwstr/>
      </vt:variant>
      <vt:variant>
        <vt:i4>5439537</vt:i4>
      </vt:variant>
      <vt:variant>
        <vt:i4>231</vt:i4>
      </vt:variant>
      <vt:variant>
        <vt:i4>0</vt:i4>
      </vt:variant>
      <vt:variant>
        <vt:i4>5</vt:i4>
      </vt:variant>
      <vt:variant>
        <vt:lpwstr>https://www.sepa.org.uk/media/36660/consigning_special_waste_guidance.pdf</vt:lpwstr>
      </vt:variant>
      <vt:variant>
        <vt:lpwstr/>
      </vt:variant>
      <vt:variant>
        <vt:i4>1572952</vt:i4>
      </vt:variant>
      <vt:variant>
        <vt:i4>228</vt:i4>
      </vt:variant>
      <vt:variant>
        <vt:i4>0</vt:i4>
      </vt:variant>
      <vt:variant>
        <vt:i4>5</vt:i4>
      </vt:variant>
      <vt:variant>
        <vt:lpwstr>https://www.sepa.org.uk/regulations/waste/special-waste/</vt:lpwstr>
      </vt:variant>
      <vt:variant>
        <vt:lpwstr/>
      </vt:variant>
      <vt:variant>
        <vt:i4>5570572</vt:i4>
      </vt:variant>
      <vt:variant>
        <vt:i4>225</vt:i4>
      </vt:variant>
      <vt:variant>
        <vt:i4>0</vt:i4>
      </vt:variant>
      <vt:variant>
        <vt:i4>5</vt:i4>
      </vt:variant>
      <vt:variant>
        <vt:lpwstr>https://www.gov.uk/guidance/classify-some-waste-electrical-devices-components-and-wastes-from-their-treatment</vt:lpwstr>
      </vt:variant>
      <vt:variant>
        <vt:lpwstr/>
      </vt:variant>
      <vt:variant>
        <vt:i4>8126571</vt:i4>
      </vt:variant>
      <vt:variant>
        <vt:i4>222</vt:i4>
      </vt:variant>
      <vt:variant>
        <vt:i4>0</vt:i4>
      </vt:variant>
      <vt:variant>
        <vt:i4>5</vt:i4>
      </vt:variant>
      <vt:variant>
        <vt:lpwstr>https://www.gov.uk/guidance/dispose-of-waste-containing-persistent-organic-pollutants-pops</vt:lpwstr>
      </vt:variant>
      <vt:variant>
        <vt:lpwstr/>
      </vt:variant>
      <vt:variant>
        <vt:i4>5832761</vt:i4>
      </vt:variant>
      <vt:variant>
        <vt:i4>219</vt:i4>
      </vt:variant>
      <vt:variant>
        <vt:i4>0</vt:i4>
      </vt:variant>
      <vt:variant>
        <vt:i4>5</vt:i4>
      </vt:variant>
      <vt:variant>
        <vt:lpwstr>https://assets.publishing.service.gov.uk/government/uploads/system/uploads/attachment_data/file/948735/Waste_classification_technical_guidance_WM3.pdf</vt:lpwstr>
      </vt:variant>
      <vt:variant>
        <vt:lpwstr/>
      </vt:variant>
      <vt:variant>
        <vt:i4>8126571</vt:i4>
      </vt:variant>
      <vt:variant>
        <vt:i4>216</vt:i4>
      </vt:variant>
      <vt:variant>
        <vt:i4>0</vt:i4>
      </vt:variant>
      <vt:variant>
        <vt:i4>5</vt:i4>
      </vt:variant>
      <vt:variant>
        <vt:lpwstr>https://www.gov.uk/guidance/dispose-of-waste-containing-persistent-organic-pollutants-pops</vt:lpwstr>
      </vt:variant>
      <vt:variant>
        <vt:lpwstr/>
      </vt:variant>
      <vt:variant>
        <vt:i4>5832761</vt:i4>
      </vt:variant>
      <vt:variant>
        <vt:i4>213</vt:i4>
      </vt:variant>
      <vt:variant>
        <vt:i4>0</vt:i4>
      </vt:variant>
      <vt:variant>
        <vt:i4>5</vt:i4>
      </vt:variant>
      <vt:variant>
        <vt:lpwstr>https://assets.publishing.service.gov.uk/government/uploads/system/uploads/attachment_data/file/948735/Waste_classification_technical_guidance_WM3.pdf</vt:lpwstr>
      </vt:variant>
      <vt:variant>
        <vt:lpwstr/>
      </vt:variant>
      <vt:variant>
        <vt:i4>8126571</vt:i4>
      </vt:variant>
      <vt:variant>
        <vt:i4>210</vt:i4>
      </vt:variant>
      <vt:variant>
        <vt:i4>0</vt:i4>
      </vt:variant>
      <vt:variant>
        <vt:i4>5</vt:i4>
      </vt:variant>
      <vt:variant>
        <vt:lpwstr>https://www.gov.uk/guidance/dispose-of-waste-containing-persistent-organic-pollutants-pops</vt:lpwstr>
      </vt:variant>
      <vt:variant>
        <vt:lpwstr/>
      </vt:variant>
      <vt:variant>
        <vt:i4>3539032</vt:i4>
      </vt:variant>
      <vt:variant>
        <vt:i4>207</vt:i4>
      </vt:variant>
      <vt:variant>
        <vt:i4>0</vt:i4>
      </vt:variant>
      <vt:variant>
        <vt:i4>5</vt:i4>
      </vt:variant>
      <vt:variant>
        <vt:lpwstr>mailto:equalities@sepa.org.uk</vt:lpwstr>
      </vt:variant>
      <vt:variant>
        <vt:lpwstr/>
      </vt:variant>
      <vt:variant>
        <vt:i4>1114169</vt:i4>
      </vt:variant>
      <vt:variant>
        <vt:i4>200</vt:i4>
      </vt:variant>
      <vt:variant>
        <vt:i4>0</vt:i4>
      </vt:variant>
      <vt:variant>
        <vt:i4>5</vt:i4>
      </vt:variant>
      <vt:variant>
        <vt:lpwstr/>
      </vt:variant>
      <vt:variant>
        <vt:lpwstr>_Toc184980470</vt:lpwstr>
      </vt:variant>
      <vt:variant>
        <vt:i4>1048633</vt:i4>
      </vt:variant>
      <vt:variant>
        <vt:i4>194</vt:i4>
      </vt:variant>
      <vt:variant>
        <vt:i4>0</vt:i4>
      </vt:variant>
      <vt:variant>
        <vt:i4>5</vt:i4>
      </vt:variant>
      <vt:variant>
        <vt:lpwstr/>
      </vt:variant>
      <vt:variant>
        <vt:lpwstr>_Toc184980469</vt:lpwstr>
      </vt:variant>
      <vt:variant>
        <vt:i4>1048633</vt:i4>
      </vt:variant>
      <vt:variant>
        <vt:i4>188</vt:i4>
      </vt:variant>
      <vt:variant>
        <vt:i4>0</vt:i4>
      </vt:variant>
      <vt:variant>
        <vt:i4>5</vt:i4>
      </vt:variant>
      <vt:variant>
        <vt:lpwstr/>
      </vt:variant>
      <vt:variant>
        <vt:lpwstr>_Toc184980468</vt:lpwstr>
      </vt:variant>
      <vt:variant>
        <vt:i4>1048633</vt:i4>
      </vt:variant>
      <vt:variant>
        <vt:i4>182</vt:i4>
      </vt:variant>
      <vt:variant>
        <vt:i4>0</vt:i4>
      </vt:variant>
      <vt:variant>
        <vt:i4>5</vt:i4>
      </vt:variant>
      <vt:variant>
        <vt:lpwstr/>
      </vt:variant>
      <vt:variant>
        <vt:lpwstr>_Toc184980467</vt:lpwstr>
      </vt:variant>
      <vt:variant>
        <vt:i4>1048633</vt:i4>
      </vt:variant>
      <vt:variant>
        <vt:i4>176</vt:i4>
      </vt:variant>
      <vt:variant>
        <vt:i4>0</vt:i4>
      </vt:variant>
      <vt:variant>
        <vt:i4>5</vt:i4>
      </vt:variant>
      <vt:variant>
        <vt:lpwstr/>
      </vt:variant>
      <vt:variant>
        <vt:lpwstr>_Toc184980466</vt:lpwstr>
      </vt:variant>
      <vt:variant>
        <vt:i4>1048633</vt:i4>
      </vt:variant>
      <vt:variant>
        <vt:i4>170</vt:i4>
      </vt:variant>
      <vt:variant>
        <vt:i4>0</vt:i4>
      </vt:variant>
      <vt:variant>
        <vt:i4>5</vt:i4>
      </vt:variant>
      <vt:variant>
        <vt:lpwstr/>
      </vt:variant>
      <vt:variant>
        <vt:lpwstr>_Toc184980465</vt:lpwstr>
      </vt:variant>
      <vt:variant>
        <vt:i4>1048633</vt:i4>
      </vt:variant>
      <vt:variant>
        <vt:i4>164</vt:i4>
      </vt:variant>
      <vt:variant>
        <vt:i4>0</vt:i4>
      </vt:variant>
      <vt:variant>
        <vt:i4>5</vt:i4>
      </vt:variant>
      <vt:variant>
        <vt:lpwstr/>
      </vt:variant>
      <vt:variant>
        <vt:lpwstr>_Toc184980464</vt:lpwstr>
      </vt:variant>
      <vt:variant>
        <vt:i4>1048633</vt:i4>
      </vt:variant>
      <vt:variant>
        <vt:i4>158</vt:i4>
      </vt:variant>
      <vt:variant>
        <vt:i4>0</vt:i4>
      </vt:variant>
      <vt:variant>
        <vt:i4>5</vt:i4>
      </vt:variant>
      <vt:variant>
        <vt:lpwstr/>
      </vt:variant>
      <vt:variant>
        <vt:lpwstr>_Toc184980463</vt:lpwstr>
      </vt:variant>
      <vt:variant>
        <vt:i4>1048633</vt:i4>
      </vt:variant>
      <vt:variant>
        <vt:i4>152</vt:i4>
      </vt:variant>
      <vt:variant>
        <vt:i4>0</vt:i4>
      </vt:variant>
      <vt:variant>
        <vt:i4>5</vt:i4>
      </vt:variant>
      <vt:variant>
        <vt:lpwstr/>
      </vt:variant>
      <vt:variant>
        <vt:lpwstr>_Toc184980462</vt:lpwstr>
      </vt:variant>
      <vt:variant>
        <vt:i4>1048633</vt:i4>
      </vt:variant>
      <vt:variant>
        <vt:i4>146</vt:i4>
      </vt:variant>
      <vt:variant>
        <vt:i4>0</vt:i4>
      </vt:variant>
      <vt:variant>
        <vt:i4>5</vt:i4>
      </vt:variant>
      <vt:variant>
        <vt:lpwstr/>
      </vt:variant>
      <vt:variant>
        <vt:lpwstr>_Toc184980461</vt:lpwstr>
      </vt:variant>
      <vt:variant>
        <vt:i4>1048633</vt:i4>
      </vt:variant>
      <vt:variant>
        <vt:i4>140</vt:i4>
      </vt:variant>
      <vt:variant>
        <vt:i4>0</vt:i4>
      </vt:variant>
      <vt:variant>
        <vt:i4>5</vt:i4>
      </vt:variant>
      <vt:variant>
        <vt:lpwstr/>
      </vt:variant>
      <vt:variant>
        <vt:lpwstr>_Toc184980460</vt:lpwstr>
      </vt:variant>
      <vt:variant>
        <vt:i4>1245241</vt:i4>
      </vt:variant>
      <vt:variant>
        <vt:i4>134</vt:i4>
      </vt:variant>
      <vt:variant>
        <vt:i4>0</vt:i4>
      </vt:variant>
      <vt:variant>
        <vt:i4>5</vt:i4>
      </vt:variant>
      <vt:variant>
        <vt:lpwstr/>
      </vt:variant>
      <vt:variant>
        <vt:lpwstr>_Toc184980459</vt:lpwstr>
      </vt:variant>
      <vt:variant>
        <vt:i4>1245241</vt:i4>
      </vt:variant>
      <vt:variant>
        <vt:i4>128</vt:i4>
      </vt:variant>
      <vt:variant>
        <vt:i4>0</vt:i4>
      </vt:variant>
      <vt:variant>
        <vt:i4>5</vt:i4>
      </vt:variant>
      <vt:variant>
        <vt:lpwstr/>
      </vt:variant>
      <vt:variant>
        <vt:lpwstr>_Toc184980458</vt:lpwstr>
      </vt:variant>
      <vt:variant>
        <vt:i4>1245241</vt:i4>
      </vt:variant>
      <vt:variant>
        <vt:i4>122</vt:i4>
      </vt:variant>
      <vt:variant>
        <vt:i4>0</vt:i4>
      </vt:variant>
      <vt:variant>
        <vt:i4>5</vt:i4>
      </vt:variant>
      <vt:variant>
        <vt:lpwstr/>
      </vt:variant>
      <vt:variant>
        <vt:lpwstr>_Toc184980457</vt:lpwstr>
      </vt:variant>
      <vt:variant>
        <vt:i4>1245241</vt:i4>
      </vt:variant>
      <vt:variant>
        <vt:i4>116</vt:i4>
      </vt:variant>
      <vt:variant>
        <vt:i4>0</vt:i4>
      </vt:variant>
      <vt:variant>
        <vt:i4>5</vt:i4>
      </vt:variant>
      <vt:variant>
        <vt:lpwstr/>
      </vt:variant>
      <vt:variant>
        <vt:lpwstr>_Toc184980456</vt:lpwstr>
      </vt:variant>
      <vt:variant>
        <vt:i4>1245241</vt:i4>
      </vt:variant>
      <vt:variant>
        <vt:i4>110</vt:i4>
      </vt:variant>
      <vt:variant>
        <vt:i4>0</vt:i4>
      </vt:variant>
      <vt:variant>
        <vt:i4>5</vt:i4>
      </vt:variant>
      <vt:variant>
        <vt:lpwstr/>
      </vt:variant>
      <vt:variant>
        <vt:lpwstr>_Toc184980455</vt:lpwstr>
      </vt:variant>
      <vt:variant>
        <vt:i4>1245241</vt:i4>
      </vt:variant>
      <vt:variant>
        <vt:i4>104</vt:i4>
      </vt:variant>
      <vt:variant>
        <vt:i4>0</vt:i4>
      </vt:variant>
      <vt:variant>
        <vt:i4>5</vt:i4>
      </vt:variant>
      <vt:variant>
        <vt:lpwstr/>
      </vt:variant>
      <vt:variant>
        <vt:lpwstr>_Toc184980454</vt:lpwstr>
      </vt:variant>
      <vt:variant>
        <vt:i4>1245241</vt:i4>
      </vt:variant>
      <vt:variant>
        <vt:i4>98</vt:i4>
      </vt:variant>
      <vt:variant>
        <vt:i4>0</vt:i4>
      </vt:variant>
      <vt:variant>
        <vt:i4>5</vt:i4>
      </vt:variant>
      <vt:variant>
        <vt:lpwstr/>
      </vt:variant>
      <vt:variant>
        <vt:lpwstr>_Toc184980453</vt:lpwstr>
      </vt:variant>
      <vt:variant>
        <vt:i4>1245241</vt:i4>
      </vt:variant>
      <vt:variant>
        <vt:i4>92</vt:i4>
      </vt:variant>
      <vt:variant>
        <vt:i4>0</vt:i4>
      </vt:variant>
      <vt:variant>
        <vt:i4>5</vt:i4>
      </vt:variant>
      <vt:variant>
        <vt:lpwstr/>
      </vt:variant>
      <vt:variant>
        <vt:lpwstr>_Toc184980452</vt:lpwstr>
      </vt:variant>
      <vt:variant>
        <vt:i4>1245241</vt:i4>
      </vt:variant>
      <vt:variant>
        <vt:i4>86</vt:i4>
      </vt:variant>
      <vt:variant>
        <vt:i4>0</vt:i4>
      </vt:variant>
      <vt:variant>
        <vt:i4>5</vt:i4>
      </vt:variant>
      <vt:variant>
        <vt:lpwstr/>
      </vt:variant>
      <vt:variant>
        <vt:lpwstr>_Toc184980451</vt:lpwstr>
      </vt:variant>
      <vt:variant>
        <vt:i4>1245241</vt:i4>
      </vt:variant>
      <vt:variant>
        <vt:i4>80</vt:i4>
      </vt:variant>
      <vt:variant>
        <vt:i4>0</vt:i4>
      </vt:variant>
      <vt:variant>
        <vt:i4>5</vt:i4>
      </vt:variant>
      <vt:variant>
        <vt:lpwstr/>
      </vt:variant>
      <vt:variant>
        <vt:lpwstr>_Toc184980450</vt:lpwstr>
      </vt:variant>
      <vt:variant>
        <vt:i4>1179705</vt:i4>
      </vt:variant>
      <vt:variant>
        <vt:i4>74</vt:i4>
      </vt:variant>
      <vt:variant>
        <vt:i4>0</vt:i4>
      </vt:variant>
      <vt:variant>
        <vt:i4>5</vt:i4>
      </vt:variant>
      <vt:variant>
        <vt:lpwstr/>
      </vt:variant>
      <vt:variant>
        <vt:lpwstr>_Toc184980449</vt:lpwstr>
      </vt:variant>
      <vt:variant>
        <vt:i4>1179705</vt:i4>
      </vt:variant>
      <vt:variant>
        <vt:i4>68</vt:i4>
      </vt:variant>
      <vt:variant>
        <vt:i4>0</vt:i4>
      </vt:variant>
      <vt:variant>
        <vt:i4>5</vt:i4>
      </vt:variant>
      <vt:variant>
        <vt:lpwstr/>
      </vt:variant>
      <vt:variant>
        <vt:lpwstr>_Toc184980448</vt:lpwstr>
      </vt:variant>
      <vt:variant>
        <vt:i4>1179705</vt:i4>
      </vt:variant>
      <vt:variant>
        <vt:i4>62</vt:i4>
      </vt:variant>
      <vt:variant>
        <vt:i4>0</vt:i4>
      </vt:variant>
      <vt:variant>
        <vt:i4>5</vt:i4>
      </vt:variant>
      <vt:variant>
        <vt:lpwstr/>
      </vt:variant>
      <vt:variant>
        <vt:lpwstr>_Toc184980447</vt:lpwstr>
      </vt:variant>
      <vt:variant>
        <vt:i4>1179705</vt:i4>
      </vt:variant>
      <vt:variant>
        <vt:i4>56</vt:i4>
      </vt:variant>
      <vt:variant>
        <vt:i4>0</vt:i4>
      </vt:variant>
      <vt:variant>
        <vt:i4>5</vt:i4>
      </vt:variant>
      <vt:variant>
        <vt:lpwstr/>
      </vt:variant>
      <vt:variant>
        <vt:lpwstr>_Toc184980446</vt:lpwstr>
      </vt:variant>
      <vt:variant>
        <vt:i4>1179705</vt:i4>
      </vt:variant>
      <vt:variant>
        <vt:i4>50</vt:i4>
      </vt:variant>
      <vt:variant>
        <vt:i4>0</vt:i4>
      </vt:variant>
      <vt:variant>
        <vt:i4>5</vt:i4>
      </vt:variant>
      <vt:variant>
        <vt:lpwstr/>
      </vt:variant>
      <vt:variant>
        <vt:lpwstr>_Toc184980445</vt:lpwstr>
      </vt:variant>
      <vt:variant>
        <vt:i4>1179705</vt:i4>
      </vt:variant>
      <vt:variant>
        <vt:i4>44</vt:i4>
      </vt:variant>
      <vt:variant>
        <vt:i4>0</vt:i4>
      </vt:variant>
      <vt:variant>
        <vt:i4>5</vt:i4>
      </vt:variant>
      <vt:variant>
        <vt:lpwstr/>
      </vt:variant>
      <vt:variant>
        <vt:lpwstr>_Toc184980444</vt:lpwstr>
      </vt:variant>
      <vt:variant>
        <vt:i4>1179705</vt:i4>
      </vt:variant>
      <vt:variant>
        <vt:i4>38</vt:i4>
      </vt:variant>
      <vt:variant>
        <vt:i4>0</vt:i4>
      </vt:variant>
      <vt:variant>
        <vt:i4>5</vt:i4>
      </vt:variant>
      <vt:variant>
        <vt:lpwstr/>
      </vt:variant>
      <vt:variant>
        <vt:lpwstr>_Toc184980443</vt:lpwstr>
      </vt:variant>
      <vt:variant>
        <vt:i4>1179705</vt:i4>
      </vt:variant>
      <vt:variant>
        <vt:i4>32</vt:i4>
      </vt:variant>
      <vt:variant>
        <vt:i4>0</vt:i4>
      </vt:variant>
      <vt:variant>
        <vt:i4>5</vt:i4>
      </vt:variant>
      <vt:variant>
        <vt:lpwstr/>
      </vt:variant>
      <vt:variant>
        <vt:lpwstr>_Toc184980442</vt:lpwstr>
      </vt:variant>
      <vt:variant>
        <vt:i4>1179705</vt:i4>
      </vt:variant>
      <vt:variant>
        <vt:i4>26</vt:i4>
      </vt:variant>
      <vt:variant>
        <vt:i4>0</vt:i4>
      </vt:variant>
      <vt:variant>
        <vt:i4>5</vt:i4>
      </vt:variant>
      <vt:variant>
        <vt:lpwstr/>
      </vt:variant>
      <vt:variant>
        <vt:lpwstr>_Toc184980441</vt:lpwstr>
      </vt:variant>
      <vt:variant>
        <vt:i4>1179705</vt:i4>
      </vt:variant>
      <vt:variant>
        <vt:i4>20</vt:i4>
      </vt:variant>
      <vt:variant>
        <vt:i4>0</vt:i4>
      </vt:variant>
      <vt:variant>
        <vt:i4>5</vt:i4>
      </vt:variant>
      <vt:variant>
        <vt:lpwstr/>
      </vt:variant>
      <vt:variant>
        <vt:lpwstr>_Toc184980440</vt:lpwstr>
      </vt:variant>
      <vt:variant>
        <vt:i4>1376313</vt:i4>
      </vt:variant>
      <vt:variant>
        <vt:i4>14</vt:i4>
      </vt:variant>
      <vt:variant>
        <vt:i4>0</vt:i4>
      </vt:variant>
      <vt:variant>
        <vt:i4>5</vt:i4>
      </vt:variant>
      <vt:variant>
        <vt:lpwstr/>
      </vt:variant>
      <vt:variant>
        <vt:lpwstr>_Toc184980439</vt:lpwstr>
      </vt:variant>
      <vt:variant>
        <vt:i4>1376313</vt:i4>
      </vt:variant>
      <vt:variant>
        <vt:i4>8</vt:i4>
      </vt:variant>
      <vt:variant>
        <vt:i4>0</vt:i4>
      </vt:variant>
      <vt:variant>
        <vt:i4>5</vt:i4>
      </vt:variant>
      <vt:variant>
        <vt:lpwstr/>
      </vt:variant>
      <vt:variant>
        <vt:lpwstr>_Toc184980438</vt:lpwstr>
      </vt:variant>
      <vt:variant>
        <vt:i4>1376313</vt:i4>
      </vt:variant>
      <vt:variant>
        <vt:i4>2</vt:i4>
      </vt:variant>
      <vt:variant>
        <vt:i4>0</vt:i4>
      </vt:variant>
      <vt:variant>
        <vt:i4>5</vt:i4>
      </vt:variant>
      <vt:variant>
        <vt:lpwstr/>
      </vt:variant>
      <vt:variant>
        <vt:lpwstr>_Toc184980437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58</cp:revision>
  <cp:lastPrinted>2023-03-25T01:44:00Z</cp:lastPrinted>
  <dcterms:created xsi:type="dcterms:W3CDTF">2024-12-13T18:44:00Z</dcterms:created>
  <dcterms:modified xsi:type="dcterms:W3CDTF">2025-05-01T14:32:00Z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