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514C55D" w14:textId="77777777" w:rsidR="004073BC" w:rsidRDefault="00F72274" w:rsidP="00F72274">
          <w:r>
            <w:rPr>
              <w:noProof/>
            </w:rPr>
            <w:drawing>
              <wp:anchor distT="0" distB="0" distL="114300" distR="114300" simplePos="0" relativeHeight="251658241" behindDoc="1" locked="0" layoutInCell="1" allowOverlap="1" wp14:anchorId="038ED94A" wp14:editId="7A0FDD20">
                <wp:simplePos x="0" y="0"/>
                <wp:positionH relativeFrom="page">
                  <wp:align>left</wp:align>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0C278FF" wp14:editId="5FA88ED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8E45442" w14:textId="77777777" w:rsidR="004073BC" w:rsidRDefault="004073BC" w:rsidP="008C1A73"/>
        <w:p w14:paraId="5A8128CA" w14:textId="77777777" w:rsidR="004073BC" w:rsidRDefault="004073BC" w:rsidP="008C1A73"/>
        <w:p w14:paraId="2806ABCB" w14:textId="77777777" w:rsidR="004073BC" w:rsidRDefault="004073BC" w:rsidP="008C1A73"/>
        <w:p w14:paraId="22F95F7E" w14:textId="63EEE441" w:rsidR="004073BC" w:rsidRPr="002C0846" w:rsidRDefault="002A39A3" w:rsidP="008C1A73">
          <w:pPr>
            <w:rPr>
              <w:b/>
              <w:bCs/>
              <w:color w:val="FFFFFF" w:themeColor="background1"/>
              <w:sz w:val="36"/>
              <w:szCs w:val="36"/>
            </w:rPr>
          </w:pPr>
          <w:r>
            <w:rPr>
              <w:b/>
              <w:bCs/>
              <w:color w:val="FFFFFF" w:themeColor="background1"/>
              <w:sz w:val="36"/>
              <w:szCs w:val="36"/>
            </w:rPr>
            <w:t>WAS-G-52</w:t>
          </w:r>
        </w:p>
        <w:p w14:paraId="53D128F5" w14:textId="77777777" w:rsidR="004073BC" w:rsidRDefault="004073BC" w:rsidP="008C1A73"/>
        <w:p w14:paraId="1A1D2416" w14:textId="77777777" w:rsidR="00281BB1" w:rsidRDefault="00281BB1" w:rsidP="00281BB1">
          <w:pPr>
            <w:rPr>
              <w:b/>
              <w:bCs/>
              <w:color w:val="FFFFFF" w:themeColor="background1"/>
              <w:sz w:val="84"/>
              <w:szCs w:val="84"/>
            </w:rPr>
          </w:pPr>
        </w:p>
        <w:p w14:paraId="6AFE14BD" w14:textId="418D5D1F"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07D0E38" wp14:editId="00BCCD53">
                    <wp:simplePos x="0" y="0"/>
                    <wp:positionH relativeFrom="column">
                      <wp:posOffset>124460</wp:posOffset>
                    </wp:positionH>
                    <wp:positionV relativeFrom="paragraph">
                      <wp:posOffset>6205220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DC5560A" w14:textId="00C37B43" w:rsidR="00281BB1" w:rsidRPr="009A240D" w:rsidRDefault="00083814" w:rsidP="00281BB1">
                                <w:pPr>
                                  <w:pStyle w:val="BodyText1"/>
                                  <w:rPr>
                                    <w:color w:val="FFFFFF" w:themeColor="background1"/>
                                  </w:rPr>
                                </w:pPr>
                                <w:r>
                                  <w:rPr>
                                    <w:color w:val="FFFFFF" w:themeColor="background1"/>
                                  </w:rPr>
                                  <w:t>Version 2.0 –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D0E38" id="_x0000_t202" coordsize="21600,21600" o:spt="202" path="m,l,21600r21600,l21600,xe">
                    <v:stroke joinstyle="miter"/>
                    <v:path gradientshapeok="t" o:connecttype="rect"/>
                  </v:shapetype>
                  <v:shape id="Text Box 3" o:spid="_x0000_s1026" type="#_x0000_t202" alt="&quot;&quot;" style="position:absolute;margin-left:9.8pt;margin-top:488.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" filled="f" stroked="f" strokeweight=".5pt">
                    <v:textbox inset="0,0,0,0">
                      <w:txbxContent>
                        <w:p w14:paraId="2DC5560A" w14:textId="00C37B43" w:rsidR="00281BB1" w:rsidRPr="009A240D" w:rsidRDefault="00083814" w:rsidP="00281BB1">
                          <w:pPr>
                            <w:pStyle w:val="BodyText1"/>
                            <w:rPr>
                              <w:color w:val="FFFFFF" w:themeColor="background1"/>
                            </w:rPr>
                          </w:pPr>
                          <w:r>
                            <w:rPr>
                              <w:color w:val="FFFFFF" w:themeColor="background1"/>
                            </w:rPr>
                            <w:t>Version 2.0 – August 2025</w:t>
                          </w:r>
                        </w:p>
                      </w:txbxContent>
                    </v:textbox>
                    <w10:anchorlock/>
                  </v:shape>
                </w:pict>
              </mc:Fallback>
            </mc:AlternateContent>
          </w:r>
          <w:r w:rsidR="002A39A3">
            <w:rPr>
              <w:b/>
              <w:bCs/>
              <w:color w:val="FFFFFF" w:themeColor="background1"/>
              <w:sz w:val="84"/>
              <w:szCs w:val="84"/>
            </w:rPr>
            <w:t xml:space="preserve">SEPA Guidance: </w:t>
          </w:r>
          <w:bookmarkStart w:id="0" w:name="_Hlk198219396"/>
          <w:r w:rsidR="002A39A3">
            <w:rPr>
              <w:b/>
              <w:bCs/>
              <w:color w:val="FFFFFF" w:themeColor="background1"/>
              <w:sz w:val="84"/>
              <w:szCs w:val="84"/>
            </w:rPr>
            <w:t>Developments on peat and off-site uses of waste peat</w:t>
          </w:r>
          <w:bookmarkEnd w:id="0"/>
        </w:p>
        <w:p w14:paraId="23268862" w14:textId="77777777" w:rsidR="007044CF" w:rsidRDefault="007044CF" w:rsidP="00CF7EFB"/>
        <w:p w14:paraId="306E9211" w14:textId="349DC1F4"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411079781"/>
        <w:docPartObj>
          <w:docPartGallery w:val="Table of Contents"/>
          <w:docPartUnique/>
        </w:docPartObj>
      </w:sdtPr>
      <w:sdtEndPr>
        <w:rPr>
          <w:b/>
          <w:bCs/>
          <w:noProof/>
        </w:rPr>
      </w:sdtEndPr>
      <w:sdtContent>
        <w:p w14:paraId="4EB2C206" w14:textId="21CA920B" w:rsidR="00E92DFB" w:rsidRPr="00E92DFB" w:rsidRDefault="00E92DFB">
          <w:pPr>
            <w:pStyle w:val="TOCHeading"/>
            <w:rPr>
              <w:b/>
              <w:bCs/>
            </w:rPr>
          </w:pPr>
          <w:r w:rsidRPr="00E92DFB">
            <w:rPr>
              <w:b/>
              <w:bCs/>
            </w:rPr>
            <w:t>Contents</w:t>
          </w:r>
        </w:p>
        <w:p w14:paraId="04B1517C" w14:textId="77777777" w:rsidR="00E92DFB" w:rsidRDefault="00E92DFB" w:rsidP="00E92DFB">
          <w:pPr>
            <w:pStyle w:val="TOC2"/>
            <w:tabs>
              <w:tab w:val="right" w:leader="dot" w:pos="10212"/>
            </w:tabs>
            <w:ind w:left="0"/>
          </w:pPr>
        </w:p>
        <w:p w14:paraId="6B16BBCA" w14:textId="5B30F9F9" w:rsidR="008E1CE4" w:rsidRPr="008E1CE4" w:rsidRDefault="00E92DFB">
          <w:pPr>
            <w:pStyle w:val="TOC2"/>
            <w:tabs>
              <w:tab w:val="right" w:leader="dot" w:pos="10212"/>
            </w:tabs>
            <w:rPr>
              <w:noProof/>
              <w:kern w:val="2"/>
              <w:lang w:eastAsia="en-GB"/>
              <w14:ligatures w14:val="standardContextual"/>
            </w:rPr>
          </w:pPr>
          <w:r w:rsidRPr="008E1CE4">
            <w:fldChar w:fldCharType="begin"/>
          </w:r>
          <w:r w:rsidRPr="008E1CE4">
            <w:instrText xml:space="preserve"> TOC \o "1-3" \h \z \u </w:instrText>
          </w:r>
          <w:r w:rsidRPr="008E1CE4">
            <w:fldChar w:fldCharType="separate"/>
          </w:r>
          <w:hyperlink w:anchor="_Toc198220115" w:history="1">
            <w:r w:rsidR="008E1CE4" w:rsidRPr="008E1CE4">
              <w:rPr>
                <w:rStyle w:val="Hyperlink"/>
                <w:rFonts w:ascii="Arial" w:eastAsiaTheme="majorEastAsia" w:hAnsi="Arial" w:cstheme="majorBidi"/>
                <w:noProof/>
              </w:rPr>
              <w:t>Developments on Peat</w:t>
            </w:r>
            <w:r w:rsidR="008E1CE4" w:rsidRPr="008E1CE4">
              <w:rPr>
                <w:noProof/>
                <w:webHidden/>
              </w:rPr>
              <w:tab/>
            </w:r>
            <w:r w:rsidR="008E1CE4" w:rsidRPr="008E1CE4">
              <w:rPr>
                <w:noProof/>
                <w:webHidden/>
              </w:rPr>
              <w:fldChar w:fldCharType="begin"/>
            </w:r>
            <w:r w:rsidR="008E1CE4" w:rsidRPr="008E1CE4">
              <w:rPr>
                <w:noProof/>
                <w:webHidden/>
              </w:rPr>
              <w:instrText xml:space="preserve"> PAGEREF _Toc198220115 \h </w:instrText>
            </w:r>
            <w:r w:rsidR="008E1CE4" w:rsidRPr="008E1CE4">
              <w:rPr>
                <w:noProof/>
                <w:webHidden/>
              </w:rPr>
            </w:r>
            <w:r w:rsidR="008E1CE4" w:rsidRPr="008E1CE4">
              <w:rPr>
                <w:noProof/>
                <w:webHidden/>
              </w:rPr>
              <w:fldChar w:fldCharType="separate"/>
            </w:r>
            <w:r w:rsidR="00191B7A">
              <w:rPr>
                <w:noProof/>
                <w:webHidden/>
              </w:rPr>
              <w:t>2</w:t>
            </w:r>
            <w:r w:rsidR="008E1CE4" w:rsidRPr="008E1CE4">
              <w:rPr>
                <w:noProof/>
                <w:webHidden/>
              </w:rPr>
              <w:fldChar w:fldCharType="end"/>
            </w:r>
          </w:hyperlink>
        </w:p>
        <w:p w14:paraId="622F327C" w14:textId="78CA21C6" w:rsidR="008E1CE4" w:rsidRPr="008E1CE4" w:rsidRDefault="008E1CE4">
          <w:pPr>
            <w:pStyle w:val="TOC2"/>
            <w:tabs>
              <w:tab w:val="right" w:leader="dot" w:pos="10212"/>
            </w:tabs>
            <w:rPr>
              <w:noProof/>
              <w:kern w:val="2"/>
              <w:lang w:eastAsia="en-GB"/>
              <w14:ligatures w14:val="standardContextual"/>
            </w:rPr>
          </w:pPr>
          <w:hyperlink w:anchor="_Toc198220116" w:history="1">
            <w:r w:rsidRPr="008E1CE4">
              <w:rPr>
                <w:rStyle w:val="Hyperlink"/>
                <w:rFonts w:ascii="Arial" w:eastAsiaTheme="majorEastAsia" w:hAnsi="Arial" w:cstheme="majorBidi"/>
                <w:noProof/>
              </w:rPr>
              <w:t>Is the excavated peat waste?</w:t>
            </w:r>
            <w:r w:rsidRPr="008E1CE4">
              <w:rPr>
                <w:noProof/>
                <w:webHidden/>
              </w:rPr>
              <w:tab/>
            </w:r>
            <w:r w:rsidRPr="008E1CE4">
              <w:rPr>
                <w:noProof/>
                <w:webHidden/>
              </w:rPr>
              <w:fldChar w:fldCharType="begin"/>
            </w:r>
            <w:r w:rsidRPr="008E1CE4">
              <w:rPr>
                <w:noProof/>
                <w:webHidden/>
              </w:rPr>
              <w:instrText xml:space="preserve"> PAGEREF _Toc198220116 \h </w:instrText>
            </w:r>
            <w:r w:rsidRPr="008E1CE4">
              <w:rPr>
                <w:noProof/>
                <w:webHidden/>
              </w:rPr>
            </w:r>
            <w:r w:rsidRPr="008E1CE4">
              <w:rPr>
                <w:noProof/>
                <w:webHidden/>
              </w:rPr>
              <w:fldChar w:fldCharType="separate"/>
            </w:r>
            <w:r w:rsidR="00191B7A">
              <w:rPr>
                <w:noProof/>
                <w:webHidden/>
              </w:rPr>
              <w:t>4</w:t>
            </w:r>
            <w:r w:rsidRPr="008E1CE4">
              <w:rPr>
                <w:noProof/>
                <w:webHidden/>
              </w:rPr>
              <w:fldChar w:fldCharType="end"/>
            </w:r>
          </w:hyperlink>
        </w:p>
        <w:p w14:paraId="47B0B3DC" w14:textId="00E046FC" w:rsidR="008E1CE4" w:rsidRPr="008E1CE4" w:rsidRDefault="008E1CE4">
          <w:pPr>
            <w:pStyle w:val="TOC2"/>
            <w:tabs>
              <w:tab w:val="right" w:leader="dot" w:pos="10212"/>
            </w:tabs>
            <w:rPr>
              <w:noProof/>
              <w:kern w:val="2"/>
              <w:lang w:eastAsia="en-GB"/>
              <w14:ligatures w14:val="standardContextual"/>
            </w:rPr>
          </w:pPr>
          <w:hyperlink w:anchor="_Toc198220117" w:history="1">
            <w:r w:rsidRPr="008E1CE4">
              <w:rPr>
                <w:rStyle w:val="Hyperlink"/>
                <w:rFonts w:ascii="Arial" w:eastAsiaTheme="majorEastAsia" w:hAnsi="Arial" w:cstheme="majorBidi"/>
                <w:noProof/>
              </w:rPr>
              <w:t>Prevention</w:t>
            </w:r>
            <w:r w:rsidRPr="008E1CE4">
              <w:rPr>
                <w:noProof/>
                <w:webHidden/>
              </w:rPr>
              <w:tab/>
            </w:r>
            <w:r w:rsidRPr="008E1CE4">
              <w:rPr>
                <w:noProof/>
                <w:webHidden/>
              </w:rPr>
              <w:fldChar w:fldCharType="begin"/>
            </w:r>
            <w:r w:rsidRPr="008E1CE4">
              <w:rPr>
                <w:noProof/>
                <w:webHidden/>
              </w:rPr>
              <w:instrText xml:space="preserve"> PAGEREF _Toc198220117 \h </w:instrText>
            </w:r>
            <w:r w:rsidRPr="008E1CE4">
              <w:rPr>
                <w:noProof/>
                <w:webHidden/>
              </w:rPr>
            </w:r>
            <w:r w:rsidRPr="008E1CE4">
              <w:rPr>
                <w:noProof/>
                <w:webHidden/>
              </w:rPr>
              <w:fldChar w:fldCharType="separate"/>
            </w:r>
            <w:r w:rsidR="00191B7A">
              <w:rPr>
                <w:noProof/>
                <w:webHidden/>
              </w:rPr>
              <w:t>4</w:t>
            </w:r>
            <w:r w:rsidRPr="008E1CE4">
              <w:rPr>
                <w:noProof/>
                <w:webHidden/>
              </w:rPr>
              <w:fldChar w:fldCharType="end"/>
            </w:r>
          </w:hyperlink>
        </w:p>
        <w:p w14:paraId="60F0DF94" w14:textId="76C3B502" w:rsidR="008E1CE4" w:rsidRPr="008E1CE4" w:rsidRDefault="008E1CE4">
          <w:pPr>
            <w:pStyle w:val="TOC2"/>
            <w:tabs>
              <w:tab w:val="right" w:leader="dot" w:pos="10212"/>
            </w:tabs>
            <w:rPr>
              <w:noProof/>
              <w:kern w:val="2"/>
              <w:lang w:eastAsia="en-GB"/>
              <w14:ligatures w14:val="standardContextual"/>
            </w:rPr>
          </w:pPr>
          <w:hyperlink w:anchor="_Toc198220118" w:history="1">
            <w:r w:rsidRPr="008E1CE4">
              <w:rPr>
                <w:rStyle w:val="Hyperlink"/>
                <w:rFonts w:ascii="Arial" w:eastAsiaTheme="majorEastAsia" w:hAnsi="Arial" w:cstheme="majorBidi"/>
                <w:noProof/>
              </w:rPr>
              <w:t>On-site use</w:t>
            </w:r>
            <w:r w:rsidRPr="008E1CE4">
              <w:rPr>
                <w:noProof/>
                <w:webHidden/>
              </w:rPr>
              <w:tab/>
            </w:r>
            <w:r w:rsidRPr="008E1CE4">
              <w:rPr>
                <w:noProof/>
                <w:webHidden/>
              </w:rPr>
              <w:fldChar w:fldCharType="begin"/>
            </w:r>
            <w:r w:rsidRPr="008E1CE4">
              <w:rPr>
                <w:noProof/>
                <w:webHidden/>
              </w:rPr>
              <w:instrText xml:space="preserve"> PAGEREF _Toc198220118 \h </w:instrText>
            </w:r>
            <w:r w:rsidRPr="008E1CE4">
              <w:rPr>
                <w:noProof/>
                <w:webHidden/>
              </w:rPr>
            </w:r>
            <w:r w:rsidRPr="008E1CE4">
              <w:rPr>
                <w:noProof/>
                <w:webHidden/>
              </w:rPr>
              <w:fldChar w:fldCharType="separate"/>
            </w:r>
            <w:r w:rsidR="00191B7A">
              <w:rPr>
                <w:noProof/>
                <w:webHidden/>
              </w:rPr>
              <w:t>4</w:t>
            </w:r>
            <w:r w:rsidRPr="008E1CE4">
              <w:rPr>
                <w:noProof/>
                <w:webHidden/>
              </w:rPr>
              <w:fldChar w:fldCharType="end"/>
            </w:r>
          </w:hyperlink>
        </w:p>
        <w:p w14:paraId="13BE16BF" w14:textId="2C0DBDDF" w:rsidR="008E1CE4" w:rsidRPr="008E1CE4" w:rsidRDefault="008E1CE4">
          <w:pPr>
            <w:pStyle w:val="TOC2"/>
            <w:tabs>
              <w:tab w:val="right" w:leader="dot" w:pos="10212"/>
            </w:tabs>
            <w:rPr>
              <w:noProof/>
              <w:kern w:val="2"/>
              <w:lang w:eastAsia="en-GB"/>
              <w14:ligatures w14:val="standardContextual"/>
            </w:rPr>
          </w:pPr>
          <w:hyperlink w:anchor="_Toc198220119" w:history="1">
            <w:r w:rsidRPr="008E1CE4">
              <w:rPr>
                <w:rStyle w:val="Hyperlink"/>
                <w:rFonts w:ascii="Arial" w:eastAsiaTheme="majorEastAsia" w:hAnsi="Arial" w:cstheme="majorBidi"/>
                <w:noProof/>
              </w:rPr>
              <w:t>Off site options: Uses of peat &amp; recycling/recovery/treatment</w:t>
            </w:r>
            <w:r w:rsidRPr="008E1CE4">
              <w:rPr>
                <w:noProof/>
                <w:webHidden/>
              </w:rPr>
              <w:tab/>
            </w:r>
            <w:r w:rsidRPr="008E1CE4">
              <w:rPr>
                <w:noProof/>
                <w:webHidden/>
              </w:rPr>
              <w:fldChar w:fldCharType="begin"/>
            </w:r>
            <w:r w:rsidRPr="008E1CE4">
              <w:rPr>
                <w:noProof/>
                <w:webHidden/>
              </w:rPr>
              <w:instrText xml:space="preserve"> PAGEREF _Toc198220119 \h </w:instrText>
            </w:r>
            <w:r w:rsidRPr="008E1CE4">
              <w:rPr>
                <w:noProof/>
                <w:webHidden/>
              </w:rPr>
            </w:r>
            <w:r w:rsidRPr="008E1CE4">
              <w:rPr>
                <w:noProof/>
                <w:webHidden/>
              </w:rPr>
              <w:fldChar w:fldCharType="separate"/>
            </w:r>
            <w:r w:rsidR="00191B7A">
              <w:rPr>
                <w:noProof/>
                <w:webHidden/>
              </w:rPr>
              <w:t>5</w:t>
            </w:r>
            <w:r w:rsidRPr="008E1CE4">
              <w:rPr>
                <w:noProof/>
                <w:webHidden/>
              </w:rPr>
              <w:fldChar w:fldCharType="end"/>
            </w:r>
          </w:hyperlink>
        </w:p>
        <w:p w14:paraId="7E7B5907" w14:textId="1666C161" w:rsidR="008E1CE4" w:rsidRPr="008E1CE4" w:rsidRDefault="008E1CE4">
          <w:pPr>
            <w:pStyle w:val="TOC2"/>
            <w:tabs>
              <w:tab w:val="right" w:leader="dot" w:pos="10212"/>
            </w:tabs>
            <w:rPr>
              <w:noProof/>
              <w:kern w:val="2"/>
              <w:lang w:eastAsia="en-GB"/>
              <w14:ligatures w14:val="standardContextual"/>
            </w:rPr>
          </w:pPr>
          <w:hyperlink w:anchor="_Toc198220120" w:history="1">
            <w:r w:rsidRPr="008E1CE4">
              <w:rPr>
                <w:rStyle w:val="Hyperlink"/>
                <w:rFonts w:ascii="Arial" w:eastAsiaTheme="majorEastAsia" w:hAnsi="Arial" w:cstheme="majorBidi"/>
                <w:noProof/>
              </w:rPr>
              <w:t>Storage</w:t>
            </w:r>
            <w:r w:rsidRPr="008E1CE4">
              <w:rPr>
                <w:noProof/>
                <w:webHidden/>
              </w:rPr>
              <w:tab/>
            </w:r>
            <w:r w:rsidRPr="008E1CE4">
              <w:rPr>
                <w:noProof/>
                <w:webHidden/>
              </w:rPr>
              <w:fldChar w:fldCharType="begin"/>
            </w:r>
            <w:r w:rsidRPr="008E1CE4">
              <w:rPr>
                <w:noProof/>
                <w:webHidden/>
              </w:rPr>
              <w:instrText xml:space="preserve"> PAGEREF _Toc198220120 \h </w:instrText>
            </w:r>
            <w:r w:rsidRPr="008E1CE4">
              <w:rPr>
                <w:noProof/>
                <w:webHidden/>
              </w:rPr>
            </w:r>
            <w:r w:rsidRPr="008E1CE4">
              <w:rPr>
                <w:noProof/>
                <w:webHidden/>
              </w:rPr>
              <w:fldChar w:fldCharType="separate"/>
            </w:r>
            <w:r w:rsidR="00191B7A">
              <w:rPr>
                <w:noProof/>
                <w:webHidden/>
              </w:rPr>
              <w:t>7</w:t>
            </w:r>
            <w:r w:rsidRPr="008E1CE4">
              <w:rPr>
                <w:noProof/>
                <w:webHidden/>
              </w:rPr>
              <w:fldChar w:fldCharType="end"/>
            </w:r>
          </w:hyperlink>
        </w:p>
        <w:p w14:paraId="5D1351DC" w14:textId="74474ECF" w:rsidR="008E1CE4" w:rsidRPr="008E1CE4" w:rsidRDefault="008E1CE4">
          <w:pPr>
            <w:pStyle w:val="TOC2"/>
            <w:tabs>
              <w:tab w:val="right" w:leader="dot" w:pos="10212"/>
            </w:tabs>
            <w:rPr>
              <w:noProof/>
              <w:kern w:val="2"/>
              <w:lang w:eastAsia="en-GB"/>
              <w14:ligatures w14:val="standardContextual"/>
            </w:rPr>
          </w:pPr>
          <w:hyperlink w:anchor="_Toc198220121" w:history="1">
            <w:r w:rsidRPr="008E1CE4">
              <w:rPr>
                <w:rStyle w:val="Hyperlink"/>
                <w:rFonts w:ascii="Arial" w:eastAsiaTheme="majorEastAsia" w:hAnsi="Arial" w:cstheme="majorBidi"/>
                <w:noProof/>
              </w:rPr>
              <w:t>Disposal</w:t>
            </w:r>
            <w:r w:rsidRPr="008E1CE4">
              <w:rPr>
                <w:noProof/>
                <w:webHidden/>
              </w:rPr>
              <w:tab/>
            </w:r>
            <w:r w:rsidRPr="008E1CE4">
              <w:rPr>
                <w:noProof/>
                <w:webHidden/>
              </w:rPr>
              <w:fldChar w:fldCharType="begin"/>
            </w:r>
            <w:r w:rsidRPr="008E1CE4">
              <w:rPr>
                <w:noProof/>
                <w:webHidden/>
              </w:rPr>
              <w:instrText xml:space="preserve"> PAGEREF _Toc198220121 \h </w:instrText>
            </w:r>
            <w:r w:rsidRPr="008E1CE4">
              <w:rPr>
                <w:noProof/>
                <w:webHidden/>
              </w:rPr>
            </w:r>
            <w:r w:rsidRPr="008E1CE4">
              <w:rPr>
                <w:noProof/>
                <w:webHidden/>
              </w:rPr>
              <w:fldChar w:fldCharType="separate"/>
            </w:r>
            <w:r w:rsidR="00191B7A">
              <w:rPr>
                <w:noProof/>
                <w:webHidden/>
              </w:rPr>
              <w:t>7</w:t>
            </w:r>
            <w:r w:rsidRPr="008E1CE4">
              <w:rPr>
                <w:noProof/>
                <w:webHidden/>
              </w:rPr>
              <w:fldChar w:fldCharType="end"/>
            </w:r>
          </w:hyperlink>
        </w:p>
        <w:p w14:paraId="4938498D" w14:textId="244ADD19" w:rsidR="008E1CE4" w:rsidRPr="008E1CE4" w:rsidRDefault="008E1CE4">
          <w:pPr>
            <w:pStyle w:val="TOC2"/>
            <w:tabs>
              <w:tab w:val="right" w:leader="dot" w:pos="10212"/>
            </w:tabs>
            <w:rPr>
              <w:noProof/>
              <w:kern w:val="2"/>
              <w:lang w:eastAsia="en-GB"/>
              <w14:ligatures w14:val="standardContextual"/>
            </w:rPr>
          </w:pPr>
          <w:hyperlink w:anchor="_Toc198220122" w:history="1">
            <w:r w:rsidRPr="008E1CE4">
              <w:rPr>
                <w:rStyle w:val="Hyperlink"/>
                <w:rFonts w:ascii="Arial" w:eastAsiaTheme="majorEastAsia" w:hAnsi="Arial" w:cstheme="majorBidi"/>
                <w:noProof/>
              </w:rPr>
              <w:t>Disclaimer</w:t>
            </w:r>
            <w:r w:rsidRPr="008E1CE4">
              <w:rPr>
                <w:noProof/>
                <w:webHidden/>
              </w:rPr>
              <w:tab/>
            </w:r>
            <w:r w:rsidRPr="008E1CE4">
              <w:rPr>
                <w:noProof/>
                <w:webHidden/>
              </w:rPr>
              <w:fldChar w:fldCharType="begin"/>
            </w:r>
            <w:r w:rsidRPr="008E1CE4">
              <w:rPr>
                <w:noProof/>
                <w:webHidden/>
              </w:rPr>
              <w:instrText xml:space="preserve"> PAGEREF _Toc198220122 \h </w:instrText>
            </w:r>
            <w:r w:rsidRPr="008E1CE4">
              <w:rPr>
                <w:noProof/>
                <w:webHidden/>
              </w:rPr>
            </w:r>
            <w:r w:rsidRPr="008E1CE4">
              <w:rPr>
                <w:noProof/>
                <w:webHidden/>
              </w:rPr>
              <w:fldChar w:fldCharType="separate"/>
            </w:r>
            <w:r w:rsidR="00191B7A">
              <w:rPr>
                <w:noProof/>
                <w:webHidden/>
              </w:rPr>
              <w:t>8</w:t>
            </w:r>
            <w:r w:rsidRPr="008E1CE4">
              <w:rPr>
                <w:noProof/>
                <w:webHidden/>
              </w:rPr>
              <w:fldChar w:fldCharType="end"/>
            </w:r>
          </w:hyperlink>
        </w:p>
        <w:p w14:paraId="03ADA7AB" w14:textId="0F6A7DE4" w:rsidR="00E92DFB" w:rsidRDefault="00E92DFB" w:rsidP="00E92DFB">
          <w:pPr>
            <w:rPr>
              <w:b/>
              <w:bCs/>
              <w:noProof/>
            </w:rPr>
          </w:pPr>
          <w:r w:rsidRPr="008E1CE4">
            <w:rPr>
              <w:noProof/>
            </w:rPr>
            <w:fldChar w:fldCharType="end"/>
          </w:r>
        </w:p>
      </w:sdtContent>
    </w:sdt>
    <w:p w14:paraId="753E0F61" w14:textId="77777777" w:rsidR="00E92DFB" w:rsidRDefault="00E92DFB" w:rsidP="00E92DFB"/>
    <w:p w14:paraId="2FE35FD4" w14:textId="77777777" w:rsidR="00E92DFB" w:rsidRDefault="00E92DFB" w:rsidP="00E92DFB"/>
    <w:p w14:paraId="4A4684AA" w14:textId="77777777" w:rsidR="00E92DFB" w:rsidRDefault="00E92DFB" w:rsidP="00E92DFB"/>
    <w:p w14:paraId="2D434B01" w14:textId="77777777" w:rsidR="00E92DFB" w:rsidRDefault="00E92DFB" w:rsidP="00E92DFB"/>
    <w:p w14:paraId="500821D9" w14:textId="77777777" w:rsidR="00E92DFB" w:rsidRDefault="00E92DFB" w:rsidP="00E92DFB"/>
    <w:p w14:paraId="4A1B03F0" w14:textId="77777777" w:rsidR="00E92DFB" w:rsidRDefault="00E92DFB" w:rsidP="00E92DFB"/>
    <w:p w14:paraId="566B3EF5" w14:textId="77777777" w:rsidR="00E92DFB" w:rsidRDefault="00E92DFB" w:rsidP="00E92DFB"/>
    <w:p w14:paraId="1E63EA9D" w14:textId="77777777" w:rsidR="00E92DFB" w:rsidRDefault="00E92DFB" w:rsidP="00E92DFB"/>
    <w:p w14:paraId="18365303" w14:textId="77777777" w:rsidR="00E92DFB" w:rsidRDefault="00E92DFB" w:rsidP="00E92DFB"/>
    <w:p w14:paraId="0D32E214" w14:textId="77777777" w:rsidR="00E92DFB" w:rsidRDefault="00E92DFB" w:rsidP="00E92DFB"/>
    <w:p w14:paraId="4BA638A5" w14:textId="77777777" w:rsidR="00F2748B" w:rsidRDefault="00F2748B" w:rsidP="00E92DFB"/>
    <w:p w14:paraId="498BD791" w14:textId="77777777" w:rsidR="008E1CE4" w:rsidRDefault="008E1CE4" w:rsidP="00E92DFB"/>
    <w:p w14:paraId="00AD4FEB" w14:textId="77777777" w:rsidR="008E1CE4" w:rsidRDefault="008E1CE4" w:rsidP="00E92DFB"/>
    <w:p w14:paraId="05865633" w14:textId="77777777" w:rsidR="008E1CE4" w:rsidRDefault="008E1CE4" w:rsidP="00E92DFB"/>
    <w:p w14:paraId="21E7A397" w14:textId="77777777" w:rsidR="008E1CE4" w:rsidRDefault="008E1CE4" w:rsidP="00E92DFB"/>
    <w:p w14:paraId="6B128E98" w14:textId="77777777" w:rsidR="0048394A" w:rsidRPr="00992135" w:rsidRDefault="0048394A" w:rsidP="0048394A">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sdt>
      <w:sdtPr>
        <w:id w:val="1049649159"/>
        <w:docPartObj>
          <w:docPartGallery w:val="Cover Pages"/>
          <w:docPartUnique/>
        </w:docPartObj>
      </w:sdtPr>
      <w:sdtEndPr>
        <w:rPr>
          <w:rFonts w:eastAsiaTheme="majorEastAsia"/>
        </w:rPr>
      </w:sdtEndPr>
      <w:sdtContent>
        <w:p w14:paraId="11F60949" w14:textId="3CAA2E72" w:rsidR="00C67121" w:rsidRPr="00C67121" w:rsidRDefault="00C67121" w:rsidP="008E1CE4">
          <w:pPr>
            <w:spacing w:after="240"/>
            <w:rPr>
              <w:rFonts w:ascii="Arial" w:eastAsiaTheme="majorEastAsia" w:hAnsi="Arial" w:cstheme="majorBidi"/>
              <w:b/>
              <w:color w:val="016574" w:themeColor="accent2"/>
              <w:sz w:val="32"/>
              <w:szCs w:val="26"/>
            </w:rPr>
          </w:pPr>
          <w:r w:rsidRPr="00C67121">
            <w:rPr>
              <w:rFonts w:ascii="Arial" w:eastAsiaTheme="majorEastAsia" w:hAnsi="Arial" w:cstheme="majorBidi"/>
              <w:b/>
              <w:color w:val="016574" w:themeColor="accent2"/>
              <w:sz w:val="32"/>
              <w:szCs w:val="26"/>
            </w:rPr>
            <w:t>Background</w:t>
          </w:r>
        </w:p>
        <w:p w14:paraId="26CEFE5A" w14:textId="77777777" w:rsidR="00C67121" w:rsidRPr="00C67121" w:rsidRDefault="00C67121" w:rsidP="00C67121">
          <w:pPr>
            <w:spacing w:after="240"/>
            <w:rPr>
              <w:rFonts w:ascii="Arial" w:eastAsia="Aptos" w:hAnsi="Arial" w:cs="Arial"/>
              <w:kern w:val="2"/>
              <w14:ligatures w14:val="standardContextual"/>
            </w:rPr>
          </w:pPr>
          <w:r w:rsidRPr="00C67121">
            <w:t xml:space="preserve">Peat is defined in Scotland as a soil with a surface layer with more than 60% organic matter and at least 50cm depth. </w:t>
          </w:r>
        </w:p>
        <w:p w14:paraId="74CF5B49" w14:textId="77777777" w:rsidR="008E1CE4" w:rsidRDefault="00C67121" w:rsidP="00C67121">
          <w:pPr>
            <w:spacing w:after="240"/>
            <w:rPr>
              <w:rFonts w:eastAsiaTheme="majorEastAsia"/>
            </w:rPr>
          </w:pPr>
          <w:r w:rsidRPr="00C67121">
            <w:rPr>
              <w:rFonts w:eastAsiaTheme="majorEastAsia"/>
            </w:rPr>
            <w:t xml:space="preserve">Peatlands hold large stocks of poorly protected carbon and excavation of peat will result in large carbon losses from the excavated peat </w:t>
          </w:r>
          <w:proofErr w:type="gramStart"/>
          <w:r w:rsidRPr="00C67121">
            <w:rPr>
              <w:rFonts w:eastAsiaTheme="majorEastAsia"/>
            </w:rPr>
            <w:t>and also</w:t>
          </w:r>
          <w:proofErr w:type="gramEnd"/>
          <w:r w:rsidRPr="00C67121">
            <w:rPr>
              <w:rFonts w:eastAsiaTheme="majorEastAsia"/>
            </w:rPr>
            <w:t xml:space="preserve"> the areas affected by drainage. Minimising peat excavation will reduce these potential carbon losses and consequently reduce the carbon payback period associated with developments on peat. </w:t>
          </w:r>
        </w:p>
        <w:p w14:paraId="6E008B73" w14:textId="4E7B8CA4" w:rsidR="00C67121" w:rsidRPr="00C67121" w:rsidRDefault="00C67121" w:rsidP="00C67121">
          <w:pPr>
            <w:spacing w:after="240"/>
          </w:pPr>
          <w:r w:rsidRPr="00C67121">
            <w:t xml:space="preserve">In </w:t>
          </w:r>
          <w:proofErr w:type="gramStart"/>
          <w:r w:rsidRPr="00C67121">
            <w:t>the majority of</w:t>
          </w:r>
          <w:proofErr w:type="gramEnd"/>
          <w:r w:rsidRPr="00C67121">
            <w:t xml:space="preserve"> cases excavated peat will be regarded as waste in law and regulatory controls will apply to its storage, treatment, recovery and/or disposal. </w:t>
          </w:r>
        </w:p>
        <w:p w14:paraId="25F2A2EE" w14:textId="77777777" w:rsidR="00C67121" w:rsidRPr="00C67121" w:rsidRDefault="00C67121" w:rsidP="00C67121">
          <w:pPr>
            <w:spacing w:after="240"/>
            <w:rPr>
              <w:rFonts w:eastAsiaTheme="majorEastAsia"/>
            </w:rPr>
          </w:pPr>
          <w:r w:rsidRPr="00C67121">
            <w:rPr>
              <w:rFonts w:eastAsiaTheme="majorEastAsia"/>
            </w:rPr>
            <w:t xml:space="preserve">There are two principal types of peat: </w:t>
          </w:r>
        </w:p>
        <w:p w14:paraId="68614A84" w14:textId="77777777" w:rsidR="00C67121" w:rsidRPr="00C67121" w:rsidRDefault="00C67121" w:rsidP="00C67121">
          <w:pPr>
            <w:spacing w:after="240"/>
            <w:rPr>
              <w:rFonts w:eastAsiaTheme="majorEastAsia"/>
            </w:rPr>
          </w:pPr>
          <w:r w:rsidRPr="00C67121">
            <w:rPr>
              <w:rFonts w:eastAsiaTheme="majorEastAsia"/>
            </w:rPr>
            <w:t xml:space="preserve">1. The upper (acrotelm) layer is quite fibrous and contains plant roots etc. Acrotelmic peat is relatively dry and has some tensile strength. </w:t>
          </w:r>
        </w:p>
        <w:p w14:paraId="7774A3C9" w14:textId="77777777" w:rsidR="00C67121" w:rsidRPr="00C67121" w:rsidRDefault="00C67121" w:rsidP="00C67121">
          <w:pPr>
            <w:spacing w:after="240"/>
            <w:rPr>
              <w:rFonts w:eastAsiaTheme="majorEastAsia"/>
            </w:rPr>
          </w:pPr>
          <w:r w:rsidRPr="00C67121">
            <w:rPr>
              <w:rFonts w:eastAsiaTheme="majorEastAsia"/>
            </w:rPr>
            <w:t xml:space="preserve">2. The lower (catotelm) layers are highly amorphous, with very </w:t>
          </w:r>
          <w:proofErr w:type="gramStart"/>
          <w:r w:rsidRPr="00C67121">
            <w:rPr>
              <w:rFonts w:eastAsiaTheme="majorEastAsia"/>
            </w:rPr>
            <w:t>high water</w:t>
          </w:r>
          <w:proofErr w:type="gramEnd"/>
          <w:r w:rsidRPr="00C67121">
            <w:rPr>
              <w:rFonts w:eastAsiaTheme="majorEastAsia"/>
            </w:rPr>
            <w:t xml:space="preserve"> content and usually very low tensile strength. The structure tends to disrupt completely on excavation and handling. </w:t>
          </w:r>
        </w:p>
        <w:p w14:paraId="50BC3D32" w14:textId="77777777" w:rsidR="00C67121" w:rsidRPr="00C67121" w:rsidRDefault="00C67121" w:rsidP="00C67121">
          <w:pPr>
            <w:keepNext/>
            <w:keepLines/>
            <w:spacing w:after="240" w:line="276" w:lineRule="auto"/>
            <w:outlineLvl w:val="1"/>
            <w:rPr>
              <w:rFonts w:ascii="Arial" w:eastAsiaTheme="majorEastAsia" w:hAnsi="Arial" w:cstheme="majorBidi"/>
              <w:b/>
              <w:color w:val="016574" w:themeColor="accent2"/>
              <w:sz w:val="32"/>
              <w:szCs w:val="26"/>
            </w:rPr>
          </w:pPr>
          <w:bookmarkStart w:id="1" w:name="_Toc198220115"/>
          <w:r w:rsidRPr="00C67121">
            <w:rPr>
              <w:rFonts w:ascii="Arial" w:eastAsiaTheme="majorEastAsia" w:hAnsi="Arial" w:cstheme="majorBidi"/>
              <w:b/>
              <w:color w:val="016574" w:themeColor="accent2"/>
              <w:sz w:val="32"/>
              <w:szCs w:val="26"/>
            </w:rPr>
            <w:t>Developments on Peat</w:t>
          </w:r>
          <w:bookmarkEnd w:id="1"/>
        </w:p>
        <w:p w14:paraId="608485A6" w14:textId="77777777" w:rsidR="00C67121" w:rsidRPr="00C67121" w:rsidRDefault="00C67121" w:rsidP="00C67121">
          <w:pPr>
            <w:spacing w:after="240"/>
            <w:rPr>
              <w:rFonts w:eastAsiaTheme="majorEastAsia"/>
            </w:rPr>
          </w:pPr>
          <w:r w:rsidRPr="00C67121">
            <w:rPr>
              <w:rFonts w:eastAsiaTheme="majorEastAsia"/>
            </w:rPr>
            <w:t>SEPA has a supportive, considered and consistent approach on waste management issues and endeavours to communicate these to operators at the earliest possible stage of any development proposal. The aim of this guidance is to set out the hierarchy of management options in relation to excavated peat, as set out in table 1.</w:t>
          </w:r>
        </w:p>
        <w:p w14:paraId="57080D04" w14:textId="77777777" w:rsidR="00C67121" w:rsidRPr="00C67121" w:rsidRDefault="00C67121" w:rsidP="00C67121">
          <w:pPr>
            <w:spacing w:after="240"/>
            <w:rPr>
              <w:rFonts w:eastAsiaTheme="majorEastAsia"/>
              <w:b/>
              <w:bCs/>
            </w:rPr>
          </w:pPr>
          <w:r w:rsidRPr="00C67121">
            <w:rPr>
              <w:rFonts w:eastAsiaTheme="majorEastAsia"/>
              <w:b/>
              <w:bCs/>
            </w:rPr>
            <w:t>Table 1: The recommended management options for developments on peat</w:t>
          </w:r>
        </w:p>
        <w:tbl>
          <w:tblPr>
            <w:tblStyle w:val="TableGrid"/>
            <w:tblW w:w="0" w:type="auto"/>
            <w:tblLook w:val="04A0" w:firstRow="1" w:lastRow="0" w:firstColumn="1" w:lastColumn="0" w:noHBand="0" w:noVBand="1"/>
          </w:tblPr>
          <w:tblGrid>
            <w:gridCol w:w="1838"/>
            <w:gridCol w:w="4253"/>
            <w:gridCol w:w="4121"/>
          </w:tblGrid>
          <w:tr w:rsidR="00C67121" w:rsidRPr="00C67121" w14:paraId="7F3C12DE" w14:textId="77777777" w:rsidTr="008E1CE4">
            <w:trPr>
              <w:cantSplit/>
              <w:tblHeader/>
            </w:trPr>
            <w:tc>
              <w:tcPr>
                <w:tcW w:w="1838" w:type="dxa"/>
                <w:shd w:val="clear" w:color="auto" w:fill="016574" w:themeFill="accent6"/>
              </w:tcPr>
              <w:p w14:paraId="6AE838E1" w14:textId="77777777" w:rsidR="00C67121" w:rsidRPr="00C67121" w:rsidRDefault="00C67121" w:rsidP="00C67121">
                <w:pPr>
                  <w:spacing w:after="240"/>
                  <w:rPr>
                    <w:rFonts w:eastAsiaTheme="majorEastAsia"/>
                    <w:b/>
                    <w:bCs/>
                    <w:color w:val="FFFFFF" w:themeColor="background1"/>
                  </w:rPr>
                </w:pPr>
                <w:r w:rsidRPr="00C67121">
                  <w:rPr>
                    <w:rFonts w:eastAsiaTheme="majorEastAsia"/>
                    <w:b/>
                    <w:bCs/>
                    <w:color w:val="FFFFFF" w:themeColor="background1"/>
                  </w:rPr>
                  <w:lastRenderedPageBreak/>
                  <w:t>Peat Management Hierarchy</w:t>
                </w:r>
              </w:p>
            </w:tc>
            <w:tc>
              <w:tcPr>
                <w:tcW w:w="4253" w:type="dxa"/>
                <w:shd w:val="clear" w:color="auto" w:fill="016574" w:themeFill="accent6"/>
              </w:tcPr>
              <w:p w14:paraId="69DAF530" w14:textId="77777777" w:rsidR="00C67121" w:rsidRPr="00C67121" w:rsidRDefault="00C67121" w:rsidP="00C67121">
                <w:pPr>
                  <w:spacing w:after="240"/>
                  <w:rPr>
                    <w:rFonts w:eastAsiaTheme="majorEastAsia"/>
                    <w:b/>
                    <w:bCs/>
                    <w:color w:val="FFFFFF" w:themeColor="background1"/>
                  </w:rPr>
                </w:pPr>
                <w:r w:rsidRPr="00C67121">
                  <w:rPr>
                    <w:rFonts w:eastAsiaTheme="majorEastAsia"/>
                    <w:b/>
                    <w:bCs/>
                    <w:color w:val="FFFFFF" w:themeColor="background1"/>
                  </w:rPr>
                  <w:t>Use</w:t>
                </w:r>
              </w:p>
            </w:tc>
            <w:tc>
              <w:tcPr>
                <w:tcW w:w="4121" w:type="dxa"/>
                <w:shd w:val="clear" w:color="auto" w:fill="016574" w:themeFill="accent6"/>
              </w:tcPr>
              <w:p w14:paraId="0FFD308C" w14:textId="77777777" w:rsidR="00C67121" w:rsidRPr="00C67121" w:rsidRDefault="00C67121" w:rsidP="00C67121">
                <w:pPr>
                  <w:spacing w:after="240"/>
                  <w:rPr>
                    <w:rFonts w:eastAsiaTheme="majorEastAsia"/>
                    <w:b/>
                    <w:bCs/>
                    <w:color w:val="FFFFFF" w:themeColor="background1"/>
                  </w:rPr>
                </w:pPr>
                <w:r w:rsidRPr="00C67121">
                  <w:rPr>
                    <w:rFonts w:eastAsiaTheme="majorEastAsia"/>
                    <w:b/>
                    <w:bCs/>
                    <w:color w:val="FFFFFF" w:themeColor="background1"/>
                  </w:rPr>
                  <w:t>Restrictions/ limitations</w:t>
                </w:r>
              </w:p>
            </w:tc>
          </w:tr>
          <w:tr w:rsidR="00C67121" w:rsidRPr="00C67121" w14:paraId="2E835F58" w14:textId="77777777" w:rsidTr="008E1CE4">
            <w:tc>
              <w:tcPr>
                <w:tcW w:w="1838" w:type="dxa"/>
                <w:shd w:val="clear" w:color="auto" w:fill="FFFFFF" w:themeFill="background1"/>
              </w:tcPr>
              <w:p w14:paraId="3EACCEB4" w14:textId="77777777" w:rsidR="00C67121" w:rsidRPr="00C67121" w:rsidRDefault="00C67121" w:rsidP="00C67121">
                <w:pPr>
                  <w:spacing w:after="240"/>
                  <w:rPr>
                    <w:rFonts w:eastAsiaTheme="majorEastAsia"/>
                  </w:rPr>
                </w:pPr>
                <w:r w:rsidRPr="00C67121">
                  <w:rPr>
                    <w:rFonts w:eastAsiaTheme="majorEastAsia"/>
                  </w:rPr>
                  <w:t>Prevent Creation of Waste Peat</w:t>
                </w:r>
              </w:p>
            </w:tc>
            <w:tc>
              <w:tcPr>
                <w:tcW w:w="4253" w:type="dxa"/>
              </w:tcPr>
              <w:p w14:paraId="06829334" w14:textId="77777777" w:rsidR="00C67121" w:rsidRPr="00C67121" w:rsidRDefault="00C67121" w:rsidP="00C67121">
                <w:pPr>
                  <w:spacing w:after="240"/>
                  <w:rPr>
                    <w:rFonts w:eastAsiaTheme="majorEastAsia"/>
                  </w:rPr>
                </w:pPr>
                <w:r w:rsidRPr="00C67121">
                  <w:rPr>
                    <w:rFonts w:eastAsiaTheme="majorEastAsia"/>
                  </w:rPr>
                  <w:t>Minimise peat excavation and disturbance to prevent the unnecessary production of waste peat using a Peat Management Plan.</w:t>
                </w:r>
              </w:p>
            </w:tc>
            <w:tc>
              <w:tcPr>
                <w:tcW w:w="4121" w:type="dxa"/>
              </w:tcPr>
              <w:p w14:paraId="5A55F420" w14:textId="77777777" w:rsidR="00C67121" w:rsidRPr="00C67121" w:rsidRDefault="00C67121" w:rsidP="00C67121">
                <w:pPr>
                  <w:spacing w:after="240"/>
                  <w:rPr>
                    <w:rFonts w:eastAsiaTheme="majorEastAsia"/>
                  </w:rPr>
                </w:pPr>
              </w:p>
            </w:tc>
          </w:tr>
          <w:tr w:rsidR="00C67121" w:rsidRPr="00C67121" w14:paraId="1319E901" w14:textId="77777777" w:rsidTr="008E1CE4">
            <w:tc>
              <w:tcPr>
                <w:tcW w:w="1838" w:type="dxa"/>
                <w:shd w:val="clear" w:color="auto" w:fill="FFFFFF" w:themeFill="background1"/>
              </w:tcPr>
              <w:p w14:paraId="00ED8625" w14:textId="77777777" w:rsidR="00C67121" w:rsidRPr="00C67121" w:rsidRDefault="00C67121" w:rsidP="00C67121">
                <w:pPr>
                  <w:spacing w:after="240"/>
                  <w:rPr>
                    <w:rFonts w:eastAsiaTheme="majorEastAsia"/>
                  </w:rPr>
                </w:pPr>
                <w:r w:rsidRPr="00C67121">
                  <w:rPr>
                    <w:rFonts w:eastAsiaTheme="majorEastAsia"/>
                  </w:rPr>
                  <w:t>Use on site</w:t>
                </w:r>
              </w:p>
              <w:p w14:paraId="333FDE62" w14:textId="77777777" w:rsidR="00C67121" w:rsidRPr="00C67121" w:rsidRDefault="00C67121" w:rsidP="00C67121">
                <w:pPr>
                  <w:spacing w:after="240"/>
                  <w:rPr>
                    <w:rFonts w:eastAsiaTheme="majorEastAsia"/>
                  </w:rPr>
                </w:pPr>
                <w:r w:rsidRPr="00C67121">
                  <w:rPr>
                    <w:rFonts w:eastAsiaTheme="majorEastAsia"/>
                  </w:rPr>
                  <w:t>Use off-site for peatland restoration</w:t>
                </w:r>
              </w:p>
            </w:tc>
            <w:tc>
              <w:tcPr>
                <w:tcW w:w="4253" w:type="dxa"/>
              </w:tcPr>
              <w:p w14:paraId="34431E22" w14:textId="77777777" w:rsidR="00C67121" w:rsidRPr="00C67121" w:rsidRDefault="00C67121" w:rsidP="00C67121">
                <w:pPr>
                  <w:spacing w:after="240"/>
                  <w:rPr>
                    <w:rFonts w:eastAsiaTheme="majorEastAsia"/>
                  </w:rPr>
                </w:pPr>
                <w:r w:rsidRPr="00C67121">
                  <w:rPr>
                    <w:rFonts w:eastAsiaTheme="majorEastAsia"/>
                  </w:rPr>
                  <w:t>Use of peat on-site in construction or reinstatement e.g. restoration of hardstanding areas, borrow pits, road verges, peatland restoration etc. or off-site to restore peatland areas.</w:t>
                </w:r>
              </w:p>
            </w:tc>
            <w:tc>
              <w:tcPr>
                <w:tcW w:w="4121" w:type="dxa"/>
              </w:tcPr>
              <w:p w14:paraId="0DE7DD1A" w14:textId="77777777" w:rsidR="00C67121" w:rsidRPr="00C67121" w:rsidRDefault="00C67121" w:rsidP="00C67121">
                <w:pPr>
                  <w:spacing w:after="240"/>
                  <w:rPr>
                    <w:rFonts w:eastAsiaTheme="majorEastAsia"/>
                  </w:rPr>
                </w:pPr>
                <w:r w:rsidRPr="00C67121">
                  <w:rPr>
                    <w:rFonts w:eastAsiaTheme="majorEastAsia"/>
                  </w:rPr>
                  <w:t>Depends on the physical nature of the peat. Use of unsuitable material and/or excessive quantities (i.e. more than needed) will be regarded as disposal and will require an environmental authorisation. Off-site use will require an environmental authorisation.</w:t>
                </w:r>
              </w:p>
            </w:tc>
          </w:tr>
          <w:tr w:rsidR="00C67121" w:rsidRPr="00C67121" w14:paraId="6839C4CD" w14:textId="77777777" w:rsidTr="008E1CE4">
            <w:tc>
              <w:tcPr>
                <w:tcW w:w="1838" w:type="dxa"/>
                <w:shd w:val="clear" w:color="auto" w:fill="FFFFFF" w:themeFill="background1"/>
              </w:tcPr>
              <w:p w14:paraId="640C902F" w14:textId="77777777" w:rsidR="00C67121" w:rsidRPr="00C67121" w:rsidRDefault="00C67121" w:rsidP="00C67121">
                <w:pPr>
                  <w:spacing w:after="240"/>
                  <w:rPr>
                    <w:rFonts w:eastAsiaTheme="majorEastAsia"/>
                  </w:rPr>
                </w:pPr>
                <w:r w:rsidRPr="00C67121">
                  <w:rPr>
                    <w:rFonts w:eastAsiaTheme="majorEastAsia"/>
                  </w:rPr>
                  <w:t>Recycling/ Recovery</w:t>
                </w:r>
              </w:p>
            </w:tc>
            <w:tc>
              <w:tcPr>
                <w:tcW w:w="4253" w:type="dxa"/>
              </w:tcPr>
              <w:p w14:paraId="510441D6" w14:textId="77777777" w:rsidR="00C67121" w:rsidRPr="00C67121" w:rsidRDefault="00C67121" w:rsidP="00C67121">
                <w:pPr>
                  <w:spacing w:after="240"/>
                  <w:rPr>
                    <w:rFonts w:eastAsiaTheme="majorEastAsia"/>
                  </w:rPr>
                </w:pPr>
                <w:r w:rsidRPr="00C67121">
                  <w:rPr>
                    <w:rFonts w:eastAsiaTheme="majorEastAsia"/>
                  </w:rPr>
                  <w:t>Where peat cannot be used on or off site for peatland restoration it may be spread on land for agricultural benefit, recycled through blending with other materials to form a soil substitute or used in other relevant works.</w:t>
                </w:r>
              </w:p>
            </w:tc>
            <w:tc>
              <w:tcPr>
                <w:tcW w:w="4121" w:type="dxa"/>
              </w:tcPr>
              <w:p w14:paraId="2B5EA056" w14:textId="77777777" w:rsidR="00C67121" w:rsidRPr="00C67121" w:rsidRDefault="00C67121" w:rsidP="00C67121">
                <w:pPr>
                  <w:spacing w:after="240"/>
                  <w:rPr>
                    <w:rFonts w:eastAsiaTheme="majorEastAsia"/>
                  </w:rPr>
                </w:pPr>
                <w:r w:rsidRPr="00C67121">
                  <w:rPr>
                    <w:rFonts w:eastAsiaTheme="majorEastAsia"/>
                  </w:rPr>
                  <w:t>Will require an environmental authorisation and compliance with the legal requirements.</w:t>
                </w:r>
              </w:p>
            </w:tc>
          </w:tr>
          <w:tr w:rsidR="00C67121" w:rsidRPr="00C67121" w14:paraId="4114AC4A" w14:textId="77777777" w:rsidTr="008E1CE4">
            <w:tc>
              <w:tcPr>
                <w:tcW w:w="1838" w:type="dxa"/>
                <w:shd w:val="clear" w:color="auto" w:fill="FFFFFF" w:themeFill="background1"/>
              </w:tcPr>
              <w:p w14:paraId="0B3FEA35" w14:textId="77777777" w:rsidR="00C67121" w:rsidRPr="00C67121" w:rsidRDefault="00C67121" w:rsidP="00C67121">
                <w:pPr>
                  <w:spacing w:after="240"/>
                  <w:rPr>
                    <w:rFonts w:eastAsiaTheme="majorEastAsia"/>
                  </w:rPr>
                </w:pPr>
                <w:r w:rsidRPr="00C67121">
                  <w:rPr>
                    <w:rFonts w:eastAsiaTheme="majorEastAsia"/>
                  </w:rPr>
                  <w:t>Disposal</w:t>
                </w:r>
              </w:p>
            </w:tc>
            <w:tc>
              <w:tcPr>
                <w:tcW w:w="4253" w:type="dxa"/>
              </w:tcPr>
              <w:p w14:paraId="2E089ECA" w14:textId="77777777" w:rsidR="00C67121" w:rsidRPr="00C67121" w:rsidRDefault="00C67121" w:rsidP="00C67121">
                <w:pPr>
                  <w:spacing w:after="240"/>
                  <w:rPr>
                    <w:rFonts w:eastAsiaTheme="majorEastAsia"/>
                  </w:rPr>
                </w:pPr>
                <w:r w:rsidRPr="00C67121">
                  <w:rPr>
                    <w:rFonts w:eastAsiaTheme="majorEastAsia"/>
                  </w:rPr>
                  <w:t>Only after all other options have been explored and discounted.</w:t>
                </w:r>
              </w:p>
            </w:tc>
            <w:tc>
              <w:tcPr>
                <w:tcW w:w="4121" w:type="dxa"/>
              </w:tcPr>
              <w:p w14:paraId="1BC07351" w14:textId="77777777" w:rsidR="00C67121" w:rsidRPr="00C67121" w:rsidRDefault="00C67121" w:rsidP="00C67121">
                <w:pPr>
                  <w:spacing w:after="240"/>
                  <w:rPr>
                    <w:rFonts w:eastAsiaTheme="majorEastAsia"/>
                  </w:rPr>
                </w:pPr>
                <w:r w:rsidRPr="00C67121">
                  <w:rPr>
                    <w:rFonts w:eastAsiaTheme="majorEastAsia"/>
                  </w:rPr>
                  <w:t>Liquid peat cannot be landfilled without pre-treatment.</w:t>
                </w:r>
              </w:p>
            </w:tc>
          </w:tr>
        </w:tbl>
        <w:p w14:paraId="1A238B5A" w14:textId="77777777" w:rsidR="008E1CE4" w:rsidRDefault="008E1CE4" w:rsidP="00C67121">
          <w:pPr>
            <w:spacing w:after="240"/>
          </w:pPr>
        </w:p>
        <w:p w14:paraId="51225FC2" w14:textId="08720B2E" w:rsidR="00C67121" w:rsidRPr="00C67121" w:rsidRDefault="00C67121" w:rsidP="00C67121">
          <w:pPr>
            <w:spacing w:after="240"/>
            <w:rPr>
              <w:rFonts w:eastAsiaTheme="majorEastAsia"/>
            </w:rPr>
          </w:pPr>
          <w:r w:rsidRPr="00C67121">
            <w:t xml:space="preserve">Waste from developments on peatland </w:t>
          </w:r>
          <w:r w:rsidRPr="00C67121">
            <w:rPr>
              <w:rFonts w:eastAsiaTheme="majorEastAsia"/>
            </w:rPr>
            <w:t xml:space="preserve">Waste peat is likely to be generated by construction developments on peatland and the following guidance is intended to help ensure a consistent approach to the management of such material. </w:t>
          </w:r>
        </w:p>
        <w:p w14:paraId="2EC07D41" w14:textId="77777777" w:rsidR="00C67121" w:rsidRPr="00C67121" w:rsidRDefault="00C67121" w:rsidP="00C67121">
          <w:pPr>
            <w:spacing w:after="240"/>
            <w:rPr>
              <w:rFonts w:eastAsiaTheme="majorEastAsia"/>
            </w:rPr>
          </w:pPr>
          <w:r w:rsidRPr="00C67121">
            <w:rPr>
              <w:rFonts w:eastAsiaTheme="majorEastAsia"/>
            </w:rPr>
            <w:lastRenderedPageBreak/>
            <w:t xml:space="preserve">Developers are strongly advised to approach their local SEPA office at the earliest appropriate time in the planning stages of the development to ensure that all the activities that may have waste management implications are clearly identified. This will allow SEPA to identify any regulatory implications of the proposed activities which will consequently allow the developer and their contractors to tailor their planning and designs to accommodate any regulatory requirements. </w:t>
          </w:r>
        </w:p>
        <w:p w14:paraId="2991F00B" w14:textId="77777777" w:rsidR="00C67121" w:rsidRPr="00C67121" w:rsidRDefault="00C67121" w:rsidP="00C67121">
          <w:pPr>
            <w:keepNext/>
            <w:keepLines/>
            <w:spacing w:after="240" w:line="276" w:lineRule="auto"/>
            <w:outlineLvl w:val="1"/>
            <w:rPr>
              <w:rFonts w:ascii="Arial" w:eastAsiaTheme="majorEastAsia" w:hAnsi="Arial" w:cstheme="majorBidi"/>
              <w:b/>
              <w:color w:val="016574" w:themeColor="accent2"/>
              <w:sz w:val="32"/>
              <w:szCs w:val="26"/>
            </w:rPr>
          </w:pPr>
          <w:bookmarkStart w:id="2" w:name="_Toc198220116"/>
          <w:r w:rsidRPr="00C67121">
            <w:rPr>
              <w:rFonts w:ascii="Arial" w:eastAsiaTheme="majorEastAsia" w:hAnsi="Arial" w:cstheme="majorBidi"/>
              <w:b/>
              <w:color w:val="016574" w:themeColor="accent2"/>
              <w:sz w:val="32"/>
              <w:szCs w:val="26"/>
            </w:rPr>
            <w:t>Is the excavated peat waste?</w:t>
          </w:r>
          <w:bookmarkEnd w:id="2"/>
          <w:r w:rsidRPr="00C67121">
            <w:rPr>
              <w:rFonts w:ascii="Arial" w:eastAsiaTheme="majorEastAsia" w:hAnsi="Arial" w:cstheme="majorBidi"/>
              <w:b/>
              <w:color w:val="016574" w:themeColor="accent2"/>
              <w:sz w:val="32"/>
              <w:szCs w:val="26"/>
            </w:rPr>
            <w:t xml:space="preserve"> </w:t>
          </w:r>
        </w:p>
        <w:p w14:paraId="5EB2B022" w14:textId="77777777" w:rsidR="00C67121" w:rsidRPr="00C67121" w:rsidRDefault="00C67121" w:rsidP="00C67121">
          <w:pPr>
            <w:spacing w:after="240"/>
            <w:rPr>
              <w:rFonts w:eastAsiaTheme="majorEastAsia"/>
            </w:rPr>
          </w:pPr>
          <w:r w:rsidRPr="00C67121">
            <w:rPr>
              <w:rFonts w:eastAsiaTheme="majorEastAsia"/>
            </w:rPr>
            <w:t>In SEPA’s opinion excavated peat is likely to be regarded as waste.</w:t>
          </w:r>
        </w:p>
        <w:p w14:paraId="081BF5E7" w14:textId="77777777" w:rsidR="00C67121" w:rsidRPr="00C67121" w:rsidRDefault="00C67121" w:rsidP="00C67121">
          <w:pPr>
            <w:spacing w:after="240"/>
            <w:rPr>
              <w:rFonts w:eastAsiaTheme="majorEastAsia"/>
            </w:rPr>
          </w:pPr>
          <w:r w:rsidRPr="00C67121">
            <w:rPr>
              <w:rFonts w:eastAsiaTheme="majorEastAsia"/>
            </w:rPr>
            <w:t>Excavated peat will be waste if it is discarded or the holder intends to or is required to discard them. Unless the waste peat is certain to be used for construction purposes in its natural state on the site from where it is excavated, it will be subject to regulatory control.</w:t>
          </w:r>
        </w:p>
        <w:p w14:paraId="33B54176" w14:textId="77777777" w:rsidR="00C67121" w:rsidRPr="00C67121" w:rsidRDefault="00C67121" w:rsidP="00C67121">
          <w:pPr>
            <w:spacing w:after="240"/>
            <w:rPr>
              <w:rFonts w:eastAsiaTheme="majorEastAsia"/>
            </w:rPr>
          </w:pPr>
          <w:proofErr w:type="gramStart"/>
          <w:r w:rsidRPr="00C67121">
            <w:rPr>
              <w:rFonts w:eastAsiaTheme="majorEastAsia"/>
            </w:rPr>
            <w:t>However</w:t>
          </w:r>
          <w:proofErr w:type="gramEnd"/>
          <w:r w:rsidRPr="00C67121">
            <w:rPr>
              <w:rFonts w:eastAsiaTheme="majorEastAsia"/>
            </w:rPr>
            <w:t xml:space="preserve"> decisions on whether a particular substance, object or material is waste must be considered on a </w:t>
          </w:r>
          <w:proofErr w:type="gramStart"/>
          <w:r w:rsidRPr="00C67121">
            <w:rPr>
              <w:rFonts w:eastAsiaTheme="majorEastAsia"/>
            </w:rPr>
            <w:t>case by case</w:t>
          </w:r>
          <w:proofErr w:type="gramEnd"/>
          <w:r w:rsidRPr="00C67121">
            <w:rPr>
              <w:rFonts w:eastAsiaTheme="majorEastAsia"/>
            </w:rPr>
            <w:t xml:space="preserve"> basis; the answer will depend on the circumstances of the proposed development including the nature of the materials and the ways in which they are proposed to be treated, used and/or disposed of. </w:t>
          </w:r>
        </w:p>
        <w:p w14:paraId="4B9D1B97" w14:textId="77777777" w:rsidR="00C67121" w:rsidRPr="00C67121" w:rsidRDefault="00C67121" w:rsidP="00C67121">
          <w:pPr>
            <w:spacing w:after="240"/>
            <w:rPr>
              <w:rFonts w:eastAsiaTheme="majorEastAsia"/>
            </w:rPr>
          </w:pPr>
          <w:r w:rsidRPr="00C67121">
            <w:rPr>
              <w:rFonts w:eastAsiaTheme="majorEastAsia"/>
            </w:rPr>
            <w:t>Further guidance on the definition of waste process can be found in the SEPA guidance documents ‘Is it Waste?’ and ‘The supplementary guidance to “Is it waste”’.</w:t>
          </w:r>
        </w:p>
        <w:p w14:paraId="653853E2" w14:textId="77777777" w:rsidR="00C67121" w:rsidRPr="00C67121" w:rsidRDefault="00C67121" w:rsidP="00C67121">
          <w:pPr>
            <w:keepNext/>
            <w:keepLines/>
            <w:spacing w:after="240" w:line="276" w:lineRule="auto"/>
            <w:outlineLvl w:val="1"/>
            <w:rPr>
              <w:rFonts w:ascii="Arial" w:eastAsiaTheme="majorEastAsia" w:hAnsi="Arial" w:cstheme="majorBidi"/>
              <w:b/>
              <w:color w:val="016574" w:themeColor="accent2"/>
              <w:sz w:val="32"/>
              <w:szCs w:val="26"/>
            </w:rPr>
          </w:pPr>
          <w:bookmarkStart w:id="3" w:name="_Toc198220117"/>
          <w:r w:rsidRPr="00C67121">
            <w:rPr>
              <w:rFonts w:ascii="Arial" w:eastAsiaTheme="majorEastAsia" w:hAnsi="Arial" w:cstheme="majorBidi"/>
              <w:b/>
              <w:color w:val="016574" w:themeColor="accent2"/>
              <w:sz w:val="32"/>
              <w:szCs w:val="26"/>
            </w:rPr>
            <w:t>Prevention</w:t>
          </w:r>
          <w:bookmarkEnd w:id="3"/>
          <w:r w:rsidRPr="00C67121">
            <w:rPr>
              <w:rFonts w:ascii="Arial" w:eastAsiaTheme="majorEastAsia" w:hAnsi="Arial" w:cstheme="majorBidi"/>
              <w:b/>
              <w:color w:val="016574" w:themeColor="accent2"/>
              <w:sz w:val="32"/>
              <w:szCs w:val="26"/>
            </w:rPr>
            <w:t xml:space="preserve"> </w:t>
          </w:r>
        </w:p>
        <w:p w14:paraId="3CF6F1C0" w14:textId="77777777" w:rsidR="00C67121" w:rsidRPr="00C67121" w:rsidRDefault="00C67121" w:rsidP="00C67121">
          <w:pPr>
            <w:spacing w:after="240"/>
            <w:rPr>
              <w:rFonts w:eastAsiaTheme="majorEastAsia"/>
            </w:rPr>
          </w:pPr>
          <w:r w:rsidRPr="00C67121">
            <w:rPr>
              <w:rFonts w:eastAsiaTheme="majorEastAsia"/>
            </w:rPr>
            <w:t xml:space="preserve">The best management option for waste peat is to prevent their production. </w:t>
          </w:r>
        </w:p>
        <w:p w14:paraId="68A514C2" w14:textId="77777777" w:rsidR="00C67121" w:rsidRPr="00C67121" w:rsidRDefault="00C67121" w:rsidP="00C67121">
          <w:pPr>
            <w:spacing w:after="240"/>
            <w:rPr>
              <w:rFonts w:eastAsiaTheme="majorEastAsia"/>
            </w:rPr>
          </w:pPr>
          <w:r w:rsidRPr="00C67121">
            <w:rPr>
              <w:rFonts w:eastAsiaTheme="majorEastAsia"/>
            </w:rPr>
            <w:t xml:space="preserve">This can be done </w:t>
          </w:r>
          <w:proofErr w:type="gramStart"/>
          <w:r w:rsidRPr="00C67121">
            <w:rPr>
              <w:rFonts w:eastAsiaTheme="majorEastAsia"/>
            </w:rPr>
            <w:t>through the use of</w:t>
          </w:r>
          <w:proofErr w:type="gramEnd"/>
          <w:r w:rsidRPr="00C67121">
            <w:rPr>
              <w:rFonts w:eastAsiaTheme="majorEastAsia"/>
            </w:rPr>
            <w:t xml:space="preserve"> forward planning, comprehensive on-site investigations, the use of Peat Management Plans and assessment of alternative construction methods e.g. piling. The early considered use of these techniques will allow developers to prevent/minimise the production of waste peat (and other wastes) associated with the development. </w:t>
          </w:r>
        </w:p>
        <w:p w14:paraId="201A57A8" w14:textId="77777777" w:rsidR="00C67121" w:rsidRPr="00C67121" w:rsidRDefault="00C67121" w:rsidP="00C67121">
          <w:pPr>
            <w:keepNext/>
            <w:keepLines/>
            <w:spacing w:after="240" w:line="276" w:lineRule="auto"/>
            <w:outlineLvl w:val="1"/>
            <w:rPr>
              <w:rFonts w:ascii="Arial" w:eastAsiaTheme="majorEastAsia" w:hAnsi="Arial" w:cstheme="majorBidi"/>
              <w:b/>
              <w:color w:val="016574" w:themeColor="accent2"/>
              <w:sz w:val="32"/>
              <w:szCs w:val="26"/>
            </w:rPr>
          </w:pPr>
          <w:bookmarkStart w:id="4" w:name="_Toc198220118"/>
          <w:r w:rsidRPr="00C67121">
            <w:rPr>
              <w:rFonts w:ascii="Arial" w:eastAsiaTheme="majorEastAsia" w:hAnsi="Arial" w:cstheme="majorBidi"/>
              <w:b/>
              <w:color w:val="016574" w:themeColor="accent2"/>
              <w:sz w:val="32"/>
              <w:szCs w:val="26"/>
            </w:rPr>
            <w:t>On-site use</w:t>
          </w:r>
          <w:bookmarkEnd w:id="4"/>
          <w:r w:rsidRPr="00C67121">
            <w:rPr>
              <w:rFonts w:ascii="Arial" w:eastAsiaTheme="majorEastAsia" w:hAnsi="Arial" w:cstheme="majorBidi"/>
              <w:b/>
              <w:color w:val="016574" w:themeColor="accent2"/>
              <w:sz w:val="32"/>
              <w:szCs w:val="26"/>
            </w:rPr>
            <w:t xml:space="preserve"> </w:t>
          </w:r>
        </w:p>
        <w:p w14:paraId="2DA18134" w14:textId="77777777" w:rsidR="00C67121" w:rsidRPr="00C67121" w:rsidRDefault="00C67121" w:rsidP="00C67121">
          <w:pPr>
            <w:spacing w:after="240"/>
            <w:rPr>
              <w:rFonts w:eastAsiaTheme="majorEastAsia"/>
            </w:rPr>
          </w:pPr>
          <w:r w:rsidRPr="00C67121">
            <w:rPr>
              <w:rFonts w:eastAsiaTheme="majorEastAsia"/>
            </w:rPr>
            <w:t xml:space="preserve">Developers should prioritise the use of excavated peat on-site in the first instance. These activities should minimise carbon loss and maximise ecological benefit. There are </w:t>
          </w:r>
          <w:proofErr w:type="gramStart"/>
          <w:r w:rsidRPr="00C67121">
            <w:rPr>
              <w:rFonts w:eastAsiaTheme="majorEastAsia"/>
            </w:rPr>
            <w:t>a number of</w:t>
          </w:r>
          <w:proofErr w:type="gramEnd"/>
          <w:r w:rsidRPr="00C67121">
            <w:rPr>
              <w:rFonts w:eastAsiaTheme="majorEastAsia"/>
            </w:rPr>
            <w:t xml:space="preserve"> </w:t>
          </w:r>
          <w:r w:rsidRPr="00C67121">
            <w:rPr>
              <w:rFonts w:eastAsiaTheme="majorEastAsia"/>
            </w:rPr>
            <w:lastRenderedPageBreak/>
            <w:t xml:space="preserve">on-site activities which may involve the use of peat in construction or reinstatement e.g. restoration of hardstanding areas, borrow pits, road verges, peatland restoration etc. Any developer wishing to use any excavated peat on the site should contact their local SEPA office to discuss the proposed activities. In considering any proposed activities involving the use of excavated peat on-site SEPA will assess whether the activity involves recovery or disposal of waste and advise on the appropriate regulatory requirements. </w:t>
          </w:r>
        </w:p>
        <w:p w14:paraId="27E67212" w14:textId="77777777" w:rsidR="00C67121" w:rsidRPr="00C67121" w:rsidRDefault="00C67121" w:rsidP="00C67121">
          <w:pPr>
            <w:spacing w:after="240"/>
            <w:rPr>
              <w:rFonts w:eastAsiaTheme="majorEastAsia"/>
            </w:rPr>
          </w:pPr>
          <w:r w:rsidRPr="00C67121">
            <w:rPr>
              <w:rFonts w:eastAsiaTheme="majorEastAsia"/>
            </w:rPr>
            <w:t xml:space="preserve">It is important to note that the potential use of peat, especially catotelmic peat, for construction or restoration is limited due to its physical characteristics. </w:t>
          </w:r>
          <w:proofErr w:type="gramStart"/>
          <w:r w:rsidRPr="00C67121">
            <w:rPr>
              <w:rFonts w:eastAsiaTheme="majorEastAsia"/>
            </w:rPr>
            <w:t>Generally speaking, acrotelmic</w:t>
          </w:r>
          <w:proofErr w:type="gramEnd"/>
          <w:r w:rsidRPr="00C67121">
            <w:rPr>
              <w:rFonts w:eastAsiaTheme="majorEastAsia"/>
            </w:rPr>
            <w:t xml:space="preserve"> peat may be suitable for use in various activities associated with the development that produced it, whereas there are very few opportunities to use catotelmic peat (generally peat below approximately 1m depth) in its excavated state due to its physical characteristics.</w:t>
          </w:r>
        </w:p>
        <w:p w14:paraId="4EB2EFA2" w14:textId="77777777" w:rsidR="00C67121" w:rsidRPr="00C67121" w:rsidRDefault="00C67121" w:rsidP="00C67121">
          <w:pPr>
            <w:spacing w:after="240"/>
            <w:rPr>
              <w:rFonts w:eastAsiaTheme="majorEastAsia"/>
            </w:rPr>
          </w:pPr>
          <w:r w:rsidRPr="00C67121">
            <w:rPr>
              <w:rFonts w:eastAsiaTheme="majorEastAsia"/>
            </w:rPr>
            <w:t xml:space="preserve">The fact that excavated peat can potentially be used within the site boundary is not sufficient </w:t>
          </w:r>
          <w:proofErr w:type="gramStart"/>
          <w:r w:rsidRPr="00C67121">
            <w:rPr>
              <w:rFonts w:eastAsiaTheme="majorEastAsia"/>
            </w:rPr>
            <w:t>in itself to</w:t>
          </w:r>
          <w:proofErr w:type="gramEnd"/>
          <w:r w:rsidRPr="00C67121">
            <w:rPr>
              <w:rFonts w:eastAsiaTheme="majorEastAsia"/>
            </w:rPr>
            <w:t xml:space="preserve"> say that it is not subject to regulatory control. Only where certain specific criteria are met will the proposed activity not be subject to waste regulatory controls. SEPA will require sufficient evidence from the developer to prove the use is genuine and not a waste disposal operation, e.g. evidence on the suitability of the peat and evidence that the quantity to be used matches, not exceeds, the requirement for the proposed use. </w:t>
          </w:r>
        </w:p>
        <w:p w14:paraId="41A0048D" w14:textId="77777777" w:rsidR="00C67121" w:rsidRPr="00C67121" w:rsidRDefault="00C67121" w:rsidP="00C67121">
          <w:pPr>
            <w:spacing w:after="240"/>
            <w:rPr>
              <w:rFonts w:eastAsiaTheme="majorEastAsia"/>
            </w:rPr>
          </w:pPr>
          <w:r w:rsidRPr="00C67121">
            <w:rPr>
              <w:rFonts w:eastAsiaTheme="majorEastAsia"/>
            </w:rPr>
            <w:t xml:space="preserve">Catotelmic peat generally has a </w:t>
          </w:r>
          <w:proofErr w:type="gramStart"/>
          <w:r w:rsidRPr="00C67121">
            <w:rPr>
              <w:rFonts w:eastAsiaTheme="majorEastAsia"/>
            </w:rPr>
            <w:t>high water</w:t>
          </w:r>
          <w:proofErr w:type="gramEnd"/>
          <w:r w:rsidRPr="00C67121">
            <w:rPr>
              <w:rFonts w:eastAsiaTheme="majorEastAsia"/>
            </w:rPr>
            <w:t xml:space="preserve"> content, approximately 90%, and very low tensile strength. </w:t>
          </w:r>
          <w:proofErr w:type="gramStart"/>
          <w:r w:rsidRPr="00C67121">
            <w:rPr>
              <w:rFonts w:eastAsiaTheme="majorEastAsia"/>
            </w:rPr>
            <w:t>Therefore</w:t>
          </w:r>
          <w:proofErr w:type="gramEnd"/>
          <w:r w:rsidRPr="00C67121">
            <w:rPr>
              <w:rFonts w:eastAsiaTheme="majorEastAsia"/>
            </w:rPr>
            <w:t xml:space="preserve"> in most cases, excavated catotelmic peat is unlikely to be suitable for any use on a construction site and will need to be taken off-site for recovery or disposal. However, each case must be determined on its merits.</w:t>
          </w:r>
        </w:p>
        <w:p w14:paraId="32DB61E0" w14:textId="77777777" w:rsidR="00C67121" w:rsidRPr="00C67121" w:rsidRDefault="00C67121" w:rsidP="00C67121">
          <w:pPr>
            <w:keepNext/>
            <w:keepLines/>
            <w:spacing w:after="240" w:line="276" w:lineRule="auto"/>
            <w:outlineLvl w:val="1"/>
            <w:rPr>
              <w:rFonts w:ascii="Arial" w:eastAsiaTheme="majorEastAsia" w:hAnsi="Arial" w:cstheme="majorBidi"/>
              <w:b/>
              <w:color w:val="016574" w:themeColor="accent2"/>
              <w:sz w:val="32"/>
              <w:szCs w:val="26"/>
            </w:rPr>
          </w:pPr>
          <w:bookmarkStart w:id="5" w:name="_Toc198220119"/>
          <w:proofErr w:type="spellStart"/>
          <w:r w:rsidRPr="00C67121">
            <w:rPr>
              <w:rFonts w:ascii="Arial" w:eastAsiaTheme="majorEastAsia" w:hAnsi="Arial" w:cstheme="majorBidi"/>
              <w:b/>
              <w:color w:val="016574" w:themeColor="accent2"/>
              <w:sz w:val="32"/>
              <w:szCs w:val="26"/>
            </w:rPr>
            <w:t>Off site</w:t>
          </w:r>
          <w:proofErr w:type="spellEnd"/>
          <w:r w:rsidRPr="00C67121">
            <w:rPr>
              <w:rFonts w:ascii="Arial" w:eastAsiaTheme="majorEastAsia" w:hAnsi="Arial" w:cstheme="majorBidi"/>
              <w:b/>
              <w:color w:val="016574" w:themeColor="accent2"/>
              <w:sz w:val="32"/>
              <w:szCs w:val="26"/>
            </w:rPr>
            <w:t xml:space="preserve"> options: Uses of peat &amp; recycling/recovery/treatment</w:t>
          </w:r>
          <w:bookmarkEnd w:id="5"/>
        </w:p>
        <w:p w14:paraId="2546A13F" w14:textId="77777777" w:rsidR="00C67121" w:rsidRPr="00C67121" w:rsidRDefault="00C67121" w:rsidP="00C67121">
          <w:pPr>
            <w:spacing w:after="240"/>
            <w:rPr>
              <w:rFonts w:eastAsiaTheme="majorEastAsia"/>
            </w:rPr>
          </w:pPr>
          <w:r w:rsidRPr="00C67121">
            <w:rPr>
              <w:rFonts w:eastAsiaTheme="majorEastAsia"/>
            </w:rPr>
            <w:t xml:space="preserve">After on-site uses have been exhausted, excavated waste peat may be suitable for use off-site. SEPA will expect intended off-site uses of excavated peat to be identified in the Peat Management Plan, including estimated volumes for each use, destination, final intended outcome and justification of suitability of the material and the need for the specified quantities of material. The use of waste peat off-site, including for peatland restoration, will require the appropriate level of environmental authorisation. </w:t>
          </w:r>
        </w:p>
        <w:p w14:paraId="21A4C3AF" w14:textId="77777777" w:rsidR="00C67121" w:rsidRPr="00C67121" w:rsidRDefault="00C67121" w:rsidP="00C67121">
          <w:pPr>
            <w:spacing w:after="240"/>
            <w:rPr>
              <w:rFonts w:eastAsiaTheme="majorEastAsia"/>
            </w:rPr>
          </w:pPr>
          <w:r w:rsidRPr="00C67121">
            <w:rPr>
              <w:rFonts w:eastAsiaTheme="majorEastAsia"/>
            </w:rPr>
            <w:lastRenderedPageBreak/>
            <w:t xml:space="preserve">SEPA’s preferred off-site use of excavated peat is for peatland restoration projects. Such uses will require an appropriate environmental authorisation. </w:t>
          </w:r>
          <w:proofErr w:type="gramStart"/>
          <w:r w:rsidRPr="00C67121">
            <w:rPr>
              <w:rFonts w:eastAsiaTheme="majorEastAsia"/>
            </w:rPr>
            <w:t>In order to</w:t>
          </w:r>
          <w:proofErr w:type="gramEnd"/>
          <w:r w:rsidRPr="00C67121">
            <w:rPr>
              <w:rFonts w:eastAsiaTheme="majorEastAsia"/>
            </w:rPr>
            <w:t xml:space="preserve"> determine whether there is a risk of environmental harm a </w:t>
          </w:r>
          <w:proofErr w:type="gramStart"/>
          <w:r w:rsidRPr="00C67121">
            <w:rPr>
              <w:rFonts w:eastAsiaTheme="majorEastAsia"/>
            </w:rPr>
            <w:t>site by site</w:t>
          </w:r>
          <w:proofErr w:type="gramEnd"/>
          <w:r w:rsidRPr="00C67121">
            <w:rPr>
              <w:rFonts w:eastAsiaTheme="majorEastAsia"/>
            </w:rPr>
            <w:t xml:space="preserve"> assessment of each restoration project will be made. The assessment will determine whether the type of peat is suitable for the purpose, that the amounts proposed do not exceed the amounts needed to complete the project and that the management methods are suitable. </w:t>
          </w:r>
        </w:p>
        <w:p w14:paraId="48F3C33A" w14:textId="77777777" w:rsidR="00C67121" w:rsidRPr="00C67121" w:rsidRDefault="00C67121" w:rsidP="00C67121">
          <w:pPr>
            <w:spacing w:after="240"/>
            <w:rPr>
              <w:rFonts w:eastAsiaTheme="majorEastAsia"/>
              <w:highlight w:val="yellow"/>
            </w:rPr>
          </w:pPr>
          <w:r w:rsidRPr="00C67121">
            <w:rPr>
              <w:rFonts w:eastAsiaTheme="majorEastAsia"/>
            </w:rPr>
            <w:t xml:space="preserve">There are </w:t>
          </w:r>
          <w:proofErr w:type="gramStart"/>
          <w:r w:rsidRPr="00C67121">
            <w:rPr>
              <w:rFonts w:eastAsiaTheme="majorEastAsia"/>
            </w:rPr>
            <w:t>a number of</w:t>
          </w:r>
          <w:proofErr w:type="gramEnd"/>
          <w:r w:rsidRPr="00C67121">
            <w:rPr>
              <w:rFonts w:eastAsiaTheme="majorEastAsia"/>
            </w:rPr>
            <w:t xml:space="preserve"> uses of excavated waste peat that are supported by the waste regulations. Waste peat will be controlled under the Environmental Protection Act 1990 and the Environmental Authorisations (Scotland) Regulations 2018 (the EASR). </w:t>
          </w:r>
        </w:p>
        <w:p w14:paraId="4A9559D1" w14:textId="77777777" w:rsidR="00C67121" w:rsidRPr="00C67121" w:rsidRDefault="00C67121" w:rsidP="00C67121">
          <w:pPr>
            <w:spacing w:after="240"/>
            <w:rPr>
              <w:rFonts w:eastAsiaTheme="majorEastAsia"/>
            </w:rPr>
          </w:pPr>
          <w:r w:rsidRPr="00C67121">
            <w:rPr>
              <w:rFonts w:eastAsiaTheme="majorEastAsia"/>
            </w:rPr>
            <w:t>The table below outlines the main activities that allow the use of waste peat falling under the EWC code 17 05 04.</w:t>
          </w:r>
        </w:p>
        <w:tbl>
          <w:tblPr>
            <w:tblStyle w:val="TableGrid"/>
            <w:tblW w:w="0" w:type="auto"/>
            <w:tblLook w:val="04A0" w:firstRow="1" w:lastRow="0" w:firstColumn="1" w:lastColumn="0" w:noHBand="0" w:noVBand="1"/>
          </w:tblPr>
          <w:tblGrid>
            <w:gridCol w:w="710"/>
            <w:gridCol w:w="6941"/>
            <w:gridCol w:w="2561"/>
          </w:tblGrid>
          <w:tr w:rsidR="008E1CE4" w:rsidRPr="00C67121" w14:paraId="5C732111" w14:textId="77777777" w:rsidTr="008E1CE4">
            <w:trPr>
              <w:cantSplit/>
              <w:tblHeader/>
            </w:trPr>
            <w:tc>
              <w:tcPr>
                <w:tcW w:w="704" w:type="dxa"/>
                <w:shd w:val="clear" w:color="auto" w:fill="016574" w:themeFill="accent5"/>
              </w:tcPr>
              <w:p w14:paraId="5EA38748" w14:textId="77777777" w:rsidR="00C67121" w:rsidRPr="00C67121" w:rsidRDefault="00C67121" w:rsidP="00C67121">
                <w:pPr>
                  <w:spacing w:after="240"/>
                  <w:rPr>
                    <w:rFonts w:eastAsiaTheme="majorEastAsia"/>
                    <w:b/>
                    <w:bCs/>
                    <w:color w:val="FFFFFF" w:themeColor="background1"/>
                  </w:rPr>
                </w:pPr>
                <w:r w:rsidRPr="00C67121">
                  <w:rPr>
                    <w:rFonts w:eastAsiaTheme="majorEastAsia"/>
                    <w:b/>
                    <w:bCs/>
                    <w:color w:val="FFFFFF" w:themeColor="background1"/>
                  </w:rPr>
                  <w:t>Item</w:t>
                </w:r>
              </w:p>
            </w:tc>
            <w:tc>
              <w:tcPr>
                <w:tcW w:w="6946" w:type="dxa"/>
                <w:shd w:val="clear" w:color="auto" w:fill="016574" w:themeFill="accent5"/>
              </w:tcPr>
              <w:p w14:paraId="4289C5A0" w14:textId="77777777" w:rsidR="00C67121" w:rsidRPr="00C67121" w:rsidRDefault="00C67121" w:rsidP="00C67121">
                <w:pPr>
                  <w:spacing w:after="240"/>
                  <w:rPr>
                    <w:rFonts w:eastAsiaTheme="majorEastAsia"/>
                    <w:b/>
                    <w:bCs/>
                    <w:color w:val="FFFFFF" w:themeColor="background1"/>
                  </w:rPr>
                </w:pPr>
                <w:r w:rsidRPr="00C67121">
                  <w:rPr>
                    <w:rFonts w:eastAsiaTheme="majorEastAsia"/>
                    <w:b/>
                    <w:bCs/>
                    <w:color w:val="FFFFFF" w:themeColor="background1"/>
                  </w:rPr>
                  <w:t>Type of Activity</w:t>
                </w:r>
              </w:p>
            </w:tc>
            <w:tc>
              <w:tcPr>
                <w:tcW w:w="2562" w:type="dxa"/>
                <w:shd w:val="clear" w:color="auto" w:fill="016574" w:themeFill="accent5"/>
              </w:tcPr>
              <w:p w14:paraId="3A6F5741" w14:textId="77777777" w:rsidR="00C67121" w:rsidRPr="00C67121" w:rsidRDefault="00C67121" w:rsidP="00C67121">
                <w:pPr>
                  <w:spacing w:after="240"/>
                  <w:rPr>
                    <w:rFonts w:eastAsiaTheme="majorEastAsia"/>
                    <w:b/>
                    <w:bCs/>
                    <w:color w:val="FFFFFF" w:themeColor="background1"/>
                  </w:rPr>
                </w:pPr>
                <w:r w:rsidRPr="00C67121">
                  <w:rPr>
                    <w:rFonts w:eastAsiaTheme="majorEastAsia"/>
                    <w:b/>
                    <w:bCs/>
                    <w:color w:val="FFFFFF" w:themeColor="background1"/>
                  </w:rPr>
                  <w:t>Type of Authorisation</w:t>
                </w:r>
              </w:p>
            </w:tc>
          </w:tr>
          <w:tr w:rsidR="00C67121" w:rsidRPr="00C67121" w14:paraId="5A69FDCB" w14:textId="77777777" w:rsidTr="004C1471">
            <w:tc>
              <w:tcPr>
                <w:tcW w:w="704" w:type="dxa"/>
              </w:tcPr>
              <w:p w14:paraId="47C87BD1" w14:textId="77777777" w:rsidR="00C67121" w:rsidRPr="00C67121" w:rsidRDefault="00C67121" w:rsidP="00C67121">
                <w:pPr>
                  <w:spacing w:after="240"/>
                  <w:rPr>
                    <w:rFonts w:eastAsiaTheme="majorEastAsia"/>
                  </w:rPr>
                </w:pPr>
                <w:r w:rsidRPr="00C67121">
                  <w:rPr>
                    <w:rFonts w:eastAsiaTheme="majorEastAsia"/>
                  </w:rPr>
                  <w:t>A</w:t>
                </w:r>
              </w:p>
            </w:tc>
            <w:tc>
              <w:tcPr>
                <w:tcW w:w="6946" w:type="dxa"/>
              </w:tcPr>
              <w:p w14:paraId="7142D751" w14:textId="77777777" w:rsidR="00C67121" w:rsidRPr="00C67121" w:rsidRDefault="00C67121" w:rsidP="00C67121">
                <w:pPr>
                  <w:spacing w:after="240"/>
                  <w:rPr>
                    <w:rFonts w:eastAsiaTheme="majorEastAsia"/>
                  </w:rPr>
                </w:pPr>
                <w:r w:rsidRPr="00C67121">
                  <w:t>Use of less than, or equal to, 100,000 tonnes of waste in construction, restoration, reclamation, and land improvement projects.</w:t>
                </w:r>
              </w:p>
            </w:tc>
            <w:tc>
              <w:tcPr>
                <w:tcW w:w="2562" w:type="dxa"/>
              </w:tcPr>
              <w:p w14:paraId="2C4B28D3" w14:textId="77777777" w:rsidR="00C67121" w:rsidRPr="00C67121" w:rsidRDefault="00C67121" w:rsidP="00C67121">
                <w:pPr>
                  <w:spacing w:after="240"/>
                  <w:rPr>
                    <w:rFonts w:eastAsiaTheme="majorEastAsia"/>
                  </w:rPr>
                </w:pPr>
                <w:r w:rsidRPr="00C67121">
                  <w:rPr>
                    <w:rFonts w:eastAsiaTheme="majorEastAsia"/>
                  </w:rPr>
                  <w:t>Registration</w:t>
                </w:r>
              </w:p>
            </w:tc>
          </w:tr>
          <w:tr w:rsidR="00C67121" w:rsidRPr="00C67121" w14:paraId="47331E48" w14:textId="77777777" w:rsidTr="004C1471">
            <w:tc>
              <w:tcPr>
                <w:tcW w:w="704" w:type="dxa"/>
              </w:tcPr>
              <w:p w14:paraId="2F3A381A" w14:textId="77777777" w:rsidR="00C67121" w:rsidRPr="00C67121" w:rsidRDefault="00C67121" w:rsidP="00C67121">
                <w:pPr>
                  <w:spacing w:after="240"/>
                  <w:rPr>
                    <w:rFonts w:eastAsiaTheme="majorEastAsia"/>
                  </w:rPr>
                </w:pPr>
                <w:r w:rsidRPr="00C67121">
                  <w:rPr>
                    <w:rFonts w:eastAsiaTheme="majorEastAsia"/>
                  </w:rPr>
                  <w:t>B</w:t>
                </w:r>
              </w:p>
            </w:tc>
            <w:tc>
              <w:tcPr>
                <w:tcW w:w="6946" w:type="dxa"/>
              </w:tcPr>
              <w:p w14:paraId="678711BD" w14:textId="77777777" w:rsidR="00C67121" w:rsidRPr="00C67121" w:rsidRDefault="00C67121" w:rsidP="00C67121">
                <w:pPr>
                  <w:spacing w:after="240"/>
                  <w:rPr>
                    <w:rFonts w:eastAsiaTheme="majorEastAsia"/>
                  </w:rPr>
                </w:pPr>
                <w:r w:rsidRPr="00C67121">
                  <w:rPr>
                    <w:rFonts w:eastAsiaTheme="majorEastAsia"/>
                  </w:rPr>
                  <w:t>Use of over 100,000 tonnes of waste in construction, restoration, reclamation, and land improvement projects.</w:t>
                </w:r>
              </w:p>
            </w:tc>
            <w:tc>
              <w:tcPr>
                <w:tcW w:w="2562" w:type="dxa"/>
              </w:tcPr>
              <w:p w14:paraId="43C066C3" w14:textId="77777777" w:rsidR="00C67121" w:rsidRPr="00C67121" w:rsidRDefault="00C67121" w:rsidP="00C67121">
                <w:pPr>
                  <w:spacing w:after="240"/>
                  <w:rPr>
                    <w:rFonts w:eastAsiaTheme="majorEastAsia"/>
                  </w:rPr>
                </w:pPr>
                <w:r w:rsidRPr="00C67121">
                  <w:rPr>
                    <w:rFonts w:eastAsiaTheme="majorEastAsia"/>
                  </w:rPr>
                  <w:t>Permit</w:t>
                </w:r>
              </w:p>
            </w:tc>
          </w:tr>
        </w:tbl>
        <w:p w14:paraId="0F1D8906" w14:textId="77777777" w:rsidR="00C67121" w:rsidRPr="00C67121" w:rsidRDefault="00C67121" w:rsidP="00C67121">
          <w:pPr>
            <w:spacing w:after="240"/>
          </w:pPr>
        </w:p>
        <w:p w14:paraId="7B1E6EFD" w14:textId="77777777" w:rsidR="00C67121" w:rsidRPr="00C67121" w:rsidRDefault="00C67121" w:rsidP="00C67121">
          <w:pPr>
            <w:spacing w:after="240"/>
          </w:pPr>
          <w:r w:rsidRPr="00C67121">
            <w:t xml:space="preserve">Authorisations relating to waste peat will only be granted if the physical nature of the peat is suitable for that use and the use is lawful, including a legitimate need for the activity and the use of the appropriate tonnage of peat to deliver benefit to agriculture or ecological improvement. </w:t>
          </w:r>
        </w:p>
        <w:p w14:paraId="5994C882" w14:textId="77777777" w:rsidR="00C67121" w:rsidRPr="00C67121" w:rsidRDefault="00C67121" w:rsidP="00C67121">
          <w:pPr>
            <w:spacing w:after="240"/>
          </w:pPr>
          <w:r w:rsidRPr="00C67121">
            <w:t xml:space="preserve">Proposals to carry out any </w:t>
          </w:r>
          <w:proofErr w:type="gramStart"/>
          <w:r w:rsidRPr="00C67121">
            <w:t>off site</w:t>
          </w:r>
          <w:proofErr w:type="gramEnd"/>
          <w:r w:rsidRPr="00C67121">
            <w:t xml:space="preserve"> use/recycling/recovery/treatment activity should be discussed with the local SEPA team prior to the activity commencing, to ensure that any relevant authorisations are in place before the activity commences. </w:t>
          </w:r>
        </w:p>
        <w:p w14:paraId="3BDD12F2" w14:textId="77777777" w:rsidR="00C67121" w:rsidRPr="00C67121" w:rsidRDefault="00C67121" w:rsidP="00C67121">
          <w:pPr>
            <w:keepNext/>
            <w:keepLines/>
            <w:spacing w:after="240" w:line="276" w:lineRule="auto"/>
            <w:outlineLvl w:val="1"/>
            <w:rPr>
              <w:rFonts w:ascii="Arial" w:eastAsiaTheme="majorEastAsia" w:hAnsi="Arial" w:cstheme="majorBidi"/>
              <w:b/>
              <w:color w:val="016574" w:themeColor="accent2"/>
              <w:sz w:val="32"/>
              <w:szCs w:val="26"/>
            </w:rPr>
          </w:pPr>
          <w:bookmarkStart w:id="6" w:name="_Toc198220120"/>
          <w:r w:rsidRPr="00C67121">
            <w:rPr>
              <w:rFonts w:ascii="Arial" w:eastAsiaTheme="majorEastAsia" w:hAnsi="Arial" w:cstheme="majorBidi"/>
              <w:b/>
              <w:color w:val="016574" w:themeColor="accent2"/>
              <w:sz w:val="32"/>
              <w:szCs w:val="26"/>
            </w:rPr>
            <w:lastRenderedPageBreak/>
            <w:t>Storage</w:t>
          </w:r>
          <w:bookmarkEnd w:id="6"/>
          <w:r w:rsidRPr="00C67121">
            <w:rPr>
              <w:rFonts w:ascii="Arial" w:eastAsiaTheme="majorEastAsia" w:hAnsi="Arial" w:cstheme="majorBidi"/>
              <w:b/>
              <w:color w:val="016574" w:themeColor="accent2"/>
              <w:sz w:val="32"/>
              <w:szCs w:val="26"/>
            </w:rPr>
            <w:t xml:space="preserve"> </w:t>
          </w:r>
        </w:p>
        <w:p w14:paraId="2B2CA116" w14:textId="77777777" w:rsidR="00C67121" w:rsidRPr="00C67121" w:rsidRDefault="00C67121" w:rsidP="00C67121">
          <w:pPr>
            <w:spacing w:after="240"/>
          </w:pPr>
          <w:r w:rsidRPr="00C67121">
            <w:t xml:space="preserve">Well managed temporary storage of excavated waste peat at the excavation site will not require authorisation from SEPA. However, care must be taken to ensure that storage does not cause environmental pollution. For example, highly organic materials such as peat can have a devastating impact on watercourses if they wash off from storage areas. It is also important to use peat as soon as possible after excavation (to minimise the exposure of peat to the air) and to maintain moisture conditions in peat to keep carbon losses to a minimum. If excavated peat is stockpiled with no certainty of use or becomes unsuitable for use for any reason it will be classed as waste and an authorisation will be required. </w:t>
          </w:r>
        </w:p>
        <w:p w14:paraId="6A2C944B" w14:textId="77777777" w:rsidR="00C67121" w:rsidRPr="00C67121" w:rsidRDefault="00C67121" w:rsidP="00C67121">
          <w:pPr>
            <w:spacing w:after="240"/>
          </w:pPr>
          <w:r w:rsidRPr="00C67121">
            <w:t xml:space="preserve">The storage of waste peat off-site will require an environmental authorisation. </w:t>
          </w:r>
        </w:p>
        <w:p w14:paraId="4B41F024" w14:textId="77777777" w:rsidR="00C67121" w:rsidRPr="00C67121" w:rsidRDefault="00C67121" w:rsidP="00C67121">
          <w:pPr>
            <w:spacing w:after="240"/>
          </w:pPr>
          <w:r w:rsidRPr="00C67121">
            <w:t xml:space="preserve">If waste peat is stored on or off site, prior to treatment or recovery, for more than three years (or where storage prior to disposal is for more than one year) then this is likely to constitute a </w:t>
          </w:r>
          <w:proofErr w:type="gramStart"/>
          <w:r w:rsidRPr="00C67121">
            <w:t>landfill</w:t>
          </w:r>
          <w:proofErr w:type="gramEnd"/>
          <w:r w:rsidRPr="00C67121">
            <w:t xml:space="preserve"> and a permit will be required.</w:t>
          </w:r>
        </w:p>
        <w:p w14:paraId="3BA66853" w14:textId="77777777" w:rsidR="00C67121" w:rsidRPr="00C67121" w:rsidRDefault="00C67121" w:rsidP="00C67121">
          <w:pPr>
            <w:keepNext/>
            <w:keepLines/>
            <w:spacing w:after="240" w:line="276" w:lineRule="auto"/>
            <w:outlineLvl w:val="1"/>
            <w:rPr>
              <w:rFonts w:ascii="Arial" w:eastAsiaTheme="majorEastAsia" w:hAnsi="Arial" w:cstheme="majorBidi"/>
              <w:b/>
              <w:color w:val="016574" w:themeColor="accent2"/>
              <w:sz w:val="32"/>
              <w:szCs w:val="26"/>
            </w:rPr>
          </w:pPr>
          <w:bookmarkStart w:id="7" w:name="_Toc198220121"/>
          <w:r w:rsidRPr="00C67121">
            <w:rPr>
              <w:rFonts w:ascii="Arial" w:eastAsiaTheme="majorEastAsia" w:hAnsi="Arial" w:cstheme="majorBidi"/>
              <w:b/>
              <w:color w:val="016574" w:themeColor="accent2"/>
              <w:sz w:val="32"/>
              <w:szCs w:val="26"/>
            </w:rPr>
            <w:t>Disposal</w:t>
          </w:r>
          <w:bookmarkEnd w:id="7"/>
        </w:p>
        <w:p w14:paraId="79FD0A6C" w14:textId="000B4860" w:rsidR="00C67121" w:rsidRPr="00C67121" w:rsidRDefault="00C67121" w:rsidP="00C67121">
          <w:pPr>
            <w:spacing w:after="240"/>
          </w:pPr>
          <w:r w:rsidRPr="00C67121">
            <w:t xml:space="preserve"> Disposal of peat, particularly catotelmic peat, can lead to </w:t>
          </w:r>
          <w:proofErr w:type="gramStart"/>
          <w:r w:rsidRPr="00C67121">
            <w:t>a number of</w:t>
          </w:r>
          <w:proofErr w:type="gramEnd"/>
          <w:r w:rsidRPr="00C67121">
            <w:t xml:space="preserve"> issues due to its very low tensile strength and </w:t>
          </w:r>
          <w:proofErr w:type="gramStart"/>
          <w:r w:rsidRPr="00C67121">
            <w:t>high water</w:t>
          </w:r>
          <w:proofErr w:type="gramEnd"/>
          <w:r w:rsidRPr="00C67121">
            <w:t xml:space="preserve"> content</w:t>
          </w:r>
          <w:r w:rsidR="00DA630C">
            <w:t>, for example:</w:t>
          </w:r>
          <w:r w:rsidRPr="00C67121">
            <w:t xml:space="preserve"> </w:t>
          </w:r>
        </w:p>
        <w:p w14:paraId="7B85BC01" w14:textId="0D447F5D" w:rsidR="00C67121" w:rsidRPr="00C67121" w:rsidRDefault="00C67121" w:rsidP="00DA630C">
          <w:pPr>
            <w:pStyle w:val="ListParagraph"/>
            <w:numPr>
              <w:ilvl w:val="0"/>
              <w:numId w:val="23"/>
            </w:numPr>
            <w:spacing w:after="240"/>
            <w:ind w:left="714" w:hanging="357"/>
            <w:contextualSpacing w:val="0"/>
          </w:pPr>
          <w:r w:rsidRPr="00C67121">
            <w:t>It is likely to have a very low load bearing capacity, making it a hazard to people or animals walking on it</w:t>
          </w:r>
          <w:r w:rsidR="00DA630C">
            <w:t>.</w:t>
          </w:r>
          <w:r w:rsidRPr="00C67121">
            <w:t xml:space="preserve"> </w:t>
          </w:r>
        </w:p>
        <w:p w14:paraId="548A6C6C" w14:textId="283B4A96" w:rsidR="00C67121" w:rsidRPr="00C67121" w:rsidRDefault="00C67121" w:rsidP="00DA630C">
          <w:pPr>
            <w:pStyle w:val="ListParagraph"/>
            <w:numPr>
              <w:ilvl w:val="0"/>
              <w:numId w:val="23"/>
            </w:numPr>
            <w:spacing w:after="240"/>
            <w:ind w:left="714" w:hanging="357"/>
            <w:contextualSpacing w:val="0"/>
          </w:pPr>
          <w:r w:rsidRPr="00C67121">
            <w:t>Slides or movement are highly likely and can be caused by heavy rainfall</w:t>
          </w:r>
          <w:r w:rsidR="00DA630C">
            <w:t>.</w:t>
          </w:r>
          <w:r w:rsidRPr="00C67121">
            <w:t xml:space="preserve"> </w:t>
          </w:r>
        </w:p>
        <w:p w14:paraId="5D6E4107" w14:textId="11A45512" w:rsidR="00C67121" w:rsidRPr="00C67121" w:rsidRDefault="00C67121" w:rsidP="00DA630C">
          <w:pPr>
            <w:pStyle w:val="ListParagraph"/>
            <w:numPr>
              <w:ilvl w:val="0"/>
              <w:numId w:val="23"/>
            </w:numPr>
            <w:spacing w:after="240"/>
            <w:ind w:left="714" w:hanging="357"/>
            <w:contextualSpacing w:val="0"/>
          </w:pPr>
          <w:r w:rsidRPr="00C67121">
            <w:t xml:space="preserve">Potential for contaminated run-off. </w:t>
          </w:r>
        </w:p>
        <w:p w14:paraId="69C1828E" w14:textId="77777777" w:rsidR="00C67121" w:rsidRPr="00C67121" w:rsidRDefault="00C67121" w:rsidP="00C67121">
          <w:pPr>
            <w:spacing w:after="240"/>
          </w:pPr>
          <w:r w:rsidRPr="00C67121">
            <w:t xml:space="preserve">Peat arising and requiring management as a waste within a development will require characterisation and consideration of its condition upon excavation. The propensity of the waste peat to flow will be a key characteristic in determining whether it can be landfilled i.e. if it is classified as a </w:t>
          </w:r>
          <w:proofErr w:type="gramStart"/>
          <w:r w:rsidRPr="00C67121">
            <w:t>liquid</w:t>
          </w:r>
          <w:proofErr w:type="gramEnd"/>
          <w:r w:rsidRPr="00C67121">
            <w:t xml:space="preserve"> it cannot be landfilled without some form of pre-treatment. </w:t>
          </w:r>
        </w:p>
        <w:p w14:paraId="3FBA79B2" w14:textId="77777777" w:rsidR="00C67121" w:rsidRDefault="00C67121" w:rsidP="00C67121">
          <w:pPr>
            <w:spacing w:after="240"/>
            <w:rPr>
              <w:rFonts w:eastAsiaTheme="majorEastAsia"/>
            </w:rPr>
          </w:pPr>
          <w:r w:rsidRPr="00C67121">
            <w:t xml:space="preserve">Where landfill on-site is identified as the preferred option for the disposal of waste peat it will be necessary to obtain a permit from SEPA prior to the commencement of any landfill operations </w:t>
          </w:r>
          <w:r w:rsidRPr="00C67121">
            <w:lastRenderedPageBreak/>
            <w:t>on-site. In such cases the operator should contact their local SEPA office to discuss their proposals.</w:t>
          </w:r>
        </w:p>
      </w:sdtContent>
    </w:sdt>
    <w:p w14:paraId="79F06F1C" w14:textId="115AD100" w:rsidR="00C67121" w:rsidRPr="00C67121" w:rsidRDefault="00C67121" w:rsidP="00C67121">
      <w:pPr>
        <w:keepNext/>
        <w:keepLines/>
        <w:spacing w:after="240" w:line="276" w:lineRule="auto"/>
        <w:outlineLvl w:val="1"/>
        <w:rPr>
          <w:rFonts w:ascii="Arial" w:eastAsiaTheme="majorEastAsia" w:hAnsi="Arial" w:cstheme="majorBidi"/>
          <w:b/>
          <w:color w:val="016574" w:themeColor="accent2"/>
          <w:sz w:val="32"/>
          <w:szCs w:val="26"/>
        </w:rPr>
      </w:pPr>
      <w:bookmarkStart w:id="8" w:name="_Toc198220122"/>
      <w:r w:rsidRPr="00C67121">
        <w:rPr>
          <w:rFonts w:ascii="Arial" w:eastAsiaTheme="majorEastAsia" w:hAnsi="Arial" w:cstheme="majorBidi"/>
          <w:b/>
          <w:color w:val="016574" w:themeColor="accent2"/>
          <w:sz w:val="32"/>
          <w:szCs w:val="26"/>
        </w:rPr>
        <w:t>Di</w:t>
      </w:r>
      <w:r>
        <w:rPr>
          <w:rFonts w:ascii="Arial" w:eastAsiaTheme="majorEastAsia" w:hAnsi="Arial" w:cstheme="majorBidi"/>
          <w:b/>
          <w:color w:val="016574" w:themeColor="accent2"/>
          <w:sz w:val="32"/>
          <w:szCs w:val="26"/>
        </w:rPr>
        <w:t>sclaimer</w:t>
      </w:r>
      <w:bookmarkEnd w:id="8"/>
    </w:p>
    <w:p w14:paraId="308D11FC" w14:textId="77777777" w:rsidR="00191B7A" w:rsidRPr="004F42A0" w:rsidRDefault="00191B7A" w:rsidP="00191B7A">
      <w:pPr>
        <w:spacing w:after="240"/>
        <w:rPr>
          <w:rFonts w:ascii="Arial" w:eastAsiaTheme="majorEastAsia" w:hAnsi="Arial" w:cs="Arial"/>
          <w:color w:val="0B0C0C"/>
          <w:shd w:val="clear" w:color="auto" w:fill="FFFFFF"/>
          <w:lang w:eastAsia="en-GB"/>
        </w:rPr>
      </w:pPr>
      <w:r w:rsidRPr="004F42A0">
        <w:rPr>
          <w:rFonts w:ascii="Arial" w:eastAsiaTheme="majorEastAsia" w:hAnsi="Arial" w:cs="Arial"/>
          <w:color w:val="0B0C0C"/>
          <w:shd w:val="clear" w:color="auto" w:fill="FFFFFF"/>
          <w:lang w:eastAsia="en-GB"/>
        </w:rPr>
        <w:t xml:space="preserve">This guidance is based on the law as it stood when the guidance was published. </w:t>
      </w:r>
    </w:p>
    <w:p w14:paraId="2EF7B170" w14:textId="77777777" w:rsidR="00191B7A" w:rsidRPr="004F42A0" w:rsidRDefault="00191B7A" w:rsidP="00191B7A">
      <w:pPr>
        <w:spacing w:after="240"/>
        <w:rPr>
          <w:rFonts w:ascii="Arial" w:eastAsiaTheme="majorEastAsia" w:hAnsi="Arial" w:cs="Arial"/>
          <w:color w:val="0B0C0C"/>
          <w:shd w:val="clear" w:color="auto" w:fill="FFFFFF"/>
          <w:lang w:eastAsia="en-GB"/>
        </w:rPr>
      </w:pPr>
      <w:r w:rsidRPr="004F42A0">
        <w:rPr>
          <w:rFonts w:ascii="Arial" w:eastAsiaTheme="majorEastAsia" w:hAnsi="Arial" w:cs="Arial"/>
          <w:color w:val="0B0C0C"/>
          <w:shd w:val="clear" w:color="auto" w:fill="FFFFFF"/>
          <w:lang w:eastAsia="en-GB"/>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6F5ED4B3" w14:textId="77777777" w:rsidR="00191B7A" w:rsidRPr="004F42A0" w:rsidRDefault="00191B7A" w:rsidP="00191B7A">
      <w:pPr>
        <w:numPr>
          <w:ilvl w:val="0"/>
          <w:numId w:val="24"/>
        </w:numPr>
        <w:spacing w:after="240"/>
        <w:rPr>
          <w:rFonts w:ascii="Arial" w:eastAsiaTheme="majorEastAsia" w:hAnsi="Arial" w:cs="Arial"/>
          <w:color w:val="0B0C0C"/>
          <w:shd w:val="clear" w:color="auto" w:fill="FFFFFF"/>
          <w:lang w:eastAsia="en-GB"/>
        </w:rPr>
      </w:pPr>
      <w:r w:rsidRPr="004F42A0">
        <w:rPr>
          <w:rFonts w:ascii="Arial" w:eastAsiaTheme="majorEastAsia" w:hAnsi="Arial" w:cs="Arial"/>
          <w:color w:val="0B0C0C"/>
          <w:shd w:val="clear" w:color="auto" w:fill="FFFFFF"/>
          <w:lang w:eastAsia="en-GB"/>
        </w:rPr>
        <w:t>any direct, indirect and consequential losses</w:t>
      </w:r>
    </w:p>
    <w:p w14:paraId="2412CE04" w14:textId="77777777" w:rsidR="00191B7A" w:rsidRPr="004F42A0" w:rsidRDefault="00191B7A" w:rsidP="00191B7A">
      <w:pPr>
        <w:numPr>
          <w:ilvl w:val="0"/>
          <w:numId w:val="24"/>
        </w:numPr>
        <w:spacing w:after="240"/>
        <w:rPr>
          <w:rFonts w:ascii="Arial" w:eastAsiaTheme="majorEastAsia" w:hAnsi="Arial" w:cs="Arial"/>
          <w:color w:val="0B0C0C"/>
          <w:shd w:val="clear" w:color="auto" w:fill="FFFFFF"/>
          <w:lang w:eastAsia="en-GB"/>
        </w:rPr>
      </w:pPr>
      <w:r w:rsidRPr="004F42A0">
        <w:rPr>
          <w:rFonts w:ascii="Arial" w:eastAsiaTheme="majorEastAsia" w:hAnsi="Arial" w:cs="Arial"/>
          <w:color w:val="0B0C0C"/>
          <w:shd w:val="clear" w:color="auto" w:fill="FFFFFF"/>
          <w:lang w:eastAsia="en-GB"/>
        </w:rPr>
        <w:t>any loss or damage caused by civil wrongs, breach of contract or otherwise</w:t>
      </w:r>
    </w:p>
    <w:p w14:paraId="00763404" w14:textId="77777777" w:rsidR="00191B7A" w:rsidRPr="004F42A0" w:rsidRDefault="00191B7A" w:rsidP="00191B7A">
      <w:pPr>
        <w:spacing w:after="240"/>
        <w:rPr>
          <w:rFonts w:ascii="Arial" w:eastAsiaTheme="majorEastAsia" w:hAnsi="Arial" w:cs="Arial"/>
          <w:color w:val="0B0C0C"/>
          <w:shd w:val="clear" w:color="auto" w:fill="FFFFFF"/>
          <w:lang w:eastAsia="en-GB"/>
        </w:rPr>
      </w:pPr>
      <w:r w:rsidRPr="004F42A0">
        <w:rPr>
          <w:rFonts w:ascii="Arial" w:eastAsiaTheme="majorEastAsia" w:hAnsi="Arial" w:cs="Arial"/>
          <w:color w:val="0B0C0C"/>
          <w:shd w:val="clear" w:color="auto" w:fill="FFFFFF"/>
          <w:lang w:eastAsia="en-GB"/>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229D9EDD" w14:textId="77777777" w:rsidR="00C67121" w:rsidRPr="00C67121" w:rsidRDefault="00C67121" w:rsidP="00C67121">
      <w:pPr>
        <w:spacing w:after="240"/>
        <w:rPr>
          <w:rFonts w:eastAsiaTheme="majorEastAsia"/>
        </w:rPr>
      </w:pPr>
    </w:p>
    <w:sectPr w:rsidR="00C67121" w:rsidRPr="00C67121" w:rsidSect="00F13324">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35F0" w14:textId="77777777" w:rsidR="00301A47" w:rsidRDefault="00301A47" w:rsidP="00660C79">
      <w:pPr>
        <w:spacing w:line="240" w:lineRule="auto"/>
      </w:pPr>
      <w:r>
        <w:separator/>
      </w:r>
    </w:p>
  </w:endnote>
  <w:endnote w:type="continuationSeparator" w:id="0">
    <w:p w14:paraId="7356DE45" w14:textId="77777777" w:rsidR="00301A47" w:rsidRDefault="00301A47" w:rsidP="00660C79">
      <w:pPr>
        <w:spacing w:line="240" w:lineRule="auto"/>
      </w:pPr>
      <w:r>
        <w:continuationSeparator/>
      </w:r>
    </w:p>
  </w:endnote>
  <w:endnote w:type="continuationNotice" w:id="1">
    <w:p w14:paraId="3BF5190E" w14:textId="77777777" w:rsidR="00301A47" w:rsidRDefault="00301A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3DBA"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1EE8E88" wp14:editId="27DEC6C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D063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E8E8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FFD063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818D155"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B2350C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DFC36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1C59"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287BC1AA" wp14:editId="2EC171A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5DDC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BC1AA"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335DDC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4896DA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E31AD71" wp14:editId="62D7B47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47C6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73F978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A4C7F2" w14:textId="77777777" w:rsidR="00917BB1" w:rsidRDefault="00917BB1" w:rsidP="00917BB1">
    <w:pPr>
      <w:pStyle w:val="Footer"/>
      <w:ind w:right="360"/>
    </w:pPr>
    <w:r>
      <w:rPr>
        <w:noProof/>
      </w:rPr>
      <w:drawing>
        <wp:inline distT="0" distB="0" distL="0" distR="0" wp14:anchorId="0833596E" wp14:editId="34FA91C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AC89"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9E915E1" wp14:editId="0DF93DD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2464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915E1"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8D2464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F6B2" w14:textId="77777777" w:rsidR="00301A47" w:rsidRDefault="00301A47" w:rsidP="00660C79">
      <w:pPr>
        <w:spacing w:line="240" w:lineRule="auto"/>
      </w:pPr>
      <w:r>
        <w:separator/>
      </w:r>
    </w:p>
  </w:footnote>
  <w:footnote w:type="continuationSeparator" w:id="0">
    <w:p w14:paraId="358CFFC4" w14:textId="77777777" w:rsidR="00301A47" w:rsidRDefault="00301A47" w:rsidP="00660C79">
      <w:pPr>
        <w:spacing w:line="240" w:lineRule="auto"/>
      </w:pPr>
      <w:r>
        <w:continuationSeparator/>
      </w:r>
    </w:p>
  </w:footnote>
  <w:footnote w:type="continuationNotice" w:id="1">
    <w:p w14:paraId="21655418" w14:textId="77777777" w:rsidR="00301A47" w:rsidRDefault="00301A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B60E"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59DB90EE" wp14:editId="5753DF5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3192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B90E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53192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1041" w14:textId="2D2AB41C"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7AAECA2" wp14:editId="0344E44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D1AC7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AECA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ED1AC7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2A39A3" w:rsidRPr="002A39A3">
      <w:t xml:space="preserve"> </w:t>
    </w:r>
    <w:r w:rsidR="002A39A3" w:rsidRPr="002A39A3">
      <w:rPr>
        <w:color w:val="6E7571" w:themeColor="text2"/>
      </w:rPr>
      <w:t>Developments on peat and off-site uses of waste peat</w:t>
    </w:r>
  </w:p>
  <w:p w14:paraId="47CC385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4F596EA" wp14:editId="5CAB47C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2AFF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4799"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0BB73758" wp14:editId="0ED2D95A">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3ECF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73758"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D3ECF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42CC4"/>
    <w:multiLevelType w:val="hybridMultilevel"/>
    <w:tmpl w:val="0DC2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E7FCE"/>
    <w:multiLevelType w:val="hybridMultilevel"/>
    <w:tmpl w:val="898E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03848"/>
    <w:multiLevelType w:val="hybridMultilevel"/>
    <w:tmpl w:val="DB5A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5601E"/>
    <w:multiLevelType w:val="hybridMultilevel"/>
    <w:tmpl w:val="4DE2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75F50"/>
    <w:multiLevelType w:val="hybridMultilevel"/>
    <w:tmpl w:val="B38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F11A5"/>
    <w:multiLevelType w:val="hybridMultilevel"/>
    <w:tmpl w:val="71F8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16093"/>
    <w:multiLevelType w:val="hybridMultilevel"/>
    <w:tmpl w:val="48F0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D27D0"/>
    <w:multiLevelType w:val="hybridMultilevel"/>
    <w:tmpl w:val="FDCC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1F35BA"/>
    <w:multiLevelType w:val="hybridMultilevel"/>
    <w:tmpl w:val="B1C0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5D0CFE"/>
    <w:multiLevelType w:val="hybridMultilevel"/>
    <w:tmpl w:val="A2DC4D18"/>
    <w:lvl w:ilvl="0" w:tplc="C0CCDC6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072A1"/>
    <w:multiLevelType w:val="hybridMultilevel"/>
    <w:tmpl w:val="918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19"/>
  </w:num>
  <w:num w:numId="12" w16cid:durableId="1700204152">
    <w:abstractNumId w:val="16"/>
  </w:num>
  <w:num w:numId="13" w16cid:durableId="989750667">
    <w:abstractNumId w:val="17"/>
  </w:num>
  <w:num w:numId="14" w16cid:durableId="1365522542">
    <w:abstractNumId w:val="11"/>
  </w:num>
  <w:num w:numId="15" w16cid:durableId="160510938">
    <w:abstractNumId w:val="21"/>
  </w:num>
  <w:num w:numId="16" w16cid:durableId="1621841860">
    <w:abstractNumId w:val="15"/>
  </w:num>
  <w:num w:numId="17" w16cid:durableId="579602798">
    <w:abstractNumId w:val="23"/>
  </w:num>
  <w:num w:numId="18" w16cid:durableId="837621693">
    <w:abstractNumId w:val="20"/>
  </w:num>
  <w:num w:numId="19" w16cid:durableId="1142578382">
    <w:abstractNumId w:val="10"/>
  </w:num>
  <w:num w:numId="20" w16cid:durableId="2000109790">
    <w:abstractNumId w:val="14"/>
  </w:num>
  <w:num w:numId="21" w16cid:durableId="175967623">
    <w:abstractNumId w:val="12"/>
  </w:num>
  <w:num w:numId="22" w16cid:durableId="109470017">
    <w:abstractNumId w:val="13"/>
  </w:num>
  <w:num w:numId="23" w16cid:durableId="742221916">
    <w:abstractNumId w:val="22"/>
  </w:num>
  <w:num w:numId="24" w16cid:durableId="10141092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9D"/>
    <w:rsid w:val="00020054"/>
    <w:rsid w:val="00025802"/>
    <w:rsid w:val="00032829"/>
    <w:rsid w:val="0003421D"/>
    <w:rsid w:val="00037E58"/>
    <w:rsid w:val="00040561"/>
    <w:rsid w:val="0005516E"/>
    <w:rsid w:val="0006272F"/>
    <w:rsid w:val="00066CF0"/>
    <w:rsid w:val="00070937"/>
    <w:rsid w:val="0007262D"/>
    <w:rsid w:val="000762BE"/>
    <w:rsid w:val="00083814"/>
    <w:rsid w:val="00090CBA"/>
    <w:rsid w:val="000A539C"/>
    <w:rsid w:val="000A6023"/>
    <w:rsid w:val="000B3F70"/>
    <w:rsid w:val="000B7559"/>
    <w:rsid w:val="000C1078"/>
    <w:rsid w:val="000C7295"/>
    <w:rsid w:val="000E0D15"/>
    <w:rsid w:val="000F4EDF"/>
    <w:rsid w:val="00101688"/>
    <w:rsid w:val="00105F31"/>
    <w:rsid w:val="001122F8"/>
    <w:rsid w:val="00113CB5"/>
    <w:rsid w:val="0011594C"/>
    <w:rsid w:val="00116C64"/>
    <w:rsid w:val="00117A03"/>
    <w:rsid w:val="00132446"/>
    <w:rsid w:val="00134283"/>
    <w:rsid w:val="001416CC"/>
    <w:rsid w:val="00142505"/>
    <w:rsid w:val="001435DF"/>
    <w:rsid w:val="00173097"/>
    <w:rsid w:val="00175868"/>
    <w:rsid w:val="001905B3"/>
    <w:rsid w:val="00190EA7"/>
    <w:rsid w:val="00191B7A"/>
    <w:rsid w:val="001A5E8F"/>
    <w:rsid w:val="001B08EB"/>
    <w:rsid w:val="001B2CE4"/>
    <w:rsid w:val="001B7238"/>
    <w:rsid w:val="001E2AE5"/>
    <w:rsid w:val="001F4378"/>
    <w:rsid w:val="001F4E4E"/>
    <w:rsid w:val="0020743F"/>
    <w:rsid w:val="00220452"/>
    <w:rsid w:val="00223D1D"/>
    <w:rsid w:val="002278F3"/>
    <w:rsid w:val="00232626"/>
    <w:rsid w:val="00236552"/>
    <w:rsid w:val="00281BB1"/>
    <w:rsid w:val="00290B1F"/>
    <w:rsid w:val="002941AD"/>
    <w:rsid w:val="002A39A3"/>
    <w:rsid w:val="002B4F98"/>
    <w:rsid w:val="002B6E5B"/>
    <w:rsid w:val="002C0846"/>
    <w:rsid w:val="002E2099"/>
    <w:rsid w:val="002F6A3A"/>
    <w:rsid w:val="0030096D"/>
    <w:rsid w:val="00301A47"/>
    <w:rsid w:val="00310792"/>
    <w:rsid w:val="00317618"/>
    <w:rsid w:val="00320D9D"/>
    <w:rsid w:val="0032240B"/>
    <w:rsid w:val="003365C6"/>
    <w:rsid w:val="00350D38"/>
    <w:rsid w:val="00356239"/>
    <w:rsid w:val="00357B64"/>
    <w:rsid w:val="00361DBB"/>
    <w:rsid w:val="00370917"/>
    <w:rsid w:val="00372BF4"/>
    <w:rsid w:val="00380D2D"/>
    <w:rsid w:val="00382C5D"/>
    <w:rsid w:val="00391B57"/>
    <w:rsid w:val="003949D4"/>
    <w:rsid w:val="003A2164"/>
    <w:rsid w:val="003B0443"/>
    <w:rsid w:val="003B2D24"/>
    <w:rsid w:val="003C3251"/>
    <w:rsid w:val="003D04DA"/>
    <w:rsid w:val="003E0D42"/>
    <w:rsid w:val="003E1CE8"/>
    <w:rsid w:val="003E3A4D"/>
    <w:rsid w:val="003F03AD"/>
    <w:rsid w:val="003F2B2C"/>
    <w:rsid w:val="003F4E43"/>
    <w:rsid w:val="003F5384"/>
    <w:rsid w:val="003F7659"/>
    <w:rsid w:val="00403C1C"/>
    <w:rsid w:val="004073BC"/>
    <w:rsid w:val="004074CE"/>
    <w:rsid w:val="0041096C"/>
    <w:rsid w:val="00413FE8"/>
    <w:rsid w:val="00420C6B"/>
    <w:rsid w:val="00420F54"/>
    <w:rsid w:val="00421A2D"/>
    <w:rsid w:val="00421C22"/>
    <w:rsid w:val="00423A1B"/>
    <w:rsid w:val="0042539C"/>
    <w:rsid w:val="00431D03"/>
    <w:rsid w:val="00442273"/>
    <w:rsid w:val="004424DD"/>
    <w:rsid w:val="00444AA1"/>
    <w:rsid w:val="00444B55"/>
    <w:rsid w:val="00465150"/>
    <w:rsid w:val="004776F7"/>
    <w:rsid w:val="0048394A"/>
    <w:rsid w:val="004872DD"/>
    <w:rsid w:val="00493EF7"/>
    <w:rsid w:val="004A20FC"/>
    <w:rsid w:val="004A2999"/>
    <w:rsid w:val="004A6A7D"/>
    <w:rsid w:val="004B35C3"/>
    <w:rsid w:val="004C093D"/>
    <w:rsid w:val="004E1AF6"/>
    <w:rsid w:val="004E1D0C"/>
    <w:rsid w:val="004F1AA8"/>
    <w:rsid w:val="004F305F"/>
    <w:rsid w:val="005039D3"/>
    <w:rsid w:val="00510BF4"/>
    <w:rsid w:val="00540C78"/>
    <w:rsid w:val="00551989"/>
    <w:rsid w:val="005542FF"/>
    <w:rsid w:val="00554D21"/>
    <w:rsid w:val="00566892"/>
    <w:rsid w:val="00581676"/>
    <w:rsid w:val="005A355E"/>
    <w:rsid w:val="005C16FE"/>
    <w:rsid w:val="005D1213"/>
    <w:rsid w:val="005D46CF"/>
    <w:rsid w:val="00603C7B"/>
    <w:rsid w:val="006243FF"/>
    <w:rsid w:val="00640892"/>
    <w:rsid w:val="00654E27"/>
    <w:rsid w:val="00660C79"/>
    <w:rsid w:val="006614BD"/>
    <w:rsid w:val="0066318C"/>
    <w:rsid w:val="0069622A"/>
    <w:rsid w:val="006B73C9"/>
    <w:rsid w:val="006C10AD"/>
    <w:rsid w:val="006D16CE"/>
    <w:rsid w:val="006D6084"/>
    <w:rsid w:val="006E69BB"/>
    <w:rsid w:val="006E7F21"/>
    <w:rsid w:val="00702358"/>
    <w:rsid w:val="007044CF"/>
    <w:rsid w:val="00712CA8"/>
    <w:rsid w:val="007508F7"/>
    <w:rsid w:val="007910B9"/>
    <w:rsid w:val="007910E4"/>
    <w:rsid w:val="00792317"/>
    <w:rsid w:val="007B082D"/>
    <w:rsid w:val="007B269C"/>
    <w:rsid w:val="007C3F12"/>
    <w:rsid w:val="007C4140"/>
    <w:rsid w:val="007D346F"/>
    <w:rsid w:val="007D441B"/>
    <w:rsid w:val="007E4916"/>
    <w:rsid w:val="00801105"/>
    <w:rsid w:val="00805B2F"/>
    <w:rsid w:val="008262AD"/>
    <w:rsid w:val="0083233F"/>
    <w:rsid w:val="008407F7"/>
    <w:rsid w:val="008438A2"/>
    <w:rsid w:val="00855770"/>
    <w:rsid w:val="00856D40"/>
    <w:rsid w:val="00861B46"/>
    <w:rsid w:val="0087653D"/>
    <w:rsid w:val="00882EBE"/>
    <w:rsid w:val="008851D6"/>
    <w:rsid w:val="0089139A"/>
    <w:rsid w:val="008B2FCF"/>
    <w:rsid w:val="008B4A60"/>
    <w:rsid w:val="008C1A73"/>
    <w:rsid w:val="008D113C"/>
    <w:rsid w:val="008D2727"/>
    <w:rsid w:val="008D376F"/>
    <w:rsid w:val="008D5686"/>
    <w:rsid w:val="008D6FDE"/>
    <w:rsid w:val="008E02B7"/>
    <w:rsid w:val="008E1CE4"/>
    <w:rsid w:val="008E36DC"/>
    <w:rsid w:val="008E44EE"/>
    <w:rsid w:val="008F0ED2"/>
    <w:rsid w:val="008F1D01"/>
    <w:rsid w:val="008F3BEF"/>
    <w:rsid w:val="008F770B"/>
    <w:rsid w:val="00916B68"/>
    <w:rsid w:val="0091748E"/>
    <w:rsid w:val="00917BB1"/>
    <w:rsid w:val="00934526"/>
    <w:rsid w:val="00940D7C"/>
    <w:rsid w:val="00954FDB"/>
    <w:rsid w:val="00964BE7"/>
    <w:rsid w:val="00975D21"/>
    <w:rsid w:val="00980531"/>
    <w:rsid w:val="00982052"/>
    <w:rsid w:val="0098392A"/>
    <w:rsid w:val="009915C7"/>
    <w:rsid w:val="00996D28"/>
    <w:rsid w:val="009974A0"/>
    <w:rsid w:val="009A240D"/>
    <w:rsid w:val="009B6A1C"/>
    <w:rsid w:val="009C27A4"/>
    <w:rsid w:val="009C3492"/>
    <w:rsid w:val="009C5B25"/>
    <w:rsid w:val="009E325D"/>
    <w:rsid w:val="00A00A6D"/>
    <w:rsid w:val="00A04A71"/>
    <w:rsid w:val="00A07A8B"/>
    <w:rsid w:val="00A20CC1"/>
    <w:rsid w:val="00A432F7"/>
    <w:rsid w:val="00A5276C"/>
    <w:rsid w:val="00A52C34"/>
    <w:rsid w:val="00A70BF2"/>
    <w:rsid w:val="00A7603F"/>
    <w:rsid w:val="00A8493F"/>
    <w:rsid w:val="00A86E47"/>
    <w:rsid w:val="00A9349C"/>
    <w:rsid w:val="00AB0764"/>
    <w:rsid w:val="00AC1D20"/>
    <w:rsid w:val="00AC7023"/>
    <w:rsid w:val="00AE068C"/>
    <w:rsid w:val="00AE4243"/>
    <w:rsid w:val="00B20652"/>
    <w:rsid w:val="00B22748"/>
    <w:rsid w:val="00B36A3A"/>
    <w:rsid w:val="00B3729A"/>
    <w:rsid w:val="00B421A9"/>
    <w:rsid w:val="00B42845"/>
    <w:rsid w:val="00B45CB0"/>
    <w:rsid w:val="00B462EB"/>
    <w:rsid w:val="00B46E48"/>
    <w:rsid w:val="00B52BE1"/>
    <w:rsid w:val="00B54CF4"/>
    <w:rsid w:val="00B66A66"/>
    <w:rsid w:val="00B7566B"/>
    <w:rsid w:val="00B868E4"/>
    <w:rsid w:val="00BA0669"/>
    <w:rsid w:val="00BA129E"/>
    <w:rsid w:val="00BA7573"/>
    <w:rsid w:val="00BB5D9E"/>
    <w:rsid w:val="00BD02E9"/>
    <w:rsid w:val="00BD3BB6"/>
    <w:rsid w:val="00BD4076"/>
    <w:rsid w:val="00BE7D59"/>
    <w:rsid w:val="00C04BB3"/>
    <w:rsid w:val="00C06D34"/>
    <w:rsid w:val="00C10D3C"/>
    <w:rsid w:val="00C11F04"/>
    <w:rsid w:val="00C1342A"/>
    <w:rsid w:val="00C2218D"/>
    <w:rsid w:val="00C569B9"/>
    <w:rsid w:val="00C6272B"/>
    <w:rsid w:val="00C637EC"/>
    <w:rsid w:val="00C6427F"/>
    <w:rsid w:val="00C67121"/>
    <w:rsid w:val="00C85819"/>
    <w:rsid w:val="00C946B6"/>
    <w:rsid w:val="00C97174"/>
    <w:rsid w:val="00CB51BC"/>
    <w:rsid w:val="00CB7A56"/>
    <w:rsid w:val="00CC126F"/>
    <w:rsid w:val="00CC1EBE"/>
    <w:rsid w:val="00CD0E62"/>
    <w:rsid w:val="00CD2600"/>
    <w:rsid w:val="00CD6AC0"/>
    <w:rsid w:val="00CE0700"/>
    <w:rsid w:val="00CF42BC"/>
    <w:rsid w:val="00CF7EFB"/>
    <w:rsid w:val="00D0120D"/>
    <w:rsid w:val="00D02261"/>
    <w:rsid w:val="00D0428F"/>
    <w:rsid w:val="00D35448"/>
    <w:rsid w:val="00D60FFE"/>
    <w:rsid w:val="00D67600"/>
    <w:rsid w:val="00D7207F"/>
    <w:rsid w:val="00D9189D"/>
    <w:rsid w:val="00D94C2A"/>
    <w:rsid w:val="00DA401A"/>
    <w:rsid w:val="00DA630C"/>
    <w:rsid w:val="00DB351C"/>
    <w:rsid w:val="00DC0A09"/>
    <w:rsid w:val="00DD0023"/>
    <w:rsid w:val="00DE3604"/>
    <w:rsid w:val="00E00503"/>
    <w:rsid w:val="00E11A56"/>
    <w:rsid w:val="00E1287E"/>
    <w:rsid w:val="00E321BD"/>
    <w:rsid w:val="00E35D9B"/>
    <w:rsid w:val="00E36C13"/>
    <w:rsid w:val="00E40D31"/>
    <w:rsid w:val="00E60556"/>
    <w:rsid w:val="00E67C75"/>
    <w:rsid w:val="00E92DFB"/>
    <w:rsid w:val="00E93292"/>
    <w:rsid w:val="00E96DE5"/>
    <w:rsid w:val="00EA7274"/>
    <w:rsid w:val="00EB47DA"/>
    <w:rsid w:val="00EC1090"/>
    <w:rsid w:val="00EC6A73"/>
    <w:rsid w:val="00EE2572"/>
    <w:rsid w:val="00F07048"/>
    <w:rsid w:val="00F12298"/>
    <w:rsid w:val="00F13324"/>
    <w:rsid w:val="00F271B3"/>
    <w:rsid w:val="00F2748B"/>
    <w:rsid w:val="00F36ADF"/>
    <w:rsid w:val="00F44AEA"/>
    <w:rsid w:val="00F62E76"/>
    <w:rsid w:val="00F645E7"/>
    <w:rsid w:val="00F720A5"/>
    <w:rsid w:val="00F72274"/>
    <w:rsid w:val="00F97DC9"/>
    <w:rsid w:val="00FC5439"/>
    <w:rsid w:val="00FD1468"/>
    <w:rsid w:val="00FD2F37"/>
    <w:rsid w:val="00FF571C"/>
    <w:rsid w:val="00FF5D5A"/>
    <w:rsid w:val="02EBA74C"/>
    <w:rsid w:val="03D52033"/>
    <w:rsid w:val="04C727E2"/>
    <w:rsid w:val="0571881C"/>
    <w:rsid w:val="0BFF7759"/>
    <w:rsid w:val="0E0DEABC"/>
    <w:rsid w:val="1187192E"/>
    <w:rsid w:val="1C800604"/>
    <w:rsid w:val="1CC18CEE"/>
    <w:rsid w:val="1E8073AA"/>
    <w:rsid w:val="24806051"/>
    <w:rsid w:val="2550C1C9"/>
    <w:rsid w:val="26164345"/>
    <w:rsid w:val="29C069AA"/>
    <w:rsid w:val="2BD4A4D2"/>
    <w:rsid w:val="2CA70F6F"/>
    <w:rsid w:val="2FFDE41A"/>
    <w:rsid w:val="34DB9778"/>
    <w:rsid w:val="38A65038"/>
    <w:rsid w:val="38FE673D"/>
    <w:rsid w:val="38FE9A2D"/>
    <w:rsid w:val="39FF8EB1"/>
    <w:rsid w:val="3B2AB650"/>
    <w:rsid w:val="3D918062"/>
    <w:rsid w:val="4159C9A5"/>
    <w:rsid w:val="43CE86B2"/>
    <w:rsid w:val="447FA83A"/>
    <w:rsid w:val="4650C74F"/>
    <w:rsid w:val="475F23EE"/>
    <w:rsid w:val="4C2A406B"/>
    <w:rsid w:val="4C2CD44F"/>
    <w:rsid w:val="4D9DC616"/>
    <w:rsid w:val="4FB7B4FB"/>
    <w:rsid w:val="566EEA8F"/>
    <w:rsid w:val="5718E52F"/>
    <w:rsid w:val="5810A329"/>
    <w:rsid w:val="5BF62271"/>
    <w:rsid w:val="5C64E291"/>
    <w:rsid w:val="5E3D8DEB"/>
    <w:rsid w:val="5FE444BD"/>
    <w:rsid w:val="62A08147"/>
    <w:rsid w:val="6794E7B3"/>
    <w:rsid w:val="6AA1B9D9"/>
    <w:rsid w:val="6BAA2430"/>
    <w:rsid w:val="6D08D3CC"/>
    <w:rsid w:val="6EC45176"/>
    <w:rsid w:val="717CFE1B"/>
    <w:rsid w:val="73B49A17"/>
    <w:rsid w:val="79DFBB93"/>
    <w:rsid w:val="7B997FFC"/>
    <w:rsid w:val="7E678B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336D"/>
  <w15:chartTrackingRefBased/>
  <w15:docId w15:val="{DD0C5DC4-BFB0-4E13-9040-28EDE855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35C3"/>
    <w:rPr>
      <w:b/>
      <w:bCs/>
    </w:rPr>
  </w:style>
  <w:style w:type="character" w:customStyle="1" w:styleId="CommentSubjectChar">
    <w:name w:val="Comment Subject Char"/>
    <w:basedOn w:val="CommentTextChar"/>
    <w:link w:val="CommentSubject"/>
    <w:uiPriority w:val="99"/>
    <w:semiHidden/>
    <w:rsid w:val="004B35C3"/>
    <w:rPr>
      <w:rFonts w:eastAsiaTheme="minorEastAsia"/>
      <w:b/>
      <w:bCs/>
      <w:sz w:val="20"/>
      <w:szCs w:val="20"/>
    </w:rPr>
  </w:style>
  <w:style w:type="paragraph" w:styleId="TOC2">
    <w:name w:val="toc 2"/>
    <w:basedOn w:val="Normal"/>
    <w:next w:val="Normal"/>
    <w:autoRedefine/>
    <w:uiPriority w:val="39"/>
    <w:unhideWhenUsed/>
    <w:rsid w:val="00E92DFB"/>
    <w:pPr>
      <w:spacing w:after="100"/>
      <w:ind w:left="240"/>
    </w:pPr>
  </w:style>
  <w:style w:type="paragraph" w:styleId="TOCHeading">
    <w:name w:val="TOC Heading"/>
    <w:basedOn w:val="Heading1"/>
    <w:next w:val="Normal"/>
    <w:uiPriority w:val="39"/>
    <w:unhideWhenUsed/>
    <w:qFormat/>
    <w:rsid w:val="00E92DFB"/>
    <w:pPr>
      <w:spacing w:before="240" w:after="0" w:line="259" w:lineRule="auto"/>
      <w:outlineLvl w:val="9"/>
    </w:pPr>
    <w:rPr>
      <w:b w:val="0"/>
      <w:color w:val="004B56" w:themeColor="accent1" w:themeShade="BF"/>
      <w:sz w:val="32"/>
      <w:lang w:val="en-US"/>
    </w:rPr>
  </w:style>
  <w:style w:type="paragraph" w:customStyle="1" w:styleId="Reportheader">
    <w:name w:val="Report header"/>
    <w:basedOn w:val="Heading1"/>
    <w:qFormat/>
    <w:rsid w:val="008E36DC"/>
    <w:pPr>
      <w:spacing w:line="276" w:lineRule="auto"/>
    </w:pPr>
    <w:rPr>
      <w:sz w:val="48"/>
      <w:szCs w:val="48"/>
    </w:rPr>
  </w:style>
  <w:style w:type="paragraph" w:styleId="BodyText">
    <w:name w:val="Body Text"/>
    <w:basedOn w:val="Normal"/>
    <w:link w:val="BodyTextChar"/>
    <w:uiPriority w:val="1"/>
    <w:qFormat/>
    <w:rsid w:val="008E36DC"/>
    <w:pPr>
      <w:widowControl w:val="0"/>
      <w:autoSpaceDE w:val="0"/>
      <w:autoSpaceDN w:val="0"/>
      <w:spacing w:line="240" w:lineRule="auto"/>
    </w:pPr>
    <w:rPr>
      <w:rFonts w:ascii="Arial" w:eastAsia="Arial" w:hAnsi="Arial"/>
      <w:sz w:val="28"/>
      <w:szCs w:val="28"/>
    </w:rPr>
  </w:style>
  <w:style w:type="character" w:customStyle="1" w:styleId="BodyTextChar">
    <w:name w:val="Body Text Char"/>
    <w:basedOn w:val="DefaultParagraphFont"/>
    <w:link w:val="BodyText"/>
    <w:uiPriority w:val="1"/>
    <w:rsid w:val="008E36DC"/>
    <w:rPr>
      <w:rFonts w:ascii="Arial" w:eastAsia="Arial" w:hAnsi="Arial"/>
      <w:sz w:val="28"/>
      <w:szCs w:val="28"/>
    </w:rPr>
  </w:style>
  <w:style w:type="paragraph" w:styleId="TOC1">
    <w:name w:val="toc 1"/>
    <w:basedOn w:val="Normal"/>
    <w:next w:val="Normal"/>
    <w:autoRedefine/>
    <w:uiPriority w:val="39"/>
    <w:unhideWhenUsed/>
    <w:rsid w:val="00640892"/>
    <w:pPr>
      <w:spacing w:after="100"/>
    </w:pPr>
  </w:style>
  <w:style w:type="character" w:styleId="Mention">
    <w:name w:val="Mention"/>
    <w:basedOn w:val="DefaultParagraphFont"/>
    <w:uiPriority w:val="99"/>
    <w:unhideWhenUsed/>
    <w:rsid w:val="000A539C"/>
    <w:rPr>
      <w:color w:val="2B579A"/>
      <w:shd w:val="clear" w:color="auto" w:fill="E1DFDD"/>
    </w:rPr>
  </w:style>
  <w:style w:type="table" w:styleId="TableGrid">
    <w:name w:val="Table Grid"/>
    <w:basedOn w:val="TableNormal"/>
    <w:uiPriority w:val="39"/>
    <w:rsid w:val="00C67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4093">
      <w:bodyDiv w:val="1"/>
      <w:marLeft w:val="0"/>
      <w:marRight w:val="0"/>
      <w:marTop w:val="0"/>
      <w:marBottom w:val="0"/>
      <w:divBdr>
        <w:top w:val="none" w:sz="0" w:space="0" w:color="auto"/>
        <w:left w:val="none" w:sz="0" w:space="0" w:color="auto"/>
        <w:bottom w:val="none" w:sz="0" w:space="0" w:color="auto"/>
        <w:right w:val="none" w:sz="0" w:space="0" w:color="auto"/>
      </w:divBdr>
    </w:div>
    <w:div w:id="486436929">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20445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D463A-98AE-4676-B393-E22D8A5F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3016898-C939-47D2-A4B3-A42BF1E3B413}">
  <ds:schemaRefs>
    <ds:schemaRef ds:uri="http://schemas.microsoft.com/office/2006/documentManagement/types"/>
    <ds:schemaRef ds:uri="ce5b52f7-9556-48ad-bf4f-1238de82834a"/>
    <ds:schemaRef ds:uri="http://www.w3.org/XML/1998/namespace"/>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7dd4d6b0-2bd1-40f7-94aa-8d4785e79023"/>
    <ds:schemaRef ds:uri="http://schemas.microsoft.com/office/2006/metadata/properties"/>
  </ds:schemaRefs>
</ds:datastoreItem>
</file>

<file path=customXml/itemProps4.xml><?xml version="1.0" encoding="utf-8"?>
<ds:datastoreItem xmlns:ds="http://schemas.openxmlformats.org/officeDocument/2006/customXml" ds:itemID="{CC311ED9-7CF4-407B-A4CD-FD7B8517B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0</TotalTime>
  <Pages>9</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Smith-Welsh, Lola</cp:lastModifiedBy>
  <cp:revision>2</cp:revision>
  <cp:lastPrinted>2023-03-24T04:44:00Z</cp:lastPrinted>
  <dcterms:created xsi:type="dcterms:W3CDTF">2025-05-20T10:35:00Z</dcterms:created>
  <dcterms:modified xsi:type="dcterms:W3CDTF">2025-05-20T10:35:00Z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