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1FCEB279" w14:textId="51F730A6" w:rsidR="00ED3EE7" w:rsidRDefault="00CF7EFB" w:rsidP="00963613">
          <w:r>
            <w:rPr>
              <w:noProof/>
            </w:rPr>
            <w:drawing>
              <wp:inline distT="0" distB="0" distL="0" distR="0" wp14:anchorId="2F7215CD" wp14:editId="46BB3137">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57A192FD" w14:textId="438DF95D" w:rsidR="00ED3EE7" w:rsidRDefault="00A075AC" w:rsidP="00963613">
          <w:pPr>
            <w:pStyle w:val="Heading1"/>
          </w:pPr>
          <w:r>
            <w:t>WAS-G-HAZ-04</w:t>
          </w:r>
        </w:p>
        <w:p w14:paraId="6C90D53D" w14:textId="3572158D" w:rsidR="00ED3EE7" w:rsidRPr="00E245AC" w:rsidRDefault="002130B1" w:rsidP="00963613">
          <w:pPr>
            <w:pStyle w:val="Reportheader"/>
            <w:rPr>
              <w:rFonts w:ascii="Arial" w:hAnsi="Arial" w:cs="Arial"/>
            </w:rPr>
          </w:pPr>
          <w:r>
            <w:rPr>
              <w:rFonts w:ascii="Arial" w:hAnsi="Arial" w:cs="Arial"/>
            </w:rPr>
            <w:t xml:space="preserve">Asbestos in </w:t>
          </w:r>
          <w:r w:rsidR="00F71999">
            <w:rPr>
              <w:rFonts w:ascii="Arial" w:hAnsi="Arial" w:cs="Arial"/>
            </w:rPr>
            <w:t>d</w:t>
          </w:r>
          <w:r>
            <w:rPr>
              <w:rFonts w:ascii="Arial" w:hAnsi="Arial" w:cs="Arial"/>
            </w:rPr>
            <w:t xml:space="preserve">emolition </w:t>
          </w:r>
          <w:r w:rsidR="00F71999">
            <w:rPr>
              <w:rFonts w:ascii="Arial" w:hAnsi="Arial" w:cs="Arial"/>
            </w:rPr>
            <w:t>w</w:t>
          </w:r>
          <w:r>
            <w:rPr>
              <w:rFonts w:ascii="Arial" w:hAnsi="Arial" w:cs="Arial"/>
            </w:rPr>
            <w:t>aste</w:t>
          </w:r>
        </w:p>
        <w:p w14:paraId="0B51837E" w14:textId="1871202C" w:rsidR="00ED3EE7" w:rsidRDefault="008B13EC" w:rsidP="00963613">
          <w:pPr>
            <w:pStyle w:val="Heading2"/>
          </w:pPr>
          <w:r>
            <w:t>Version 2</w:t>
          </w:r>
          <w:r w:rsidR="440A19B7">
            <w:t>.0</w:t>
          </w:r>
          <w:r w:rsidR="006B4F85">
            <w:t xml:space="preserve"> -</w:t>
          </w:r>
          <w:r>
            <w:t xml:space="preserve"> </w:t>
          </w:r>
          <w:r w:rsidR="33ECC4E8">
            <w:t>August</w:t>
          </w:r>
          <w:r>
            <w:t xml:space="preserve"> 202</w:t>
          </w:r>
          <w:r w:rsidR="000656D6">
            <w:t>5</w:t>
          </w:r>
        </w:p>
        <w:p w14:paraId="512E35D7" w14:textId="77777777" w:rsidR="00ED3EE7" w:rsidRDefault="00ED3EE7" w:rsidP="00963613">
          <w:pPr>
            <w:pStyle w:val="Footer"/>
            <w:ind w:right="360"/>
          </w:pPr>
          <w:r>
            <w:rPr>
              <w:noProof/>
            </w:rPr>
            <mc:AlternateContent>
              <mc:Choice Requires="wps">
                <w:drawing>
                  <wp:anchor distT="0" distB="0" distL="114300" distR="114300" simplePos="0" relativeHeight="251658241" behindDoc="0" locked="0" layoutInCell="1" allowOverlap="1" wp14:anchorId="165BD95C" wp14:editId="5CAE51BF">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7AC559F" id="Straight Connector 12"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33DB7352" w14:textId="6F0C10AE" w:rsidR="008B13EC" w:rsidRPr="00010456" w:rsidRDefault="003B0BB6" w:rsidP="002D2B8E">
          <w:pPr>
            <w:pStyle w:val="Heading2"/>
            <w:spacing w:after="120" w:line="360" w:lineRule="auto"/>
          </w:pPr>
          <w:r>
            <w:t>Introduction</w:t>
          </w:r>
        </w:p>
        <w:p w14:paraId="2851BDEB" w14:textId="59091225" w:rsidR="00BC4768" w:rsidRDefault="009D35D4" w:rsidP="00963613">
          <w:pPr>
            <w:pStyle w:val="BodyText1"/>
          </w:pPr>
          <w:r w:rsidRPr="00C372E0">
            <w:rPr>
              <w:rStyle w:val="normaltextrun"/>
              <w:rFonts w:asciiTheme="majorHAnsi" w:eastAsiaTheme="majorEastAsia" w:hAnsiTheme="majorHAnsi" w:cstheme="majorHAnsi"/>
            </w:rPr>
            <w:t xml:space="preserve">This guidance </w:t>
          </w:r>
          <w:r>
            <w:rPr>
              <w:rStyle w:val="normaltextrun"/>
              <w:rFonts w:asciiTheme="majorHAnsi" w:eastAsiaTheme="majorEastAsia" w:hAnsiTheme="majorHAnsi" w:cstheme="majorHAnsi"/>
            </w:rPr>
            <w:t>provides advice for anyone</w:t>
          </w:r>
          <w:r w:rsidRPr="00E76AD5">
            <w:t xml:space="preserve"> </w:t>
          </w:r>
          <w:r w:rsidR="00BC4768">
            <w:t>managing asbestos contaminated demolition wastes</w:t>
          </w:r>
          <w:r w:rsidR="00C82A29">
            <w:t xml:space="preserve">. </w:t>
          </w:r>
          <w:r w:rsidR="008224AB">
            <w:t xml:space="preserve">It sets out when it is necessary to consign that material as hazardous waste to an authorised site. </w:t>
          </w:r>
        </w:p>
        <w:p w14:paraId="2F54EBD0" w14:textId="24A35071" w:rsidR="00010456" w:rsidRPr="00E76AD5" w:rsidRDefault="008B13EC" w:rsidP="00963613">
          <w:pPr>
            <w:pStyle w:val="BodyText1"/>
          </w:pPr>
          <w:r w:rsidRPr="00E76AD5">
            <w:t xml:space="preserve">Although </w:t>
          </w:r>
          <w:r w:rsidR="00F40404">
            <w:t>the</w:t>
          </w:r>
          <w:r w:rsidRPr="00E76AD5">
            <w:t xml:space="preserve"> </w:t>
          </w:r>
          <w:r w:rsidR="00F40404" w:rsidRPr="00E76AD5">
            <w:t xml:space="preserve">use </w:t>
          </w:r>
          <w:r w:rsidRPr="00E76AD5">
            <w:t xml:space="preserve">of </w:t>
          </w:r>
          <w:r w:rsidR="00F40404" w:rsidRPr="00E76AD5">
            <w:t xml:space="preserve">new </w:t>
          </w:r>
          <w:r w:rsidRPr="00E76AD5">
            <w:t>asbestos products has been banned since 1999 any asbestos containing material (ACM) installed before 1999 can remain in place and there is a risk that any demolition works carried out on buildings more than 15 years old has the potential to</w:t>
          </w:r>
          <w:r w:rsidR="00580F85" w:rsidRPr="00E76AD5">
            <w:t xml:space="preserve"> </w:t>
          </w:r>
          <w:r w:rsidRPr="00E76AD5">
            <w:t>produce asbestos contaminated demolition wastes.</w:t>
          </w:r>
        </w:p>
        <w:p w14:paraId="2E326C92" w14:textId="226F0E36" w:rsidR="00010456" w:rsidRPr="00E76AD5" w:rsidRDefault="008B13EC" w:rsidP="00963613">
          <w:pPr>
            <w:pStyle w:val="BodyText1"/>
          </w:pPr>
          <w:r w:rsidRPr="00E76AD5">
            <w:t xml:space="preserve">It is best practice to remove asbestos from buildings prior to demolition. </w:t>
          </w:r>
          <w:r w:rsidR="009C4220" w:rsidRPr="00E76AD5">
            <w:t>However,</w:t>
          </w:r>
          <w:r w:rsidRPr="00E76AD5">
            <w:t xml:space="preserve"> this is not always possible e.g. when a building is unsafe to enter. Where asbestos is not removed prior to demolition then assessment is required as to whether the resulting demolition</w:t>
          </w:r>
          <w:r w:rsidR="00E76AD5" w:rsidRPr="00E76AD5">
            <w:t xml:space="preserve"> </w:t>
          </w:r>
          <w:r w:rsidRPr="00E76AD5">
            <w:t xml:space="preserve">material is </w:t>
          </w:r>
          <w:r w:rsidR="009C4220">
            <w:t xml:space="preserve">hazardous </w:t>
          </w:r>
          <w:r w:rsidRPr="00E76AD5">
            <w:t>waste.</w:t>
          </w:r>
        </w:p>
        <w:p w14:paraId="3A791398" w14:textId="58955355" w:rsidR="008B13EC" w:rsidRPr="00010456" w:rsidRDefault="008B13EC" w:rsidP="00B83847">
          <w:pPr>
            <w:pStyle w:val="Heading2"/>
            <w:spacing w:after="120" w:line="360" w:lineRule="auto"/>
          </w:pPr>
          <w:r w:rsidRPr="00010456">
            <w:t xml:space="preserve">Classifying </w:t>
          </w:r>
          <w:r w:rsidR="000656D6" w:rsidRPr="00010456">
            <w:t>a</w:t>
          </w:r>
          <w:r w:rsidRPr="00010456">
            <w:t xml:space="preserve">sbestos </w:t>
          </w:r>
          <w:r w:rsidR="000656D6" w:rsidRPr="00010456">
            <w:t>c</w:t>
          </w:r>
          <w:r w:rsidRPr="00010456">
            <w:t xml:space="preserve">ontaminated </w:t>
          </w:r>
          <w:r w:rsidR="000656D6" w:rsidRPr="00010456">
            <w:t>d</w:t>
          </w:r>
          <w:r w:rsidRPr="00010456">
            <w:t xml:space="preserve">emolition </w:t>
          </w:r>
          <w:r w:rsidR="000656D6" w:rsidRPr="00010456">
            <w:t>w</w:t>
          </w:r>
          <w:r w:rsidRPr="00010456">
            <w:t xml:space="preserve">astes </w:t>
          </w:r>
        </w:p>
        <w:p w14:paraId="0C136FF0" w14:textId="77777777" w:rsidR="00AB72C9" w:rsidRDefault="00AB72C9" w:rsidP="00963613">
          <w:pPr>
            <w:rPr>
              <w:rFonts w:ascii="Arial" w:eastAsia="Times New Roman" w:hAnsi="Arial" w:cs="Arial"/>
            </w:rPr>
          </w:pPr>
          <w:r w:rsidRPr="008B13EC">
            <w:rPr>
              <w:rFonts w:ascii="Arial" w:eastAsia="Times New Roman" w:hAnsi="Arial" w:cs="Arial"/>
            </w:rPr>
            <w:t>All types of Asbestos are carcinogenic and therefore Asbestos contaminated wastes are assessed by threshold calculation and are measured against the threshold value for the H</w:t>
          </w:r>
          <w:r>
            <w:rPr>
              <w:rFonts w:ascii="Arial" w:eastAsia="Times New Roman" w:hAnsi="Arial" w:cs="Arial"/>
            </w:rPr>
            <w:t>P</w:t>
          </w:r>
          <w:r w:rsidRPr="008B13EC">
            <w:rPr>
              <w:rFonts w:ascii="Arial" w:eastAsia="Times New Roman" w:hAnsi="Arial" w:cs="Arial"/>
            </w:rPr>
            <w:t xml:space="preserve">7 – Carcinogenic Hazard </w:t>
          </w:r>
          <w:r>
            <w:rPr>
              <w:rFonts w:ascii="Arial" w:eastAsia="Times New Roman" w:hAnsi="Arial" w:cs="Arial"/>
            </w:rPr>
            <w:t>Property</w:t>
          </w:r>
          <w:r w:rsidRPr="008B13EC">
            <w:rPr>
              <w:rFonts w:ascii="Arial" w:eastAsia="Times New Roman" w:hAnsi="Arial" w:cs="Arial"/>
            </w:rPr>
            <w:t xml:space="preserve"> which is 0.1% w/w.</w:t>
          </w:r>
        </w:p>
        <w:p w14:paraId="3769C6C4" w14:textId="45AAAB12" w:rsidR="008B13EC" w:rsidRPr="00F05F56" w:rsidRDefault="008B13EC" w:rsidP="00963613">
          <w:pPr>
            <w:pStyle w:val="BodyText1"/>
          </w:pPr>
          <w:r w:rsidRPr="00F05F56">
            <w:t>Asbestos will generally appear in demolition wastes in two forms, as identifiable pieces of asbestos contaminated material (ACMs)</w:t>
          </w:r>
          <w:r w:rsidR="00E93BFD">
            <w:t xml:space="preserve"> or as</w:t>
          </w:r>
          <w:r w:rsidR="00E93BFD" w:rsidRPr="00F05F56">
            <w:t xml:space="preserve"> </w:t>
          </w:r>
          <w:r w:rsidR="00E93BFD">
            <w:t>‘</w:t>
          </w:r>
          <w:r w:rsidR="00E93BFD" w:rsidRPr="00F05F56">
            <w:t>free and dispersed fibres</w:t>
          </w:r>
          <w:r w:rsidR="00E93BFD">
            <w:t>’.</w:t>
          </w:r>
        </w:p>
        <w:p w14:paraId="6FFB15CE" w14:textId="537E3C40" w:rsidR="008B13EC" w:rsidRPr="00010456" w:rsidRDefault="008B13EC" w:rsidP="002D2B8E">
          <w:pPr>
            <w:pStyle w:val="Heading2"/>
            <w:spacing w:after="120" w:line="360" w:lineRule="auto"/>
          </w:pPr>
          <w:r w:rsidRPr="00010456">
            <w:lastRenderedPageBreak/>
            <w:t xml:space="preserve">Identifiable </w:t>
          </w:r>
          <w:r w:rsidR="000656D6" w:rsidRPr="00010456">
            <w:t>p</w:t>
          </w:r>
          <w:r w:rsidRPr="00010456">
            <w:t>ieces</w:t>
          </w:r>
        </w:p>
        <w:p w14:paraId="6436796C" w14:textId="002A796E" w:rsidR="00010456" w:rsidRPr="0005494B" w:rsidRDefault="008B13EC" w:rsidP="00963613">
          <w:pPr>
            <w:pStyle w:val="BodyText1"/>
          </w:pPr>
          <w:r w:rsidRPr="0005494B">
            <w:t>Where easily identifiable, i.e. visible to the naked eye, for example, cement sheeting or floor tiles, the status of pieces of suspected</w:t>
          </w:r>
          <w:r w:rsidR="00F05F56" w:rsidRPr="0005494B">
            <w:t xml:space="preserve"> </w:t>
          </w:r>
          <w:r w:rsidRPr="0005494B">
            <w:t xml:space="preserve">asbestos contaminated material (ACM) may be assessed in isolation. The identifiable pieces will be deemed special waste if the concentration of asbestos, in the piece of ACM, is at or above 0.1% w/w. </w:t>
          </w:r>
        </w:p>
        <w:p w14:paraId="75B1FB08" w14:textId="037D709F" w:rsidR="00010456" w:rsidRPr="0005494B" w:rsidRDefault="008B13EC" w:rsidP="00963613">
          <w:pPr>
            <w:pStyle w:val="BodyText1"/>
          </w:pPr>
          <w:r w:rsidRPr="0005494B">
            <w:t xml:space="preserve">Where demolition takes place without prior removal of asbestos then the resultant demolition material will be deemed to be </w:t>
          </w:r>
          <w:r w:rsidR="00E67F29">
            <w:t xml:space="preserve">hazardous </w:t>
          </w:r>
          <w:r w:rsidRPr="0005494B">
            <w:t xml:space="preserve">waste, until proven otherwise, if it contains any identifiable pieces of ACM. </w:t>
          </w:r>
        </w:p>
        <w:p w14:paraId="1C0FBDFE" w14:textId="3421318B" w:rsidR="00010456" w:rsidRPr="0005494B" w:rsidRDefault="008B13EC" w:rsidP="00963613">
          <w:pPr>
            <w:pStyle w:val="BodyText1"/>
          </w:pPr>
          <w:r w:rsidRPr="0005494B">
            <w:t>It may be acceptable to remove these ACM’s. The removal of suspected ACMs should be done without causing risk to human health or</w:t>
          </w:r>
          <w:r w:rsidR="00F05F56" w:rsidRPr="0005494B">
            <w:t xml:space="preserve"> </w:t>
          </w:r>
          <w:r w:rsidRPr="0005494B">
            <w:t xml:space="preserve">the environment. SEPA would advise users to refer to the Health &amp; Safety Executive before attempting the removal of suspected ACMs. </w:t>
          </w:r>
        </w:p>
        <w:p w14:paraId="3419BDC1" w14:textId="06C24477" w:rsidR="00010456" w:rsidRPr="0055421D" w:rsidRDefault="008B13EC" w:rsidP="00963613">
          <w:pPr>
            <w:pStyle w:val="BodyText1"/>
          </w:pPr>
          <w:r w:rsidRPr="0005494B">
            <w:t>Where the pieces of ACM have not been removed the waste is viewed as being ‘mixed waste’ and should be described using the</w:t>
          </w:r>
          <w:r w:rsidR="00F05F56" w:rsidRPr="0005494B">
            <w:t xml:space="preserve"> </w:t>
          </w:r>
          <w:r w:rsidRPr="0005494B">
            <w:t xml:space="preserve">following EWC code: </w:t>
          </w:r>
          <w:r w:rsidRPr="0055421D">
            <w:t xml:space="preserve">17 06 05* Construction material containing asbestos. </w:t>
          </w:r>
        </w:p>
        <w:p w14:paraId="14F35F80" w14:textId="7BF6F439" w:rsidR="00010456" w:rsidRPr="008B13EC" w:rsidRDefault="008B13EC" w:rsidP="00963613">
          <w:pPr>
            <w:rPr>
              <w:rFonts w:ascii="Arial" w:eastAsia="Times New Roman" w:hAnsi="Arial" w:cs="Arial"/>
            </w:rPr>
          </w:pPr>
          <w:r w:rsidRPr="0055421D">
            <w:rPr>
              <w:rFonts w:ascii="Arial" w:eastAsia="Times New Roman" w:hAnsi="Arial" w:cs="Arial"/>
            </w:rPr>
            <w:t>Please Note:</w:t>
          </w:r>
          <w:r w:rsidRPr="008B13EC">
            <w:rPr>
              <w:rFonts w:ascii="Arial" w:eastAsia="Times New Roman" w:hAnsi="Arial" w:cs="Arial"/>
            </w:rPr>
            <w:t xml:space="preserve"> In Scotland there is no de-minimis for levels of </w:t>
          </w:r>
          <w:r w:rsidR="00B55324">
            <w:rPr>
              <w:rFonts w:ascii="Arial" w:eastAsia="Times New Roman" w:hAnsi="Arial" w:cs="Arial"/>
            </w:rPr>
            <w:t xml:space="preserve">hazardous </w:t>
          </w:r>
          <w:r w:rsidRPr="008B13EC">
            <w:rPr>
              <w:rFonts w:ascii="Arial" w:eastAsia="Times New Roman" w:hAnsi="Arial" w:cs="Arial"/>
            </w:rPr>
            <w:t>waste if it is mixed with non-</w:t>
          </w:r>
          <w:r w:rsidR="00B55324">
            <w:rPr>
              <w:rFonts w:ascii="Arial" w:eastAsia="Times New Roman" w:hAnsi="Arial" w:cs="Arial"/>
            </w:rPr>
            <w:t>hazardous</w:t>
          </w:r>
          <w:r w:rsidRPr="008B13EC">
            <w:rPr>
              <w:rFonts w:ascii="Arial" w:eastAsia="Times New Roman" w:hAnsi="Arial" w:cs="Arial"/>
            </w:rPr>
            <w:t xml:space="preserve"> waste.</w:t>
          </w:r>
        </w:p>
        <w:p w14:paraId="357C18EE" w14:textId="5D5DA827" w:rsidR="00010456" w:rsidRPr="008B13EC" w:rsidRDefault="008B13EC" w:rsidP="00963613">
          <w:pPr>
            <w:rPr>
              <w:rFonts w:ascii="Arial" w:eastAsia="Times New Roman" w:hAnsi="Arial" w:cs="Arial"/>
            </w:rPr>
          </w:pPr>
          <w:r w:rsidRPr="008B13EC">
            <w:rPr>
              <w:rFonts w:ascii="Arial" w:eastAsia="Times New Roman" w:hAnsi="Arial" w:cs="Arial"/>
            </w:rPr>
            <w:t xml:space="preserve">Where the </w:t>
          </w:r>
          <w:r w:rsidR="00FF47BF">
            <w:rPr>
              <w:rFonts w:ascii="Arial" w:eastAsia="Times New Roman" w:hAnsi="Arial" w:cs="Arial"/>
            </w:rPr>
            <w:t xml:space="preserve">identifiable </w:t>
          </w:r>
          <w:r w:rsidRPr="008B13EC">
            <w:rPr>
              <w:rFonts w:ascii="Arial" w:eastAsia="Times New Roman" w:hAnsi="Arial" w:cs="Arial"/>
            </w:rPr>
            <w:t xml:space="preserve">pieces of ACMs have been safely removed from the </w:t>
          </w:r>
          <w:r w:rsidR="00B55324" w:rsidRPr="008B13EC">
            <w:rPr>
              <w:rFonts w:ascii="Arial" w:eastAsia="Times New Roman" w:hAnsi="Arial" w:cs="Arial"/>
            </w:rPr>
            <w:t>waste,</w:t>
          </w:r>
          <w:r w:rsidRPr="008B13EC">
            <w:rPr>
              <w:rFonts w:ascii="Arial" w:eastAsia="Times New Roman" w:hAnsi="Arial" w:cs="Arial"/>
            </w:rPr>
            <w:t xml:space="preserve"> they can be classified using the following EWC code: </w:t>
          </w:r>
          <w:r w:rsidRPr="0055421D">
            <w:rPr>
              <w:rFonts w:ascii="Arial" w:eastAsia="Times New Roman" w:hAnsi="Arial" w:cs="Arial"/>
            </w:rPr>
            <w:t>17 06 01* Insulation material containing asbestos.</w:t>
          </w:r>
          <w:r w:rsidRPr="008B13EC">
            <w:rPr>
              <w:rFonts w:ascii="Arial" w:eastAsia="Times New Roman" w:hAnsi="Arial" w:cs="Arial"/>
            </w:rPr>
            <w:t xml:space="preserve"> </w:t>
          </w:r>
        </w:p>
        <w:p w14:paraId="254F17CE" w14:textId="7C75DCE3" w:rsidR="008B13EC" w:rsidRPr="008B13EC" w:rsidRDefault="008B13EC" w:rsidP="005615FF">
          <w:pPr>
            <w:pStyle w:val="Heading2"/>
            <w:spacing w:after="120" w:line="360" w:lineRule="auto"/>
            <w:rPr>
              <w:rFonts w:eastAsia="Times New Roman"/>
            </w:rPr>
          </w:pPr>
          <w:r w:rsidRPr="008B13EC">
            <w:rPr>
              <w:rFonts w:eastAsia="Times New Roman"/>
            </w:rPr>
            <w:t xml:space="preserve">Free and </w:t>
          </w:r>
          <w:r w:rsidR="000656D6">
            <w:rPr>
              <w:rFonts w:eastAsia="Times New Roman"/>
            </w:rPr>
            <w:t>d</w:t>
          </w:r>
          <w:r w:rsidRPr="008B13EC">
            <w:rPr>
              <w:rFonts w:eastAsia="Times New Roman"/>
            </w:rPr>
            <w:t xml:space="preserve">ispersed </w:t>
          </w:r>
          <w:r w:rsidR="000656D6">
            <w:rPr>
              <w:rFonts w:eastAsia="Times New Roman"/>
            </w:rPr>
            <w:t>f</w:t>
          </w:r>
          <w:r w:rsidRPr="008B13EC">
            <w:rPr>
              <w:rFonts w:eastAsia="Times New Roman"/>
            </w:rPr>
            <w:t>ibres</w:t>
          </w:r>
        </w:p>
        <w:p w14:paraId="7D102F2D" w14:textId="77777777" w:rsidR="00EF05FE" w:rsidRDefault="008B13EC" w:rsidP="00963613">
          <w:pPr>
            <w:rPr>
              <w:rFonts w:ascii="Arial" w:eastAsia="Times New Roman" w:hAnsi="Arial" w:cs="Arial"/>
            </w:rPr>
          </w:pPr>
          <w:r w:rsidRPr="008B13EC">
            <w:rPr>
              <w:rFonts w:ascii="Arial" w:eastAsia="Times New Roman" w:hAnsi="Arial" w:cs="Arial"/>
            </w:rPr>
            <w:t xml:space="preserve">Where the asbestos fibres are free and dispersed the waste will be </w:t>
          </w:r>
          <w:r w:rsidR="00F71999">
            <w:rPr>
              <w:rFonts w:ascii="Arial" w:eastAsia="Times New Roman" w:hAnsi="Arial" w:cs="Arial"/>
            </w:rPr>
            <w:t>classified as hazardous waste</w:t>
          </w:r>
          <w:r w:rsidRPr="008B13EC">
            <w:rPr>
              <w:rFonts w:ascii="Arial" w:eastAsia="Times New Roman" w:hAnsi="Arial" w:cs="Arial"/>
            </w:rPr>
            <w:t xml:space="preserve"> if the waste, as a whole, exhibits an asbestos content of 0.1% or more. The waste can be classified using the following European Waste Catalogue (EWC) code: </w:t>
          </w:r>
          <w:r w:rsidRPr="0055421D">
            <w:rPr>
              <w:rFonts w:ascii="Arial" w:eastAsia="Times New Roman" w:hAnsi="Arial" w:cs="Arial"/>
            </w:rPr>
            <w:t>17 06 05*</w:t>
          </w:r>
          <w:r w:rsidR="00023760" w:rsidRPr="0055421D">
            <w:rPr>
              <w:rFonts w:ascii="Arial" w:eastAsia="Times New Roman" w:hAnsi="Arial" w:cs="Arial"/>
            </w:rPr>
            <w:t xml:space="preserve"> </w:t>
          </w:r>
          <w:r w:rsidRPr="0055421D">
            <w:rPr>
              <w:rFonts w:ascii="Arial" w:eastAsia="Times New Roman" w:hAnsi="Arial" w:cs="Arial"/>
            </w:rPr>
            <w:t xml:space="preserve">Construction material containing asbestos. </w:t>
          </w:r>
        </w:p>
        <w:p w14:paraId="70EED91D" w14:textId="71F864D7" w:rsidR="00EF05FE" w:rsidRPr="008B13EC" w:rsidRDefault="00EF05FE" w:rsidP="00EF05FE">
          <w:pPr>
            <w:pStyle w:val="Heading2"/>
            <w:spacing w:after="120" w:line="360" w:lineRule="auto"/>
            <w:rPr>
              <w:rFonts w:eastAsia="Times New Roman"/>
            </w:rPr>
          </w:pPr>
          <w:r>
            <w:rPr>
              <w:rFonts w:eastAsia="Times New Roman"/>
            </w:rPr>
            <w:lastRenderedPageBreak/>
            <w:t>Disclaimer</w:t>
          </w:r>
        </w:p>
        <w:p w14:paraId="402331E4" w14:textId="77777777" w:rsidR="008177CA" w:rsidRPr="008177CA" w:rsidRDefault="008177CA" w:rsidP="008177CA">
          <w:r w:rsidRPr="008177CA">
            <w:t xml:space="preserve">This guidance is based on the law as it stood when the guidance was published. </w:t>
          </w:r>
        </w:p>
        <w:p w14:paraId="213DD258" w14:textId="77777777" w:rsidR="008177CA" w:rsidRPr="008177CA" w:rsidRDefault="008177CA" w:rsidP="008177CA">
          <w:r w:rsidRPr="008177CA">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5BBB3DA1" w14:textId="77777777" w:rsidR="008177CA" w:rsidRPr="008177CA" w:rsidRDefault="008177CA" w:rsidP="008177CA">
          <w:pPr>
            <w:numPr>
              <w:ilvl w:val="0"/>
              <w:numId w:val="15"/>
            </w:numPr>
          </w:pPr>
          <w:r w:rsidRPr="008177CA">
            <w:t>any direct, indirect and consequential losses</w:t>
          </w:r>
        </w:p>
        <w:p w14:paraId="39382427" w14:textId="77777777" w:rsidR="008177CA" w:rsidRPr="008177CA" w:rsidRDefault="008177CA" w:rsidP="008177CA">
          <w:pPr>
            <w:numPr>
              <w:ilvl w:val="0"/>
              <w:numId w:val="15"/>
            </w:numPr>
          </w:pPr>
          <w:r w:rsidRPr="008177CA">
            <w:t>any loss or damage caused by civil wrongs, breach of contract or otherwise</w:t>
          </w:r>
        </w:p>
        <w:p w14:paraId="1E9425AB" w14:textId="39CFBDC4" w:rsidR="008B3D53" w:rsidRDefault="008177CA" w:rsidP="008177CA">
          <w:pPr>
            <w:rPr>
              <w:rFonts w:ascii="Arial" w:eastAsia="Times New Roman" w:hAnsi="Arial" w:cs="Arial"/>
              <w:sz w:val="32"/>
              <w:szCs w:val="32"/>
            </w:rPr>
          </w:pPr>
          <w:r w:rsidRPr="008177CA">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p w14:paraId="26EF7D24" w14:textId="77777777" w:rsidR="008B3D53" w:rsidRDefault="008B3D53" w:rsidP="0055771A">
          <w:pPr>
            <w:rPr>
              <w:rFonts w:ascii="Arial" w:eastAsia="Times New Roman" w:hAnsi="Arial" w:cs="Arial"/>
              <w:sz w:val="32"/>
              <w:szCs w:val="32"/>
            </w:rPr>
          </w:pPr>
        </w:p>
        <w:p w14:paraId="48262D43" w14:textId="77777777" w:rsidR="008B3D53" w:rsidRDefault="008B3D53" w:rsidP="0055771A">
          <w:pPr>
            <w:rPr>
              <w:rFonts w:ascii="Arial" w:eastAsia="Times New Roman" w:hAnsi="Arial" w:cs="Arial"/>
              <w:sz w:val="32"/>
              <w:szCs w:val="32"/>
            </w:rPr>
          </w:pPr>
        </w:p>
        <w:p w14:paraId="401003A7" w14:textId="77777777" w:rsidR="008B3D53" w:rsidRDefault="008B3D53" w:rsidP="0055771A">
          <w:pPr>
            <w:rPr>
              <w:rFonts w:ascii="Arial" w:eastAsia="Times New Roman" w:hAnsi="Arial" w:cs="Arial"/>
              <w:sz w:val="32"/>
              <w:szCs w:val="32"/>
            </w:rPr>
          </w:pPr>
        </w:p>
        <w:p w14:paraId="25CB10F5" w14:textId="77777777" w:rsidR="008B3D53" w:rsidRDefault="008B3D53" w:rsidP="0055771A">
          <w:pPr>
            <w:rPr>
              <w:rFonts w:ascii="Arial" w:eastAsia="Times New Roman" w:hAnsi="Arial" w:cs="Arial"/>
              <w:sz w:val="32"/>
              <w:szCs w:val="32"/>
            </w:rPr>
          </w:pPr>
        </w:p>
        <w:p w14:paraId="5CDCC683" w14:textId="77777777" w:rsidR="008B3D53" w:rsidRDefault="008B3D53" w:rsidP="0055771A">
          <w:pPr>
            <w:rPr>
              <w:rFonts w:ascii="Arial" w:eastAsia="Times New Roman" w:hAnsi="Arial" w:cs="Arial"/>
              <w:sz w:val="32"/>
              <w:szCs w:val="32"/>
            </w:rPr>
          </w:pPr>
        </w:p>
        <w:p w14:paraId="6CFE8C9C" w14:textId="77777777" w:rsidR="008B3D53" w:rsidRDefault="008B3D53" w:rsidP="0055771A">
          <w:pPr>
            <w:rPr>
              <w:rFonts w:ascii="Arial" w:eastAsia="Times New Roman" w:hAnsi="Arial" w:cs="Arial"/>
              <w:sz w:val="32"/>
              <w:szCs w:val="32"/>
            </w:rPr>
          </w:pPr>
        </w:p>
        <w:p w14:paraId="1F7F3DF7" w14:textId="77777777" w:rsidR="0036005B" w:rsidRDefault="0036005B" w:rsidP="0055771A">
          <w:pPr>
            <w:rPr>
              <w:rFonts w:ascii="Arial" w:eastAsia="Times New Roman" w:hAnsi="Arial" w:cs="Arial"/>
              <w:sz w:val="32"/>
              <w:szCs w:val="32"/>
            </w:rPr>
          </w:pPr>
        </w:p>
        <w:p w14:paraId="522561AD" w14:textId="47A93CD3" w:rsidR="26AE4097" w:rsidRPr="000656D6" w:rsidRDefault="0055771A" w:rsidP="00010456">
          <w:pPr>
            <w:rPr>
              <w:rFonts w:ascii="Arial" w:eastAsia="Times New Roman" w:hAnsi="Arial" w:cs="Arial"/>
            </w:rPr>
          </w:pPr>
          <w:r w:rsidRPr="009977FB">
            <w:rPr>
              <w:rFonts w:ascii="Arial" w:eastAsia="Times New Roman" w:hAnsi="Arial" w:cs="Arial"/>
              <w:sz w:val="32"/>
              <w:szCs w:val="32"/>
            </w:rPr>
            <w:lastRenderedPageBreak/>
            <w:t xml:space="preserve">If you would like this document in an accessible format, such as large print, audio recording or braille, please contact SEPA by emailing </w:t>
          </w:r>
          <w:hyperlink r:id="rId12" w:tgtFrame="_blank" w:tooltip="mailto:equalities@sepa.org.uk" w:history="1">
            <w:r w:rsidRPr="009977FB">
              <w:rPr>
                <w:rStyle w:val="Hyperlink"/>
                <w:rFonts w:ascii="Arial" w:eastAsia="Times New Roman" w:hAnsi="Arial" w:cs="Arial"/>
                <w:sz w:val="32"/>
                <w:szCs w:val="32"/>
              </w:rPr>
              <w:t>equalities@sepa.org.uk</w:t>
            </w:r>
          </w:hyperlink>
          <w:r w:rsidR="00281BB1" w:rsidRPr="00EA297B">
            <w:rPr>
              <w:noProof/>
            </w:rPr>
            <mc:AlternateContent>
              <mc:Choice Requires="wps">
                <w:drawing>
                  <wp:anchor distT="0" distB="0" distL="114300" distR="114300" simplePos="0" relativeHeight="251658240" behindDoc="0" locked="1" layoutInCell="1" allowOverlap="1" wp14:anchorId="2E6A291F" wp14:editId="0842BF38">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F38D4EF"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A291F"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4F38D4EF"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sectPr w:rsidR="26AE4097" w:rsidRPr="000656D6" w:rsidSect="00DA294B">
      <w:headerReference w:type="default" r:id="rId13"/>
      <w:footerReference w:type="even" r:id="rId14"/>
      <w:footerReference w:type="default" r:id="rId15"/>
      <w:headerReference w:type="first" r:id="rId16"/>
      <w:footerReference w:type="first" r:id="rId1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30B4" w14:textId="77777777" w:rsidR="0095736D" w:rsidRDefault="0095736D" w:rsidP="00660C79">
      <w:pPr>
        <w:spacing w:line="240" w:lineRule="auto"/>
      </w:pPr>
      <w:r>
        <w:separator/>
      </w:r>
    </w:p>
  </w:endnote>
  <w:endnote w:type="continuationSeparator" w:id="0">
    <w:p w14:paraId="2A65BDB9" w14:textId="77777777" w:rsidR="0095736D" w:rsidRDefault="0095736D" w:rsidP="00660C79">
      <w:pPr>
        <w:spacing w:line="240" w:lineRule="auto"/>
      </w:pPr>
      <w:r>
        <w:continuationSeparator/>
      </w:r>
    </w:p>
  </w:endnote>
  <w:endnote w:type="continuationNotice" w:id="1">
    <w:p w14:paraId="65ACC530" w14:textId="77777777" w:rsidR="0095736D" w:rsidRDefault="009573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1B53FA98" w14:textId="77777777" w:rsidR="00EC6A73" w:rsidRDefault="00EC6A73" w:rsidP="00B834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FC16438"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2EB1BA"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2ABE" w14:textId="77777777" w:rsidR="00EC6A73" w:rsidRDefault="002369CA" w:rsidP="00917BB1">
    <w:pPr>
      <w:pStyle w:val="Footer"/>
      <w:ind w:right="360"/>
    </w:pPr>
    <w:r>
      <w:rPr>
        <w:noProof/>
      </w:rPr>
      <mc:AlternateContent>
        <mc:Choice Requires="wps">
          <w:drawing>
            <wp:anchor distT="0" distB="0" distL="114300" distR="114300" simplePos="0" relativeHeight="251658244" behindDoc="0" locked="0" layoutInCell="0" allowOverlap="1" wp14:anchorId="78003B2E" wp14:editId="3BEB4BAD">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ABF13F"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003B2E" id="_x0000_t202" coordsize="21600,21600" o:spt="202" path="m,l,21600r21600,l21600,xe">
              <v:stroke joinstyle="miter"/>
              <v:path gradientshapeok="t" o:connecttype="rect"/>
            </v:shapetype>
            <v:shape id="MSIPCM5e5e4a189a8ec75f16fc991b" o:spid="_x0000_s1028"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3AABF13F"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7387B3E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CC2EEE8" wp14:editId="6D5429EC">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6C34497"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80CBE7E"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F4B612" w14:textId="77777777" w:rsidR="00917BB1" w:rsidRDefault="00917BB1" w:rsidP="00917BB1">
    <w:pPr>
      <w:pStyle w:val="Footer"/>
      <w:ind w:right="360"/>
    </w:pPr>
    <w:r>
      <w:rPr>
        <w:noProof/>
      </w:rPr>
      <w:drawing>
        <wp:inline distT="0" distB="0" distL="0" distR="0" wp14:anchorId="50D9354D" wp14:editId="37DE9A79">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FC0C" w14:textId="77777777" w:rsidR="002369CA" w:rsidRDefault="002369CA">
    <w:pPr>
      <w:pStyle w:val="Footer"/>
    </w:pPr>
    <w:r>
      <w:rPr>
        <w:noProof/>
      </w:rPr>
      <mc:AlternateContent>
        <mc:Choice Requires="wps">
          <w:drawing>
            <wp:anchor distT="0" distB="0" distL="114300" distR="114300" simplePos="0" relativeHeight="251658245" behindDoc="0" locked="0" layoutInCell="0" allowOverlap="1" wp14:anchorId="2E95B7C2" wp14:editId="40B75376">
              <wp:simplePos x="0" y="0"/>
              <wp:positionH relativeFrom="page">
                <wp:posOffset>0</wp:posOffset>
              </wp:positionH>
              <wp:positionV relativeFrom="page">
                <wp:posOffset>10229215</wp:posOffset>
              </wp:positionV>
              <wp:extent cx="7556500" cy="273050"/>
              <wp:effectExtent l="0" t="0" r="0" b="12700"/>
              <wp:wrapNone/>
              <wp:docPr id="8" name="MSIPCM4e4a48088b4676f42cc92ab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3A3877"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95B7C2" id="_x0000_t202" coordsize="21600,21600" o:spt="202" path="m,l,21600r21600,l21600,xe">
              <v:stroke joinstyle="miter"/>
              <v:path gradientshapeok="t" o:connecttype="rect"/>
            </v:shapetype>
            <v:shape id="MSIPCM4e4a48088b4676f42cc92ab1" o:spid="_x0000_s1030"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243A3877"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7E8C" w14:textId="77777777" w:rsidR="0095736D" w:rsidRDefault="0095736D" w:rsidP="00660C79">
      <w:pPr>
        <w:spacing w:line="240" w:lineRule="auto"/>
      </w:pPr>
      <w:r>
        <w:separator/>
      </w:r>
    </w:p>
  </w:footnote>
  <w:footnote w:type="continuationSeparator" w:id="0">
    <w:p w14:paraId="5B504A36" w14:textId="77777777" w:rsidR="0095736D" w:rsidRDefault="0095736D" w:rsidP="00660C79">
      <w:pPr>
        <w:spacing w:line="240" w:lineRule="auto"/>
      </w:pPr>
      <w:r>
        <w:continuationSeparator/>
      </w:r>
    </w:p>
  </w:footnote>
  <w:footnote w:type="continuationNotice" w:id="1">
    <w:p w14:paraId="3F7BFB06" w14:textId="77777777" w:rsidR="0095736D" w:rsidRDefault="009573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208D" w14:textId="7188F02C" w:rsidR="008D113C" w:rsidRPr="00917BB1" w:rsidRDefault="002369CA"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42" behindDoc="0" locked="0" layoutInCell="0" allowOverlap="1" wp14:anchorId="38D57C21" wp14:editId="7107C34B">
              <wp:simplePos x="0" y="0"/>
              <wp:positionH relativeFrom="page">
                <wp:posOffset>0</wp:posOffset>
              </wp:positionH>
              <wp:positionV relativeFrom="page">
                <wp:posOffset>190500</wp:posOffset>
              </wp:positionV>
              <wp:extent cx="7556500" cy="273050"/>
              <wp:effectExtent l="0" t="0" r="0" b="12700"/>
              <wp:wrapNone/>
              <wp:docPr id="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26D658"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8D57C21" id="_x0000_t202" coordsize="21600,21600" o:spt="202" path="m,l,21600r21600,l21600,xe">
              <v:stroke joinstyle="miter"/>
              <v:path gradientshapeok="t" o:connecttype="rect"/>
            </v:shapetype>
            <v:shape id="MSIPCM3e7c4667b3fb4a16462b8c07" o:spid="_x0000_s1027"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6926D658"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sidR="00F71999">
      <w:rPr>
        <w:color w:val="6E7571" w:themeColor="text2"/>
      </w:rPr>
      <w:t>Asbestos in construction and demolition waste</w:t>
    </w:r>
  </w:p>
  <w:p w14:paraId="6657B91B"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1DC151F" wp14:editId="0323304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36BB466"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C6FB" w14:textId="77777777" w:rsidR="002369CA" w:rsidRDefault="002369CA">
    <w:pPr>
      <w:pStyle w:val="Header"/>
    </w:pPr>
    <w:r>
      <w:rPr>
        <w:noProof/>
      </w:rPr>
      <mc:AlternateContent>
        <mc:Choice Requires="wps">
          <w:drawing>
            <wp:anchor distT="0" distB="0" distL="114300" distR="114300" simplePos="0" relativeHeight="251658243" behindDoc="0" locked="0" layoutInCell="0" allowOverlap="1" wp14:anchorId="71D8E314" wp14:editId="288C6F47">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DAA6E3"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1D8E314" id="_x0000_t202" coordsize="21600,21600" o:spt="202" path="m,l,21600r21600,l21600,xe">
              <v:stroke joinstyle="miter"/>
              <v:path gradientshapeok="t" o:connecttype="rect"/>
            </v:shapetype>
            <v:shape id="MSIPCMa3a54bf5b0225d2ae74b3b10" o:spid="_x0000_s1029"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0FDAA6E3"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31B72"/>
    <w:multiLevelType w:val="hybridMultilevel"/>
    <w:tmpl w:val="4A96A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C1403"/>
    <w:multiLevelType w:val="multilevel"/>
    <w:tmpl w:val="DA92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F32B0F"/>
    <w:multiLevelType w:val="hybridMultilevel"/>
    <w:tmpl w:val="DE223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3"/>
  </w:num>
  <w:num w:numId="12" w16cid:durableId="903875781">
    <w:abstractNumId w:val="11"/>
  </w:num>
  <w:num w:numId="13" w16cid:durableId="48110910">
    <w:abstractNumId w:val="14"/>
  </w:num>
  <w:num w:numId="14" w16cid:durableId="677540768">
    <w:abstractNumId w:val="10"/>
  </w:num>
  <w:num w:numId="15" w16cid:durableId="2054577270">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62"/>
    <w:rsid w:val="000014BA"/>
    <w:rsid w:val="000018CC"/>
    <w:rsid w:val="00010456"/>
    <w:rsid w:val="00016A3A"/>
    <w:rsid w:val="00021066"/>
    <w:rsid w:val="00023760"/>
    <w:rsid w:val="0002693F"/>
    <w:rsid w:val="00032829"/>
    <w:rsid w:val="00040561"/>
    <w:rsid w:val="0005494B"/>
    <w:rsid w:val="0006177E"/>
    <w:rsid w:val="000656D6"/>
    <w:rsid w:val="00070937"/>
    <w:rsid w:val="000B7559"/>
    <w:rsid w:val="000E0D15"/>
    <w:rsid w:val="000F3D4F"/>
    <w:rsid w:val="00105F31"/>
    <w:rsid w:val="00145EBE"/>
    <w:rsid w:val="001508AE"/>
    <w:rsid w:val="00160570"/>
    <w:rsid w:val="00171A3E"/>
    <w:rsid w:val="001759A8"/>
    <w:rsid w:val="001B4F7B"/>
    <w:rsid w:val="001B55F1"/>
    <w:rsid w:val="001C1ABD"/>
    <w:rsid w:val="001C4D40"/>
    <w:rsid w:val="001E0D25"/>
    <w:rsid w:val="001F061A"/>
    <w:rsid w:val="002130B1"/>
    <w:rsid w:val="00227A16"/>
    <w:rsid w:val="00236552"/>
    <w:rsid w:val="002369CA"/>
    <w:rsid w:val="00264A3C"/>
    <w:rsid w:val="00281BB1"/>
    <w:rsid w:val="002B05FB"/>
    <w:rsid w:val="002C2F7D"/>
    <w:rsid w:val="002D2B8E"/>
    <w:rsid w:val="0030096D"/>
    <w:rsid w:val="0030479F"/>
    <w:rsid w:val="00317618"/>
    <w:rsid w:val="0036005B"/>
    <w:rsid w:val="003947CC"/>
    <w:rsid w:val="003B0BB6"/>
    <w:rsid w:val="003F063C"/>
    <w:rsid w:val="003F3D9A"/>
    <w:rsid w:val="003F5384"/>
    <w:rsid w:val="004073BC"/>
    <w:rsid w:val="00412609"/>
    <w:rsid w:val="00430861"/>
    <w:rsid w:val="00444AA1"/>
    <w:rsid w:val="00466D27"/>
    <w:rsid w:val="004A6E8E"/>
    <w:rsid w:val="004D6DB1"/>
    <w:rsid w:val="004D7B58"/>
    <w:rsid w:val="005109F6"/>
    <w:rsid w:val="00534DF3"/>
    <w:rsid w:val="0054262F"/>
    <w:rsid w:val="00542810"/>
    <w:rsid w:val="00553926"/>
    <w:rsid w:val="0055421D"/>
    <w:rsid w:val="0055771A"/>
    <w:rsid w:val="005615FF"/>
    <w:rsid w:val="00564BE9"/>
    <w:rsid w:val="00566D9D"/>
    <w:rsid w:val="005759EF"/>
    <w:rsid w:val="00580F85"/>
    <w:rsid w:val="005900AA"/>
    <w:rsid w:val="005A355E"/>
    <w:rsid w:val="005C3793"/>
    <w:rsid w:val="005C7651"/>
    <w:rsid w:val="005D1213"/>
    <w:rsid w:val="005D4024"/>
    <w:rsid w:val="005D7437"/>
    <w:rsid w:val="005F0BBC"/>
    <w:rsid w:val="00622C21"/>
    <w:rsid w:val="006243FF"/>
    <w:rsid w:val="00643294"/>
    <w:rsid w:val="00643DD9"/>
    <w:rsid w:val="00660C79"/>
    <w:rsid w:val="006803EF"/>
    <w:rsid w:val="00686920"/>
    <w:rsid w:val="006B4F85"/>
    <w:rsid w:val="006D16CE"/>
    <w:rsid w:val="006D1AE4"/>
    <w:rsid w:val="006E1B2B"/>
    <w:rsid w:val="006E29E9"/>
    <w:rsid w:val="00734C5A"/>
    <w:rsid w:val="00760F9A"/>
    <w:rsid w:val="007B5C48"/>
    <w:rsid w:val="007C276A"/>
    <w:rsid w:val="007C3F12"/>
    <w:rsid w:val="007D2955"/>
    <w:rsid w:val="007D441B"/>
    <w:rsid w:val="00801105"/>
    <w:rsid w:val="008177CA"/>
    <w:rsid w:val="008224AB"/>
    <w:rsid w:val="008306BB"/>
    <w:rsid w:val="00836C01"/>
    <w:rsid w:val="0084212C"/>
    <w:rsid w:val="00861B46"/>
    <w:rsid w:val="008A5426"/>
    <w:rsid w:val="008B13EC"/>
    <w:rsid w:val="008B3D53"/>
    <w:rsid w:val="008C1A73"/>
    <w:rsid w:val="008D113C"/>
    <w:rsid w:val="008D376F"/>
    <w:rsid w:val="008D661D"/>
    <w:rsid w:val="008E0B02"/>
    <w:rsid w:val="008F1D01"/>
    <w:rsid w:val="009009E5"/>
    <w:rsid w:val="00917BB1"/>
    <w:rsid w:val="0093536A"/>
    <w:rsid w:val="0095736D"/>
    <w:rsid w:val="00963613"/>
    <w:rsid w:val="0096745E"/>
    <w:rsid w:val="009703BE"/>
    <w:rsid w:val="00975D21"/>
    <w:rsid w:val="00980531"/>
    <w:rsid w:val="0098503A"/>
    <w:rsid w:val="009A240D"/>
    <w:rsid w:val="009C4220"/>
    <w:rsid w:val="009D35D4"/>
    <w:rsid w:val="009F4425"/>
    <w:rsid w:val="00A075AC"/>
    <w:rsid w:val="00A079E5"/>
    <w:rsid w:val="00A43624"/>
    <w:rsid w:val="00A4691F"/>
    <w:rsid w:val="00A83FF5"/>
    <w:rsid w:val="00A9349C"/>
    <w:rsid w:val="00AB72C9"/>
    <w:rsid w:val="00AE068C"/>
    <w:rsid w:val="00AE2C62"/>
    <w:rsid w:val="00B21D76"/>
    <w:rsid w:val="00B26B28"/>
    <w:rsid w:val="00B46E48"/>
    <w:rsid w:val="00B54CF4"/>
    <w:rsid w:val="00B55324"/>
    <w:rsid w:val="00B56FC1"/>
    <w:rsid w:val="00B758D5"/>
    <w:rsid w:val="00B834FA"/>
    <w:rsid w:val="00B83847"/>
    <w:rsid w:val="00BB4734"/>
    <w:rsid w:val="00BC4768"/>
    <w:rsid w:val="00BC62FE"/>
    <w:rsid w:val="00BD161F"/>
    <w:rsid w:val="00BE60E1"/>
    <w:rsid w:val="00BF76A8"/>
    <w:rsid w:val="00C06ECF"/>
    <w:rsid w:val="00C542E3"/>
    <w:rsid w:val="00C569B9"/>
    <w:rsid w:val="00C57EAE"/>
    <w:rsid w:val="00C63AF5"/>
    <w:rsid w:val="00C77D00"/>
    <w:rsid w:val="00C825E4"/>
    <w:rsid w:val="00C82A29"/>
    <w:rsid w:val="00C832D5"/>
    <w:rsid w:val="00C9645D"/>
    <w:rsid w:val="00CF747D"/>
    <w:rsid w:val="00CF7EFB"/>
    <w:rsid w:val="00D31803"/>
    <w:rsid w:val="00D35448"/>
    <w:rsid w:val="00D661AD"/>
    <w:rsid w:val="00D664D7"/>
    <w:rsid w:val="00DA294B"/>
    <w:rsid w:val="00DA5C65"/>
    <w:rsid w:val="00DB08BA"/>
    <w:rsid w:val="00DC1A95"/>
    <w:rsid w:val="00DC1FC5"/>
    <w:rsid w:val="00E00503"/>
    <w:rsid w:val="00E07AA4"/>
    <w:rsid w:val="00E245AC"/>
    <w:rsid w:val="00E62524"/>
    <w:rsid w:val="00E67C75"/>
    <w:rsid w:val="00E67F29"/>
    <w:rsid w:val="00E7659F"/>
    <w:rsid w:val="00E76AD5"/>
    <w:rsid w:val="00E93BFD"/>
    <w:rsid w:val="00EA0E6B"/>
    <w:rsid w:val="00EA297B"/>
    <w:rsid w:val="00EB26F2"/>
    <w:rsid w:val="00EC6A73"/>
    <w:rsid w:val="00ED3EE7"/>
    <w:rsid w:val="00EE7E39"/>
    <w:rsid w:val="00EF05FE"/>
    <w:rsid w:val="00F05F56"/>
    <w:rsid w:val="00F07048"/>
    <w:rsid w:val="00F147F0"/>
    <w:rsid w:val="00F40404"/>
    <w:rsid w:val="00F417D5"/>
    <w:rsid w:val="00F60DD8"/>
    <w:rsid w:val="00F61BFF"/>
    <w:rsid w:val="00F670B5"/>
    <w:rsid w:val="00F71999"/>
    <w:rsid w:val="00F72274"/>
    <w:rsid w:val="00F746D0"/>
    <w:rsid w:val="00F97DFD"/>
    <w:rsid w:val="00FF47BF"/>
    <w:rsid w:val="00FF5D5A"/>
    <w:rsid w:val="00FF669F"/>
    <w:rsid w:val="1D7ACA51"/>
    <w:rsid w:val="26AE4097"/>
    <w:rsid w:val="33154BFA"/>
    <w:rsid w:val="33ECC4E8"/>
    <w:rsid w:val="3B4611E9"/>
    <w:rsid w:val="440A19B7"/>
    <w:rsid w:val="606CC08E"/>
    <w:rsid w:val="66C623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11F80"/>
  <w15:chartTrackingRefBased/>
  <w15:docId w15:val="{47B2452E-1F67-489D-910E-9CB25B5F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NormalWeb">
    <w:name w:val="Normal (Web)"/>
    <w:basedOn w:val="Normal"/>
    <w:uiPriority w:val="99"/>
    <w:semiHidden/>
    <w:unhideWhenUsed/>
    <w:rsid w:val="00021066"/>
    <w:pPr>
      <w:spacing w:before="100" w:beforeAutospacing="1" w:after="100" w:afterAutospacing="1" w:line="240" w:lineRule="auto"/>
    </w:pPr>
    <w:rPr>
      <w:rFonts w:ascii="Times New Roman" w:eastAsia="Times New Roman" w:hAnsi="Times New Roman" w:cs="Times New Roman"/>
      <w:lang w:eastAsia="en-GB"/>
    </w:rPr>
  </w:style>
  <w:style w:type="paragraph" w:styleId="EndnoteText">
    <w:name w:val="endnote text"/>
    <w:basedOn w:val="Normal"/>
    <w:link w:val="EndnoteTextChar"/>
    <w:uiPriority w:val="99"/>
    <w:semiHidden/>
    <w:unhideWhenUsed/>
    <w:rsid w:val="000018C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18CC"/>
    <w:rPr>
      <w:rFonts w:eastAsiaTheme="minorEastAsia"/>
      <w:sz w:val="20"/>
      <w:szCs w:val="20"/>
    </w:rPr>
  </w:style>
  <w:style w:type="character" w:styleId="EndnoteReference">
    <w:name w:val="endnote reference"/>
    <w:basedOn w:val="DefaultParagraphFont"/>
    <w:uiPriority w:val="99"/>
    <w:semiHidden/>
    <w:unhideWhenUsed/>
    <w:rsid w:val="000018CC"/>
    <w:rPr>
      <w:vertAlign w:val="superscript"/>
    </w:rPr>
  </w:style>
  <w:style w:type="paragraph" w:styleId="ListParagraph">
    <w:name w:val="List Paragraph"/>
    <w:basedOn w:val="Normal"/>
    <w:uiPriority w:val="34"/>
    <w:qFormat/>
    <w:rsid w:val="0055771A"/>
    <w:pPr>
      <w:ind w:left="720"/>
      <w:contextualSpacing/>
    </w:pPr>
  </w:style>
  <w:style w:type="character" w:customStyle="1" w:styleId="normaltextrun">
    <w:name w:val="normaltextrun"/>
    <w:basedOn w:val="DefaultParagraphFont"/>
    <w:rsid w:val="009D3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31782">
      <w:bodyDiv w:val="1"/>
      <w:marLeft w:val="0"/>
      <w:marRight w:val="0"/>
      <w:marTop w:val="0"/>
      <w:marBottom w:val="0"/>
      <w:divBdr>
        <w:top w:val="none" w:sz="0" w:space="0" w:color="auto"/>
        <w:left w:val="none" w:sz="0" w:space="0" w:color="auto"/>
        <w:bottom w:val="none" w:sz="0" w:space="0" w:color="auto"/>
        <w:right w:val="none" w:sz="0" w:space="0" w:color="auto"/>
      </w:divBdr>
    </w:div>
    <w:div w:id="505249477">
      <w:bodyDiv w:val="1"/>
      <w:marLeft w:val="0"/>
      <w:marRight w:val="0"/>
      <w:marTop w:val="0"/>
      <w:marBottom w:val="0"/>
      <w:divBdr>
        <w:top w:val="none" w:sz="0" w:space="0" w:color="auto"/>
        <w:left w:val="none" w:sz="0" w:space="0" w:color="auto"/>
        <w:bottom w:val="none" w:sz="0" w:space="0" w:color="auto"/>
        <w:right w:val="none" w:sz="0" w:space="0" w:color="auto"/>
      </w:divBdr>
    </w:div>
    <w:div w:id="557596331">
      <w:bodyDiv w:val="1"/>
      <w:marLeft w:val="0"/>
      <w:marRight w:val="0"/>
      <w:marTop w:val="0"/>
      <w:marBottom w:val="0"/>
      <w:divBdr>
        <w:top w:val="none" w:sz="0" w:space="0" w:color="auto"/>
        <w:left w:val="none" w:sz="0" w:space="0" w:color="auto"/>
        <w:bottom w:val="none" w:sz="0" w:space="0" w:color="auto"/>
        <w:right w:val="none" w:sz="0" w:space="0" w:color="auto"/>
      </w:divBdr>
    </w:div>
    <w:div w:id="1086415128">
      <w:bodyDiv w:val="1"/>
      <w:marLeft w:val="0"/>
      <w:marRight w:val="0"/>
      <w:marTop w:val="0"/>
      <w:marBottom w:val="0"/>
      <w:divBdr>
        <w:top w:val="none" w:sz="0" w:space="0" w:color="auto"/>
        <w:left w:val="none" w:sz="0" w:space="0" w:color="auto"/>
        <w:bottom w:val="none" w:sz="0" w:space="0" w:color="auto"/>
        <w:right w:val="none" w:sz="0" w:space="0" w:color="auto"/>
      </w:divBdr>
    </w:div>
    <w:div w:id="1335065321">
      <w:bodyDiv w:val="1"/>
      <w:marLeft w:val="0"/>
      <w:marRight w:val="0"/>
      <w:marTop w:val="0"/>
      <w:marBottom w:val="0"/>
      <w:divBdr>
        <w:top w:val="none" w:sz="0" w:space="0" w:color="auto"/>
        <w:left w:val="none" w:sz="0" w:space="0" w:color="auto"/>
        <w:bottom w:val="none" w:sz="0" w:space="0" w:color="auto"/>
        <w:right w:val="none" w:sz="0" w:space="0" w:color="auto"/>
      </w:divBdr>
    </w:div>
    <w:div w:id="1349717133">
      <w:bodyDiv w:val="1"/>
      <w:marLeft w:val="0"/>
      <w:marRight w:val="0"/>
      <w:marTop w:val="0"/>
      <w:marBottom w:val="0"/>
      <w:divBdr>
        <w:top w:val="none" w:sz="0" w:space="0" w:color="auto"/>
        <w:left w:val="none" w:sz="0" w:space="0" w:color="auto"/>
        <w:bottom w:val="none" w:sz="0" w:space="0" w:color="auto"/>
        <w:right w:val="none" w:sz="0" w:space="0" w:color="auto"/>
      </w:divBdr>
    </w:div>
    <w:div w:id="143879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alities@sepa.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SharedWithUsers xmlns="ce5b52f7-9556-48ad-bf4f-1238de82834a">
      <UserInfo>
        <DisplayName/>
        <AccountId xsi:nil="true"/>
        <AccountType/>
      </UserInfo>
    </SharedWithUsers>
    <lcf76f155ced4ddcb4097134ff3c332f xmlns="7dd4d6b0-2bd1-40f7-94aa-8d4785e79023">
      <Terms xmlns="http://schemas.microsoft.com/office/infopath/2007/PartnerControls"/>
    </lcf76f155ced4ddcb4097134ff3c332f>
    <_Flow_SignoffStatus xmlns="7dd4d6b0-2bd1-40f7-94aa-8d4785e79023" xsi:nil="true"/>
    <Correctonguidancetracker xmlns="7dd4d6b0-2bd1-40f7-94aa-8d4785e79023">Cant Find</Correctonguidancetrack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9300C-B03A-4A26-9F92-24DF5E323752}"/>
</file>

<file path=customXml/itemProps2.xml><?xml version="1.0" encoding="utf-8"?>
<ds:datastoreItem xmlns:ds="http://schemas.openxmlformats.org/officeDocument/2006/customXml" ds:itemID="{181B3BF0-CAC7-41EE-906E-AD4867EF22FB}">
  <ds:schemaRefs>
    <ds:schemaRef ds:uri="http://www.w3.org/XML/1998/namespace"/>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ce5b52f7-9556-48ad-bf4f-1238de82834a"/>
    <ds:schemaRef ds:uri="7dd4d6b0-2bd1-40f7-94aa-8d4785e7902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B009F55-0F92-4F4E-971B-CDD33E9869C7}">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Links>
    <vt:vector size="6" baseType="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National Waste</dc:creator>
  <cp:keywords/>
  <dc:description/>
  <cp:lastModifiedBy>Ross, Naomi</cp:lastModifiedBy>
  <cp:revision>19</cp:revision>
  <cp:lastPrinted>2023-03-23T14:44:00Z</cp:lastPrinted>
  <dcterms:created xsi:type="dcterms:W3CDTF">2024-12-12T15:05:00Z</dcterms:created>
  <dcterms:modified xsi:type="dcterms:W3CDTF">2025-05-01T14:33:00Z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MediaServiceImageTags">
    <vt:lpwstr/>
  </property>
  <property fmtid="{D5CDD505-2E9C-101B-9397-08002B2CF9AE}" pid="10" name="ContentTypeId">
    <vt:lpwstr>0x01010004C80374B95F7240955C67127CD440EB</vt:lpwstr>
  </property>
  <property fmtid="{D5CDD505-2E9C-101B-9397-08002B2CF9AE}" pid="11" name="sepaSiteName">
    <vt:lpwstr/>
  </property>
  <property fmtid="{D5CDD505-2E9C-101B-9397-08002B2CF9AE}" pid="12" name="sepaDocType">
    <vt:lpwstr/>
  </property>
  <property fmtid="{D5CDD505-2E9C-101B-9397-08002B2CF9AE}" pid="13" name="j4a146bd1242497e854fea19bd003ce8">
    <vt:lpwstr/>
  </property>
  <property fmtid="{D5CDD505-2E9C-101B-9397-08002B2CF9AE}" pid="14" name="ef51aa4790c945b9a0419016f7ab6e29">
    <vt:lpwstr/>
  </property>
  <property fmtid="{D5CDD505-2E9C-101B-9397-08002B2CF9AE}" pid="15" name="ma72f8e6ceae418eb78a3347036104c1">
    <vt:lpwstr/>
  </property>
  <property fmtid="{D5CDD505-2E9C-101B-9397-08002B2CF9AE}" pid="16" name="sepaLocationCode">
    <vt:lpwstr/>
  </property>
  <property fmtid="{D5CDD505-2E9C-101B-9397-08002B2CF9AE}" pid="17" name="sepaIAODept">
    <vt:lpwstr/>
  </property>
  <property fmtid="{D5CDD505-2E9C-101B-9397-08002B2CF9AE}" pid="18" name="sepaSector">
    <vt:lpwstr/>
  </property>
  <property fmtid="{D5CDD505-2E9C-101B-9397-08002B2CF9AE}" pid="19" name="sepaRegime">
    <vt:lpwstr/>
  </property>
  <property fmtid="{D5CDD505-2E9C-101B-9397-08002B2CF9AE}" pid="20" name="oef38a18042f4301907f28c0522602c2">
    <vt:lpwstr/>
  </property>
  <property fmtid="{D5CDD505-2E9C-101B-9397-08002B2CF9AE}" pid="21" name="ee9e47817d504c689218031fd5e96151">
    <vt:lpwstr/>
  </property>
  <property fmtid="{D5CDD505-2E9C-101B-9397-08002B2CF9AE}" pid="22" name="sepaWaterbody">
    <vt:lpwstr/>
  </property>
  <property fmtid="{D5CDD505-2E9C-101B-9397-08002B2CF9AE}" pid="23" name="ne0f48cd5d0346faa88fbe934056f480">
    <vt:lpwstr/>
  </property>
  <property fmtid="{D5CDD505-2E9C-101B-9397-08002B2CF9AE}" pid="24" name="k30a802c90584b64ac3ae896c6a1ef3a">
    <vt:lpwstr/>
  </property>
  <property fmtid="{D5CDD505-2E9C-101B-9397-08002B2CF9AE}" pid="25" name="Order">
    <vt:r8>295700</vt:r8>
  </property>
  <property fmtid="{D5CDD505-2E9C-101B-9397-08002B2CF9AE}" pid="26" name="ComplianceAssetId">
    <vt:lpwstr/>
  </property>
  <property fmtid="{D5CDD505-2E9C-101B-9397-08002B2CF9AE}" pid="27" name="_ExtendedDescription">
    <vt:lpwstr/>
  </property>
  <property fmtid="{D5CDD505-2E9C-101B-9397-08002B2CF9AE}" pid="28" name="TriggerFlowInfo">
    <vt:lpwstr/>
  </property>
</Properties>
</file>